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055" w:rsidRPr="00FA3EFB" w:rsidRDefault="00F95055" w:rsidP="00F95055">
      <w:pPr>
        <w:tabs>
          <w:tab w:val="right" w:pos="10466"/>
        </w:tabs>
      </w:pPr>
      <w:r>
        <w:tab/>
      </w:r>
      <w:r w:rsidRPr="000C3F10">
        <w:rPr>
          <w:b/>
        </w:rPr>
        <w:t xml:space="preserve">Please complete and email to </w:t>
      </w:r>
      <w:hyperlink r:id="rId7" w:history="1">
        <w:r w:rsidRPr="000C3F10">
          <w:rPr>
            <w:rStyle w:val="Hyperlink"/>
            <w:b/>
          </w:rPr>
          <w:t>NQT@thomasestley.org.uk</w:t>
        </w:r>
      </w:hyperlink>
      <w:r w:rsidRPr="000C3F10">
        <w:rPr>
          <w:b/>
        </w:rPr>
        <w:t xml:space="preserve"> </w:t>
      </w:r>
      <w:r w:rsidR="00BC32D5">
        <w:rPr>
          <w:b/>
        </w:rPr>
        <w:t>at le</w:t>
      </w:r>
      <w:bookmarkStart w:id="0" w:name="_GoBack"/>
      <w:bookmarkEnd w:id="0"/>
      <w:r w:rsidR="00BC32D5">
        <w:rPr>
          <w:b/>
        </w:rPr>
        <w:t>ast five working days before the end of the final assessment period. Forms AR1 and AR2 must be received by the appropriate body before considering this form.</w:t>
      </w:r>
    </w:p>
    <w:tbl>
      <w:tblPr>
        <w:tblStyle w:val="TableGrid"/>
        <w:tblW w:w="0" w:type="auto"/>
        <w:tblLook w:val="04A0" w:firstRow="1" w:lastRow="0" w:firstColumn="1" w:lastColumn="0" w:noHBand="0" w:noVBand="1"/>
      </w:tblPr>
      <w:tblGrid>
        <w:gridCol w:w="5228"/>
        <w:gridCol w:w="5228"/>
      </w:tblGrid>
      <w:tr w:rsidR="00F95055" w:rsidTr="00F95055">
        <w:tc>
          <w:tcPr>
            <w:tcW w:w="5228" w:type="dxa"/>
          </w:tcPr>
          <w:p w:rsidR="00F95055" w:rsidRDefault="00F95055" w:rsidP="00F95055">
            <w:pPr>
              <w:tabs>
                <w:tab w:val="right" w:pos="10466"/>
              </w:tabs>
              <w:rPr>
                <w:sz w:val="24"/>
                <w:szCs w:val="24"/>
              </w:rPr>
            </w:pPr>
            <w:r w:rsidRPr="00F95055">
              <w:rPr>
                <w:sz w:val="24"/>
                <w:szCs w:val="24"/>
              </w:rPr>
              <w:t>Name of NQT</w:t>
            </w:r>
          </w:p>
          <w:p w:rsidR="00F95055" w:rsidRDefault="00F95055" w:rsidP="00F95055">
            <w:pPr>
              <w:tabs>
                <w:tab w:val="right" w:pos="10466"/>
              </w:tabs>
              <w:rPr>
                <w:sz w:val="24"/>
                <w:szCs w:val="24"/>
              </w:rPr>
            </w:pPr>
          </w:p>
          <w:p w:rsidR="00F95055" w:rsidRPr="00F95055" w:rsidRDefault="00F95055" w:rsidP="00F95055">
            <w:pPr>
              <w:tabs>
                <w:tab w:val="right" w:pos="10466"/>
              </w:tabs>
              <w:rPr>
                <w:sz w:val="24"/>
                <w:szCs w:val="24"/>
              </w:rPr>
            </w:pPr>
          </w:p>
        </w:tc>
        <w:tc>
          <w:tcPr>
            <w:tcW w:w="5228" w:type="dxa"/>
          </w:tcPr>
          <w:p w:rsidR="00F95055" w:rsidRPr="00F95055" w:rsidRDefault="00F95055" w:rsidP="00F95055">
            <w:pPr>
              <w:tabs>
                <w:tab w:val="right" w:pos="10466"/>
              </w:tabs>
              <w:rPr>
                <w:sz w:val="24"/>
                <w:szCs w:val="24"/>
              </w:rPr>
            </w:pPr>
            <w:r w:rsidRPr="00F95055">
              <w:rPr>
                <w:sz w:val="24"/>
                <w:szCs w:val="24"/>
              </w:rPr>
              <w:t>Employing body (usually school) of NQT</w:t>
            </w:r>
          </w:p>
        </w:tc>
      </w:tr>
      <w:tr w:rsidR="00F95055" w:rsidTr="00F95055">
        <w:tc>
          <w:tcPr>
            <w:tcW w:w="5228" w:type="dxa"/>
          </w:tcPr>
          <w:p w:rsidR="00F95055" w:rsidRDefault="00F95055" w:rsidP="00F95055">
            <w:pPr>
              <w:tabs>
                <w:tab w:val="right" w:pos="10466"/>
              </w:tabs>
              <w:rPr>
                <w:sz w:val="24"/>
                <w:szCs w:val="24"/>
              </w:rPr>
            </w:pPr>
            <w:r w:rsidRPr="00F95055">
              <w:rPr>
                <w:sz w:val="24"/>
                <w:szCs w:val="24"/>
              </w:rPr>
              <w:t>Date of appointment of NQT</w:t>
            </w:r>
          </w:p>
          <w:p w:rsidR="00F95055" w:rsidRDefault="00F95055" w:rsidP="00F95055">
            <w:pPr>
              <w:tabs>
                <w:tab w:val="right" w:pos="10466"/>
              </w:tabs>
              <w:rPr>
                <w:sz w:val="24"/>
                <w:szCs w:val="24"/>
              </w:rPr>
            </w:pPr>
          </w:p>
          <w:p w:rsidR="00F95055" w:rsidRPr="00F95055" w:rsidRDefault="00F95055" w:rsidP="00F95055">
            <w:pPr>
              <w:tabs>
                <w:tab w:val="right" w:pos="10466"/>
              </w:tabs>
              <w:rPr>
                <w:sz w:val="24"/>
                <w:szCs w:val="24"/>
              </w:rPr>
            </w:pPr>
          </w:p>
        </w:tc>
        <w:tc>
          <w:tcPr>
            <w:tcW w:w="5228" w:type="dxa"/>
          </w:tcPr>
          <w:p w:rsidR="00F95055" w:rsidRPr="00F95055" w:rsidRDefault="00F95055" w:rsidP="00F95055">
            <w:pPr>
              <w:tabs>
                <w:tab w:val="right" w:pos="10466"/>
              </w:tabs>
              <w:rPr>
                <w:sz w:val="24"/>
                <w:szCs w:val="24"/>
              </w:rPr>
            </w:pPr>
            <w:r w:rsidRPr="00F95055">
              <w:rPr>
                <w:sz w:val="24"/>
                <w:szCs w:val="24"/>
              </w:rPr>
              <w:t>NQT Induction Tutor name</w:t>
            </w:r>
          </w:p>
        </w:tc>
      </w:tr>
      <w:tr w:rsidR="00F95055" w:rsidTr="00F95055">
        <w:tc>
          <w:tcPr>
            <w:tcW w:w="5228" w:type="dxa"/>
          </w:tcPr>
          <w:p w:rsidR="00F95055" w:rsidRDefault="00F95055" w:rsidP="00F95055">
            <w:pPr>
              <w:tabs>
                <w:tab w:val="right" w:pos="10466"/>
              </w:tabs>
              <w:rPr>
                <w:sz w:val="24"/>
                <w:szCs w:val="24"/>
              </w:rPr>
            </w:pPr>
            <w:r w:rsidRPr="00F95055">
              <w:rPr>
                <w:sz w:val="24"/>
                <w:szCs w:val="24"/>
              </w:rPr>
              <w:t>Subject/ age-range of NQT</w:t>
            </w:r>
          </w:p>
          <w:p w:rsidR="00F95055" w:rsidRDefault="00F95055" w:rsidP="00F95055">
            <w:pPr>
              <w:tabs>
                <w:tab w:val="right" w:pos="10466"/>
              </w:tabs>
              <w:rPr>
                <w:sz w:val="24"/>
                <w:szCs w:val="24"/>
              </w:rPr>
            </w:pPr>
          </w:p>
          <w:p w:rsidR="00F95055" w:rsidRPr="00F95055" w:rsidRDefault="00F95055" w:rsidP="00F95055">
            <w:pPr>
              <w:tabs>
                <w:tab w:val="right" w:pos="10466"/>
              </w:tabs>
              <w:rPr>
                <w:sz w:val="24"/>
                <w:szCs w:val="24"/>
              </w:rPr>
            </w:pPr>
          </w:p>
        </w:tc>
        <w:tc>
          <w:tcPr>
            <w:tcW w:w="5228" w:type="dxa"/>
          </w:tcPr>
          <w:p w:rsidR="00F95055" w:rsidRPr="00F95055" w:rsidRDefault="00F95055" w:rsidP="00F95055">
            <w:pPr>
              <w:tabs>
                <w:tab w:val="right" w:pos="10466"/>
              </w:tabs>
              <w:rPr>
                <w:sz w:val="24"/>
                <w:szCs w:val="24"/>
              </w:rPr>
            </w:pPr>
            <w:r w:rsidRPr="00F95055">
              <w:rPr>
                <w:sz w:val="24"/>
                <w:szCs w:val="24"/>
              </w:rPr>
              <w:t>NQT Induction Tutor phone and email contacts</w:t>
            </w:r>
          </w:p>
        </w:tc>
      </w:tr>
      <w:tr w:rsidR="00F95055" w:rsidTr="000C3F10">
        <w:tc>
          <w:tcPr>
            <w:tcW w:w="10456" w:type="dxa"/>
            <w:gridSpan w:val="2"/>
            <w:shd w:val="clear" w:color="auto" w:fill="CCCCFF"/>
          </w:tcPr>
          <w:p w:rsidR="00F95055" w:rsidRPr="00F95055" w:rsidRDefault="00BC32D5" w:rsidP="00F95055">
            <w:pPr>
              <w:tabs>
                <w:tab w:val="right" w:pos="10466"/>
              </w:tabs>
              <w:jc w:val="center"/>
              <w:rPr>
                <w:b/>
                <w:sz w:val="28"/>
                <w:szCs w:val="28"/>
              </w:rPr>
            </w:pPr>
            <w:r>
              <w:rPr>
                <w:b/>
                <w:sz w:val="28"/>
                <w:szCs w:val="28"/>
              </w:rPr>
              <w:t>Request for extension of induction period</w:t>
            </w:r>
          </w:p>
        </w:tc>
      </w:tr>
      <w:tr w:rsidR="00BC32D5" w:rsidTr="00910D18">
        <w:tc>
          <w:tcPr>
            <w:tcW w:w="10456" w:type="dxa"/>
            <w:gridSpan w:val="2"/>
            <w:shd w:val="clear" w:color="auto" w:fill="EFEFFF"/>
          </w:tcPr>
          <w:p w:rsidR="00BC32D5" w:rsidRPr="00F95055" w:rsidRDefault="00BC32D5" w:rsidP="00BC32D5">
            <w:pPr>
              <w:tabs>
                <w:tab w:val="right" w:pos="10466"/>
              </w:tabs>
              <w:rPr>
                <w:b/>
                <w:sz w:val="24"/>
                <w:szCs w:val="24"/>
              </w:rPr>
            </w:pPr>
            <w:r w:rsidRPr="00BC32D5">
              <w:rPr>
                <w:sz w:val="24"/>
                <w:szCs w:val="24"/>
              </w:rPr>
              <w:t>The appropriate body has the option, when making its decision at the end of the induction period, to extend the period</w:t>
            </w:r>
            <w:r>
              <w:rPr>
                <w:b/>
                <w:sz w:val="24"/>
                <w:szCs w:val="24"/>
              </w:rPr>
              <w:t xml:space="preserve"> where this can be justified. </w:t>
            </w:r>
            <w:r w:rsidRPr="00BC32D5">
              <w:rPr>
                <w:sz w:val="24"/>
                <w:szCs w:val="24"/>
              </w:rPr>
              <w:t>It determines the length of the extension, the procedure for assessments during it, and the recommendation at its end. The appropriate body may decide to extend where there is insufficient evidence on which a decision can be based or where it would be unreasonable to expect the NQT to have demonstrated satisfactory performance against the relevant standards for other reasons. These might include</w:t>
            </w:r>
            <w:r>
              <w:rPr>
                <w:b/>
                <w:sz w:val="24"/>
                <w:szCs w:val="24"/>
              </w:rPr>
              <w:t xml:space="preserve"> personal crises/ illness/ disability/ issues around the support during induction/ where there is insufficient evidence within induction documentation for a decision to be made about whether the NQT’s performance against the standards is satisfactory.</w:t>
            </w:r>
          </w:p>
        </w:tc>
      </w:tr>
      <w:tr w:rsidR="00266775" w:rsidTr="00266775">
        <w:tc>
          <w:tcPr>
            <w:tcW w:w="10456" w:type="dxa"/>
            <w:gridSpan w:val="2"/>
            <w:shd w:val="clear" w:color="auto" w:fill="auto"/>
          </w:tcPr>
          <w:p w:rsidR="00266775" w:rsidRDefault="00266775" w:rsidP="00BC32D5">
            <w:pPr>
              <w:tabs>
                <w:tab w:val="right" w:pos="10466"/>
              </w:tabs>
              <w:rPr>
                <w:sz w:val="24"/>
                <w:szCs w:val="24"/>
              </w:rPr>
            </w:pPr>
            <w:r>
              <w:rPr>
                <w:sz w:val="24"/>
                <w:szCs w:val="24"/>
              </w:rPr>
              <w:t>Please indicate below, with clear justification, the reasons for which you are requesting an extension of the induction period.</w:t>
            </w: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Default="00266775" w:rsidP="00BC32D5">
            <w:pPr>
              <w:tabs>
                <w:tab w:val="right" w:pos="10466"/>
              </w:tabs>
              <w:rPr>
                <w:sz w:val="24"/>
                <w:szCs w:val="24"/>
              </w:rPr>
            </w:pPr>
          </w:p>
          <w:p w:rsidR="00266775" w:rsidRPr="00BC32D5" w:rsidRDefault="00266775" w:rsidP="00BC32D5">
            <w:pPr>
              <w:tabs>
                <w:tab w:val="right" w:pos="10466"/>
              </w:tabs>
              <w:rPr>
                <w:sz w:val="24"/>
                <w:szCs w:val="24"/>
              </w:rPr>
            </w:pPr>
          </w:p>
        </w:tc>
      </w:tr>
    </w:tbl>
    <w:p w:rsidR="00F95055" w:rsidRDefault="000C3F10" w:rsidP="00F95055">
      <w:pPr>
        <w:tabs>
          <w:tab w:val="right" w:pos="10466"/>
        </w:tabs>
      </w:pPr>
      <w:r>
        <w:t>Please continue on separate sheet if needed and attach to this sheet before returning.</w:t>
      </w:r>
    </w:p>
    <w:p w:rsidR="000C3F10" w:rsidRDefault="000C3F10" w:rsidP="003C2711">
      <w:pPr>
        <w:tabs>
          <w:tab w:val="right" w:pos="10466"/>
        </w:tabs>
      </w:pPr>
    </w:p>
    <w:sectPr w:rsidR="000C3F10" w:rsidSect="00A46DB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82B" w:rsidRDefault="0069282B" w:rsidP="00A46DBE">
      <w:pPr>
        <w:spacing w:after="0" w:line="240" w:lineRule="auto"/>
      </w:pPr>
      <w:r>
        <w:separator/>
      </w:r>
    </w:p>
  </w:endnote>
  <w:endnote w:type="continuationSeparator" w:id="0">
    <w:p w:rsidR="0069282B" w:rsidRDefault="0069282B" w:rsidP="00A4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2EA" w:rsidRPr="000932EA" w:rsidRDefault="000932EA" w:rsidP="000932EA">
    <w:pPr>
      <w:pStyle w:val="Footer"/>
      <w:jc w:val="right"/>
      <w:rPr>
        <w:i/>
      </w:rPr>
    </w:pPr>
    <w:r w:rsidRPr="000932EA">
      <w:rPr>
        <w:i/>
      </w:rPr>
      <w:t xml:space="preserve">TELA NQT Induction </w:t>
    </w:r>
    <w:r w:rsidR="00302184">
      <w:rPr>
        <w:i/>
      </w:rPr>
      <w:t>AR</w:t>
    </w:r>
    <w:r w:rsidR="003C2711">
      <w:rPr>
        <w:i/>
      </w:rPr>
      <w:t>EXT</w:t>
    </w:r>
    <w:r w:rsidRPr="000932EA">
      <w:rPr>
        <w:i/>
      </w:rPr>
      <w:t xml:space="preserve"> </w:t>
    </w:r>
    <w:r w:rsidR="00FA3EFB">
      <w:rPr>
        <w:i/>
      </w:rPr>
      <w:t>042017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82B" w:rsidRDefault="0069282B" w:rsidP="00A46DBE">
      <w:pPr>
        <w:spacing w:after="0" w:line="240" w:lineRule="auto"/>
      </w:pPr>
      <w:r>
        <w:separator/>
      </w:r>
    </w:p>
  </w:footnote>
  <w:footnote w:type="continuationSeparator" w:id="0">
    <w:p w:rsidR="0069282B" w:rsidRDefault="0069282B" w:rsidP="00A46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DBE" w:rsidRPr="000932EA" w:rsidRDefault="00FA3EFB">
    <w:pPr>
      <w:pStyle w:val="Header"/>
      <w:rPr>
        <w:rFonts w:ascii="Aharoni" w:hAnsi="Aharoni" w:cs="Aharoni"/>
        <w:color w:val="7030A0"/>
        <w:sz w:val="28"/>
        <w:szCs w:val="28"/>
      </w:rPr>
    </w:pPr>
    <w:r w:rsidRPr="00FA3EFB">
      <w:rPr>
        <w:rFonts w:ascii="Aharoni" w:hAnsi="Aharoni" w:cs="Aharoni"/>
        <w:noProof/>
        <w:sz w:val="28"/>
        <w:szCs w:val="28"/>
        <w:lang w:eastAsia="en-GB"/>
      </w:rPr>
      <w:drawing>
        <wp:anchor distT="0" distB="0" distL="114300" distR="114300" simplePos="0" relativeHeight="251658240" behindDoc="0" locked="0" layoutInCell="1" allowOverlap="1">
          <wp:simplePos x="0" y="0"/>
          <wp:positionH relativeFrom="column">
            <wp:posOffset>95250</wp:posOffset>
          </wp:positionH>
          <wp:positionV relativeFrom="paragraph">
            <wp:posOffset>-1905</wp:posOffset>
          </wp:positionV>
          <wp:extent cx="1354455" cy="542925"/>
          <wp:effectExtent l="0" t="0" r="0" b="9525"/>
          <wp:wrapSquare wrapText="bothSides"/>
          <wp:docPr id="3" name="Picture 3" descr="H:\my documents\TELA branding\changed TELA logo high 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TELA branding\changed TELA logo high def.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445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6DBE" w:rsidRPr="00A46DBE">
      <w:rPr>
        <w:rFonts w:ascii="Aharoni" w:hAnsi="Aharoni" w:cs="Aharoni"/>
        <w:sz w:val="28"/>
        <w:szCs w:val="28"/>
      </w:rPr>
      <w:t xml:space="preserve">    </w:t>
    </w:r>
    <w:r w:rsidR="00A46DBE" w:rsidRPr="000932EA">
      <w:rPr>
        <w:rFonts w:ascii="Aharoni" w:hAnsi="Aharoni" w:cs="Aharoni"/>
        <w:color w:val="7030A0"/>
        <w:sz w:val="28"/>
        <w:szCs w:val="28"/>
      </w:rPr>
      <w:t xml:space="preserve">Thomas </w:t>
    </w:r>
    <w:proofErr w:type="spellStart"/>
    <w:r w:rsidR="00A46DBE" w:rsidRPr="000932EA">
      <w:rPr>
        <w:rFonts w:ascii="Aharoni" w:hAnsi="Aharoni" w:cs="Aharoni"/>
        <w:color w:val="7030A0"/>
        <w:sz w:val="28"/>
        <w:szCs w:val="28"/>
      </w:rPr>
      <w:t>Estley</w:t>
    </w:r>
    <w:proofErr w:type="spellEnd"/>
    <w:r w:rsidR="00A46DBE" w:rsidRPr="000932EA">
      <w:rPr>
        <w:rFonts w:ascii="Aharoni" w:hAnsi="Aharoni" w:cs="Aharoni"/>
        <w:color w:val="7030A0"/>
        <w:sz w:val="28"/>
        <w:szCs w:val="28"/>
      </w:rPr>
      <w:t xml:space="preserve"> Learning Alliance NQT induction</w:t>
    </w:r>
  </w:p>
  <w:p w:rsidR="00A46DBE" w:rsidRDefault="00A46DBE" w:rsidP="00B90EAA">
    <w:pPr>
      <w:pStyle w:val="Header"/>
      <w:rPr>
        <w:rFonts w:ascii="Aharoni" w:hAnsi="Aharoni" w:cs="Aharoni"/>
        <w:color w:val="7030A0"/>
        <w:sz w:val="28"/>
        <w:szCs w:val="28"/>
      </w:rPr>
    </w:pPr>
    <w:r w:rsidRPr="000932EA">
      <w:rPr>
        <w:rFonts w:ascii="Aharoni" w:hAnsi="Aharoni" w:cs="Aharoni"/>
        <w:color w:val="7030A0"/>
        <w:sz w:val="28"/>
        <w:szCs w:val="28"/>
      </w:rPr>
      <w:t xml:space="preserve">    NQT </w:t>
    </w:r>
    <w:r w:rsidR="00BC32D5">
      <w:rPr>
        <w:rFonts w:ascii="Aharoni" w:hAnsi="Aharoni" w:cs="Aharoni"/>
        <w:color w:val="7030A0"/>
        <w:sz w:val="28"/>
        <w:szCs w:val="28"/>
      </w:rPr>
      <w:t>nominated for extension of induction period</w:t>
    </w:r>
  </w:p>
  <w:p w:rsidR="00226314" w:rsidRPr="000932EA" w:rsidRDefault="00226314" w:rsidP="00B90EAA">
    <w:pPr>
      <w:pStyle w:val="Header"/>
      <w:rPr>
        <w:rFonts w:ascii="Aharoni" w:hAnsi="Aharoni" w:cs="Aharoni"/>
        <w:color w:val="7030A0"/>
        <w:sz w:val="28"/>
        <w:szCs w:val="28"/>
      </w:rPr>
    </w:pPr>
    <w:r>
      <w:rPr>
        <w:rFonts w:ascii="Aharoni" w:hAnsi="Aharoni" w:cs="Aharoni"/>
        <w:color w:val="7030A0"/>
        <w:sz w:val="28"/>
        <w:szCs w:val="28"/>
      </w:rPr>
      <w:t xml:space="preserve">    Form AR</w:t>
    </w:r>
    <w:r w:rsidR="003C2711">
      <w:rPr>
        <w:rFonts w:ascii="Aharoni" w:hAnsi="Aharoni" w:cs="Aharoni"/>
        <w:color w:val="7030A0"/>
        <w:sz w:val="28"/>
        <w:szCs w:val="28"/>
      </w:rPr>
      <w:t>EXT</w:t>
    </w:r>
  </w:p>
  <w:p w:rsidR="00A46DBE" w:rsidRDefault="00A46D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ED0B9F"/>
    <w:multiLevelType w:val="hybridMultilevel"/>
    <w:tmpl w:val="E476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986A34"/>
    <w:multiLevelType w:val="hybridMultilevel"/>
    <w:tmpl w:val="3E6A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BE"/>
    <w:rsid w:val="000932EA"/>
    <w:rsid w:val="000C3F10"/>
    <w:rsid w:val="00226314"/>
    <w:rsid w:val="00266775"/>
    <w:rsid w:val="002D7FB5"/>
    <w:rsid w:val="00302184"/>
    <w:rsid w:val="003C2711"/>
    <w:rsid w:val="0054641B"/>
    <w:rsid w:val="005565F6"/>
    <w:rsid w:val="0069282B"/>
    <w:rsid w:val="0069471D"/>
    <w:rsid w:val="007B38AE"/>
    <w:rsid w:val="009874F0"/>
    <w:rsid w:val="00995592"/>
    <w:rsid w:val="00A46DBE"/>
    <w:rsid w:val="00B90EAA"/>
    <w:rsid w:val="00BC32D5"/>
    <w:rsid w:val="00F458E7"/>
    <w:rsid w:val="00F95055"/>
    <w:rsid w:val="00FA3EFB"/>
    <w:rsid w:val="00FF5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CF82B0-8D9F-4B49-A724-571BAA25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DBE"/>
  </w:style>
  <w:style w:type="paragraph" w:styleId="Footer">
    <w:name w:val="footer"/>
    <w:basedOn w:val="Normal"/>
    <w:link w:val="FooterChar"/>
    <w:uiPriority w:val="99"/>
    <w:unhideWhenUsed/>
    <w:rsid w:val="00A46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DBE"/>
  </w:style>
  <w:style w:type="table" w:styleId="TableGrid">
    <w:name w:val="Table Grid"/>
    <w:basedOn w:val="TableNormal"/>
    <w:uiPriority w:val="39"/>
    <w:rsid w:val="00A46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DBE"/>
    <w:pPr>
      <w:ind w:left="720"/>
      <w:contextualSpacing/>
    </w:pPr>
  </w:style>
  <w:style w:type="character" w:styleId="Hyperlink">
    <w:name w:val="Hyperlink"/>
    <w:basedOn w:val="DefaultParagraphFont"/>
    <w:uiPriority w:val="99"/>
    <w:unhideWhenUsed/>
    <w:rsid w:val="00F950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QT@thomasestle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Collins</dc:creator>
  <cp:keywords/>
  <dc:description/>
  <cp:lastModifiedBy>Jen</cp:lastModifiedBy>
  <cp:revision>4</cp:revision>
  <cp:lastPrinted>2016-08-13T16:09:00Z</cp:lastPrinted>
  <dcterms:created xsi:type="dcterms:W3CDTF">2016-10-31T10:16:00Z</dcterms:created>
  <dcterms:modified xsi:type="dcterms:W3CDTF">2019-07-04T14:19:00Z</dcterms:modified>
</cp:coreProperties>
</file>