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57" w:rsidRDefault="001A0680" w:rsidP="00992ADA">
      <w:pPr>
        <w:pStyle w:val="Title"/>
        <w:rPr>
          <w:b/>
          <w:bCs/>
          <w:color w:val="7030A0"/>
        </w:rPr>
      </w:pPr>
      <w:r w:rsidRPr="001A0680">
        <w:rPr>
          <w:b/>
          <w:noProof/>
          <w:color w:val="7030A0"/>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743075" cy="697865"/>
            <wp:effectExtent l="0" t="0" r="9525" b="6985"/>
            <wp:wrapSquare wrapText="bothSides"/>
            <wp:docPr id="2" name="Picture 2" descr="H:\my documents\TELA branding\changed TELA logo high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TELA branding\changed TELA logo high d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267E57" w:rsidRPr="00267E57">
        <w:rPr>
          <w:b/>
          <w:color w:val="7030A0"/>
        </w:rPr>
        <w:t>TELA</w:t>
      </w:r>
      <w:r w:rsidR="00E673C5" w:rsidRPr="00267E57">
        <w:rPr>
          <w:b/>
          <w:color w:val="7030A0"/>
        </w:rPr>
        <w:t xml:space="preserve"> </w:t>
      </w:r>
      <w:r w:rsidR="00E35252" w:rsidRPr="00267E57">
        <w:rPr>
          <w:b/>
          <w:color w:val="7030A0"/>
        </w:rPr>
        <w:t xml:space="preserve"> -</w:t>
      </w:r>
      <w:proofErr w:type="gramEnd"/>
      <w:r w:rsidR="00E35252" w:rsidRPr="00267E57">
        <w:rPr>
          <w:b/>
          <w:color w:val="7030A0"/>
        </w:rPr>
        <w:t xml:space="preserve"> </w:t>
      </w:r>
      <w:r w:rsidR="00E35252" w:rsidRPr="00267E57">
        <w:rPr>
          <w:b/>
          <w:bCs/>
          <w:color w:val="7030A0"/>
        </w:rPr>
        <w:t>NQT induction</w:t>
      </w:r>
      <w:r w:rsidR="00992ADA" w:rsidRPr="00267E57">
        <w:rPr>
          <w:b/>
          <w:bCs/>
          <w:color w:val="7030A0"/>
        </w:rPr>
        <w:t xml:space="preserve">                             </w:t>
      </w:r>
    </w:p>
    <w:p w:rsidR="00992ADA" w:rsidRPr="00267E57" w:rsidRDefault="00267E57" w:rsidP="00992ADA">
      <w:pPr>
        <w:pStyle w:val="Title"/>
        <w:rPr>
          <w:b/>
          <w:bCs/>
          <w:color w:val="7030A0"/>
        </w:rPr>
      </w:pPr>
      <w:r w:rsidRPr="00267E57">
        <w:rPr>
          <w:b/>
          <w:bCs/>
          <w:color w:val="7030A0"/>
        </w:rPr>
        <w:t xml:space="preserve">Roles </w:t>
      </w:r>
      <w:r w:rsidR="00992ADA" w:rsidRPr="00267E57">
        <w:rPr>
          <w:b/>
          <w:bCs/>
          <w:color w:val="7030A0"/>
        </w:rPr>
        <w:t>and Responsibilities</w:t>
      </w:r>
    </w:p>
    <w:p w:rsidR="00E673C5" w:rsidRPr="00E35252" w:rsidRDefault="00E673C5" w:rsidP="00E673C5">
      <w:pPr>
        <w:pStyle w:val="Title"/>
        <w:rPr>
          <w:b/>
          <w:color w:val="009900"/>
          <w:sz w:val="32"/>
          <w:szCs w:val="32"/>
        </w:rPr>
      </w:pPr>
    </w:p>
    <w:tbl>
      <w:tblPr>
        <w:tblStyle w:val="TableGrid"/>
        <w:tblW w:w="0" w:type="auto"/>
        <w:tblLook w:val="04A0" w:firstRow="1" w:lastRow="0" w:firstColumn="1" w:lastColumn="0" w:noHBand="0" w:noVBand="1"/>
      </w:tblPr>
      <w:tblGrid>
        <w:gridCol w:w="2133"/>
        <w:gridCol w:w="8323"/>
      </w:tblGrid>
      <w:tr w:rsidR="00190E98" w:rsidTr="00267E57">
        <w:tc>
          <w:tcPr>
            <w:tcW w:w="1809" w:type="dxa"/>
            <w:shd w:val="clear" w:color="auto" w:fill="CCCCFF"/>
          </w:tcPr>
          <w:p w:rsidR="00190E98" w:rsidRPr="00190E98" w:rsidRDefault="00190E98" w:rsidP="00E673C5">
            <w:pPr>
              <w:rPr>
                <w:b/>
                <w:sz w:val="36"/>
                <w:szCs w:val="36"/>
              </w:rPr>
            </w:pPr>
            <w:r w:rsidRPr="00190E98">
              <w:rPr>
                <w:b/>
                <w:sz w:val="36"/>
                <w:szCs w:val="36"/>
              </w:rPr>
              <w:t>NQT</w:t>
            </w:r>
          </w:p>
        </w:tc>
        <w:tc>
          <w:tcPr>
            <w:tcW w:w="8873" w:type="dxa"/>
            <w:shd w:val="clear" w:color="auto" w:fill="CCCCFF"/>
          </w:tcPr>
          <w:p w:rsidR="006E3ED6" w:rsidRPr="006E3ED6" w:rsidRDefault="006E3ED6" w:rsidP="006E3ED6">
            <w:pPr>
              <w:autoSpaceDE w:val="0"/>
              <w:autoSpaceDN w:val="0"/>
              <w:adjustRightInd w:val="0"/>
              <w:spacing w:after="255" w:line="331" w:lineRule="atLeast"/>
              <w:rPr>
                <w:rFonts w:ascii="Arial" w:hAnsi="Arial" w:cs="Arial"/>
                <w:color w:val="000000"/>
                <w:sz w:val="23"/>
                <w:szCs w:val="23"/>
              </w:rPr>
            </w:pP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provide evidence that they have QTS and are eligible to start induction;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meet with their induction tutor to discuss and agree priorities for their induction programme and keep these under review;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agree with their induction tutor how best to use their reduced timetable allowance;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provide evidence of their progress against the relevant standards (see para 1.5);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participate fully in the agreed monitoring and development programme;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raise any concerns with their induction tutor as soon as practicable;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consult their appropriate body named contact at an early stage if there are or may be difficulties in resolving issues with their tutor/within the institution;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keep track of and participate effectively in the scheduled classroom observations, progress reviews and formal assessment meetings; </w:t>
            </w:r>
          </w:p>
          <w:p w:rsidR="006E3ED6" w:rsidRPr="006E3ED6" w:rsidRDefault="006E3ED6" w:rsidP="006E3ED6">
            <w:pPr>
              <w:numPr>
                <w:ilvl w:val="0"/>
                <w:numId w:val="17"/>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agree with their induction tutor the start and end dates of the induction period/part periods and the dates of any absences from work during any period/part period; and </w:t>
            </w:r>
          </w:p>
          <w:p w:rsidR="006E3ED6" w:rsidRPr="006E3ED6" w:rsidRDefault="006E3ED6" w:rsidP="006E3ED6">
            <w:pPr>
              <w:numPr>
                <w:ilvl w:val="0"/>
                <w:numId w:val="17"/>
              </w:numPr>
              <w:autoSpaceDE w:val="0"/>
              <w:autoSpaceDN w:val="0"/>
              <w:adjustRightInd w:val="0"/>
              <w:rPr>
                <w:rFonts w:ascii="Arial" w:hAnsi="Arial" w:cs="Arial"/>
                <w:color w:val="000000"/>
                <w:sz w:val="23"/>
                <w:szCs w:val="23"/>
              </w:rPr>
            </w:pPr>
            <w:r w:rsidRPr="006E3ED6">
              <w:rPr>
                <w:rFonts w:ascii="Arial" w:hAnsi="Arial" w:cs="Arial"/>
                <w:color w:val="000000"/>
                <w:sz w:val="23"/>
                <w:szCs w:val="23"/>
              </w:rPr>
              <w:t xml:space="preserve">retain copies of all assessment forms. </w:t>
            </w:r>
          </w:p>
          <w:p w:rsidR="00190E98" w:rsidRDefault="00190E98" w:rsidP="006E3ED6">
            <w:pPr>
              <w:pStyle w:val="Default"/>
              <w:rPr>
                <w:b/>
                <w:sz w:val="18"/>
                <w:szCs w:val="18"/>
              </w:rPr>
            </w:pPr>
          </w:p>
        </w:tc>
      </w:tr>
      <w:tr w:rsidR="00190E98" w:rsidTr="00267E57">
        <w:trPr>
          <w:trHeight w:val="5389"/>
        </w:trPr>
        <w:tc>
          <w:tcPr>
            <w:tcW w:w="1809" w:type="dxa"/>
            <w:shd w:val="clear" w:color="auto" w:fill="EFEFFF"/>
          </w:tcPr>
          <w:p w:rsidR="00190E98" w:rsidRPr="00190E98" w:rsidRDefault="00190E98" w:rsidP="00E673C5">
            <w:pPr>
              <w:rPr>
                <w:b/>
                <w:sz w:val="36"/>
                <w:szCs w:val="36"/>
              </w:rPr>
            </w:pPr>
            <w:r>
              <w:rPr>
                <w:b/>
                <w:sz w:val="36"/>
                <w:szCs w:val="36"/>
              </w:rPr>
              <w:t>Induction Tutor</w:t>
            </w:r>
          </w:p>
        </w:tc>
        <w:tc>
          <w:tcPr>
            <w:tcW w:w="8873" w:type="dxa"/>
            <w:shd w:val="clear" w:color="auto" w:fill="EFEFFF"/>
          </w:tcPr>
          <w:p w:rsidR="006E3ED6" w:rsidRPr="006E3ED6" w:rsidRDefault="006E3ED6" w:rsidP="006E3ED6">
            <w:pPr>
              <w:rPr>
                <w:rFonts w:ascii="Arial" w:hAnsi="Arial" w:cs="Arial"/>
                <w:color w:val="000000"/>
                <w:sz w:val="24"/>
                <w:szCs w:val="24"/>
              </w:rPr>
            </w:pPr>
          </w:p>
          <w:p w:rsidR="006E3ED6" w:rsidRPr="006E3ED6" w:rsidRDefault="006E3ED6" w:rsidP="006E3ED6">
            <w:pPr>
              <w:numPr>
                <w:ilvl w:val="0"/>
                <w:numId w:val="18"/>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provide, or coordinate, guidance and effective support including coaching and mentoring for the NQT’s professional development (with the appropriate body where necessary); </w:t>
            </w:r>
          </w:p>
          <w:p w:rsidR="006E3ED6" w:rsidRPr="006E3ED6" w:rsidRDefault="006E3ED6" w:rsidP="006E3ED6">
            <w:pPr>
              <w:numPr>
                <w:ilvl w:val="0"/>
                <w:numId w:val="18"/>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carry out regular progress reviews throughout the induction period; </w:t>
            </w:r>
          </w:p>
          <w:p w:rsidR="006E3ED6" w:rsidRPr="006E3ED6" w:rsidRDefault="006E3ED6" w:rsidP="006E3ED6">
            <w:pPr>
              <w:numPr>
                <w:ilvl w:val="0"/>
                <w:numId w:val="18"/>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undertake three formal assessment meetings during the total induction period coordinating input from other colleagues as appropriate (normally one per term, or pro rata for part-time staff); </w:t>
            </w:r>
          </w:p>
          <w:p w:rsidR="006E3ED6" w:rsidRPr="006E3ED6" w:rsidRDefault="006E3ED6" w:rsidP="006E3ED6">
            <w:pPr>
              <w:numPr>
                <w:ilvl w:val="0"/>
                <w:numId w:val="18"/>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inform the NQT during the assessment meeting of the judgements to be recorded in the formal assessment record and invite the NQT to add their comments; </w:t>
            </w:r>
          </w:p>
          <w:p w:rsidR="006E3ED6" w:rsidRPr="006E3ED6" w:rsidRDefault="006E3ED6" w:rsidP="006E3ED6">
            <w:pPr>
              <w:numPr>
                <w:ilvl w:val="0"/>
                <w:numId w:val="18"/>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ensure that the NQT’s teaching is observed and feedback provided; </w:t>
            </w:r>
          </w:p>
          <w:p w:rsidR="006E3ED6" w:rsidRPr="006E3ED6" w:rsidRDefault="006E3ED6" w:rsidP="006E3ED6">
            <w:pPr>
              <w:numPr>
                <w:ilvl w:val="0"/>
                <w:numId w:val="18"/>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ensure NQTs are aware of how, both within and outside the institution, they can raise any concerns about their induction programme or their personal progress; and </w:t>
            </w:r>
          </w:p>
          <w:p w:rsidR="006E3ED6" w:rsidRPr="006E3ED6" w:rsidRDefault="006E3ED6" w:rsidP="006E3ED6">
            <w:pPr>
              <w:numPr>
                <w:ilvl w:val="0"/>
                <w:numId w:val="18"/>
              </w:numPr>
              <w:autoSpaceDE w:val="0"/>
              <w:autoSpaceDN w:val="0"/>
              <w:adjustRightInd w:val="0"/>
              <w:rPr>
                <w:rFonts w:ascii="Arial" w:hAnsi="Arial" w:cs="Arial"/>
                <w:color w:val="000000"/>
                <w:sz w:val="23"/>
                <w:szCs w:val="23"/>
              </w:rPr>
            </w:pPr>
            <w:r w:rsidRPr="006E3ED6">
              <w:rPr>
                <w:rFonts w:ascii="Arial" w:hAnsi="Arial" w:cs="Arial"/>
                <w:color w:val="000000"/>
                <w:sz w:val="23"/>
                <w:szCs w:val="23"/>
              </w:rPr>
              <w:t xml:space="preserve">take prompt, appropriate action if an NQT appears to be having difficulties. </w:t>
            </w:r>
          </w:p>
          <w:p w:rsidR="00190E98" w:rsidRPr="00AE3920" w:rsidRDefault="00190E98" w:rsidP="00AE3920">
            <w:pPr>
              <w:pStyle w:val="Default"/>
              <w:rPr>
                <w:sz w:val="23"/>
                <w:szCs w:val="23"/>
              </w:rPr>
            </w:pPr>
          </w:p>
        </w:tc>
      </w:tr>
      <w:tr w:rsidR="00B550C0" w:rsidTr="00267E57">
        <w:trPr>
          <w:trHeight w:val="5389"/>
        </w:trPr>
        <w:tc>
          <w:tcPr>
            <w:tcW w:w="1809" w:type="dxa"/>
            <w:tcBorders>
              <w:bottom w:val="single" w:sz="4" w:space="0" w:color="auto"/>
            </w:tcBorders>
            <w:shd w:val="clear" w:color="auto" w:fill="E8C4FC"/>
          </w:tcPr>
          <w:p w:rsidR="00B550C0" w:rsidRDefault="00B550C0" w:rsidP="00E673C5">
            <w:pPr>
              <w:rPr>
                <w:b/>
                <w:sz w:val="36"/>
                <w:szCs w:val="36"/>
              </w:rPr>
            </w:pPr>
            <w:r>
              <w:rPr>
                <w:b/>
                <w:sz w:val="36"/>
                <w:szCs w:val="36"/>
              </w:rPr>
              <w:lastRenderedPageBreak/>
              <w:t>Headteacher</w:t>
            </w:r>
          </w:p>
        </w:tc>
        <w:tc>
          <w:tcPr>
            <w:tcW w:w="8873" w:type="dxa"/>
            <w:tcBorders>
              <w:bottom w:val="single" w:sz="4" w:space="0" w:color="auto"/>
            </w:tcBorders>
            <w:shd w:val="clear" w:color="auto" w:fill="E8C4FC"/>
          </w:tcPr>
          <w:p w:rsidR="006E3ED6" w:rsidRPr="006E3ED6" w:rsidRDefault="006E3ED6" w:rsidP="006E3ED6">
            <w:pPr>
              <w:autoSpaceDE w:val="0"/>
              <w:autoSpaceDN w:val="0"/>
              <w:adjustRightInd w:val="0"/>
              <w:spacing w:after="255" w:line="331" w:lineRule="atLeast"/>
              <w:ind w:left="720" w:right="160" w:hanging="720"/>
              <w:rPr>
                <w:rFonts w:ascii="Arial" w:hAnsi="Arial" w:cs="Arial"/>
                <w:color w:val="000000"/>
                <w:sz w:val="23"/>
                <w:szCs w:val="23"/>
              </w:rPr>
            </w:pPr>
            <w:r w:rsidRPr="006E3ED6">
              <w:rPr>
                <w:rFonts w:ascii="Arial" w:hAnsi="Arial" w:cs="Arial"/>
                <w:color w:val="000000"/>
                <w:sz w:val="23"/>
                <w:szCs w:val="23"/>
              </w:rPr>
              <w:t xml:space="preserve">The </w:t>
            </w:r>
            <w:proofErr w:type="spellStart"/>
            <w:r w:rsidRPr="006E3ED6">
              <w:rPr>
                <w:rFonts w:ascii="Arial" w:hAnsi="Arial" w:cs="Arial"/>
                <w:color w:val="000000"/>
                <w:sz w:val="23"/>
                <w:szCs w:val="23"/>
              </w:rPr>
              <w:t>headteacher</w:t>
            </w:r>
            <w:proofErr w:type="spellEnd"/>
            <w:r w:rsidRPr="006E3ED6">
              <w:rPr>
                <w:rFonts w:ascii="Arial" w:hAnsi="Arial" w:cs="Arial"/>
                <w:color w:val="000000"/>
                <w:sz w:val="23"/>
                <w:szCs w:val="23"/>
              </w:rPr>
              <w:t>/principal is, along wit</w:t>
            </w:r>
            <w:r>
              <w:rPr>
                <w:rFonts w:ascii="Arial" w:hAnsi="Arial" w:cs="Arial"/>
                <w:color w:val="000000"/>
                <w:sz w:val="23"/>
                <w:szCs w:val="23"/>
              </w:rPr>
              <w:t xml:space="preserve">h the appropriate body, jointly </w:t>
            </w:r>
            <w:r w:rsidRPr="006E3ED6">
              <w:rPr>
                <w:rFonts w:ascii="Arial" w:hAnsi="Arial" w:cs="Arial"/>
                <w:color w:val="000000"/>
                <w:sz w:val="23"/>
                <w:szCs w:val="23"/>
              </w:rPr>
              <w:t xml:space="preserve">responsible for the monitoring, support and assessment of the NQT during induction, and should: </w:t>
            </w:r>
          </w:p>
          <w:p w:rsidR="006E3ED6" w:rsidRPr="006E3ED6" w:rsidRDefault="006E3ED6" w:rsidP="006E3ED6">
            <w:pPr>
              <w:numPr>
                <w:ilvl w:val="0"/>
                <w:numId w:val="19"/>
              </w:numPr>
              <w:autoSpaceDE w:val="0"/>
              <w:autoSpaceDN w:val="0"/>
              <w:adjustRightInd w:val="0"/>
              <w:spacing w:after="221"/>
              <w:rPr>
                <w:rFonts w:ascii="Arial" w:hAnsi="Arial" w:cs="Arial"/>
                <w:color w:val="000000"/>
                <w:sz w:val="23"/>
                <w:szCs w:val="23"/>
              </w:rPr>
            </w:pPr>
            <w:r w:rsidRPr="006E3ED6">
              <w:rPr>
                <w:rFonts w:ascii="Arial" w:hAnsi="Arial" w:cs="Arial"/>
                <w:color w:val="000000"/>
                <w:sz w:val="23"/>
                <w:szCs w:val="23"/>
              </w:rPr>
              <w:t xml:space="preserve">check that the NQT has been awarded QTS; </w:t>
            </w:r>
          </w:p>
          <w:p w:rsidR="006E3ED6" w:rsidRDefault="006E3ED6" w:rsidP="006E3ED6">
            <w:pPr>
              <w:numPr>
                <w:ilvl w:val="0"/>
                <w:numId w:val="19"/>
              </w:numPr>
              <w:autoSpaceDE w:val="0"/>
              <w:autoSpaceDN w:val="0"/>
              <w:adjustRightInd w:val="0"/>
              <w:rPr>
                <w:rFonts w:ascii="Arial" w:hAnsi="Arial" w:cs="Arial"/>
                <w:color w:val="000000"/>
                <w:sz w:val="23"/>
                <w:szCs w:val="23"/>
              </w:rPr>
            </w:pPr>
            <w:r w:rsidRPr="006E3ED6">
              <w:rPr>
                <w:rFonts w:ascii="Arial" w:hAnsi="Arial" w:cs="Arial"/>
                <w:color w:val="000000"/>
                <w:sz w:val="23"/>
                <w:szCs w:val="23"/>
              </w:rPr>
              <w:t xml:space="preserve">clarify whether the teacher needs to serve an induction period or is exempt; </w:t>
            </w:r>
          </w:p>
          <w:p w:rsidR="006E3ED6" w:rsidRDefault="006E3ED6" w:rsidP="006E3ED6">
            <w:pPr>
              <w:autoSpaceDE w:val="0"/>
              <w:autoSpaceDN w:val="0"/>
              <w:adjustRightInd w:val="0"/>
              <w:rPr>
                <w:rFonts w:ascii="Arial" w:hAnsi="Arial" w:cs="Arial"/>
                <w:color w:val="000000"/>
                <w:sz w:val="23"/>
                <w:szCs w:val="23"/>
              </w:rPr>
            </w:pPr>
          </w:p>
          <w:p w:rsidR="006E3ED6" w:rsidRPr="006E3ED6" w:rsidRDefault="006E3ED6" w:rsidP="006E3ED6">
            <w:pPr>
              <w:numPr>
                <w:ilvl w:val="0"/>
                <w:numId w:val="19"/>
              </w:numPr>
              <w:autoSpaceDE w:val="0"/>
              <w:autoSpaceDN w:val="0"/>
              <w:adjustRightInd w:val="0"/>
              <w:rPr>
                <w:rFonts w:ascii="Arial" w:hAnsi="Arial" w:cs="Arial"/>
                <w:color w:val="000000"/>
                <w:sz w:val="23"/>
                <w:szCs w:val="23"/>
              </w:rPr>
            </w:pPr>
            <w:r w:rsidRPr="006E3ED6">
              <w:rPr>
                <w:rFonts w:ascii="Arial" w:hAnsi="Arial" w:cs="Arial"/>
                <w:color w:val="000000"/>
                <w:sz w:val="23"/>
                <w:szCs w:val="23"/>
              </w:rPr>
              <w:t xml:space="preserve">agree, in advance of the NQT starting the induction programme, which body </w:t>
            </w:r>
            <w:r w:rsidRPr="006E3ED6">
              <w:rPr>
                <w:rFonts w:ascii="Arial" w:hAnsi="Arial" w:cs="Arial"/>
                <w:sz w:val="23"/>
                <w:szCs w:val="23"/>
              </w:rPr>
              <w:t xml:space="preserve">will act as the appropriate body; </w:t>
            </w:r>
          </w:p>
          <w:p w:rsidR="006E3ED6" w:rsidRPr="006E3ED6" w:rsidRDefault="006E3ED6" w:rsidP="006E3ED6">
            <w:pPr>
              <w:numPr>
                <w:ilvl w:val="1"/>
                <w:numId w:val="19"/>
              </w:numPr>
              <w:autoSpaceDE w:val="0"/>
              <w:autoSpaceDN w:val="0"/>
              <w:adjustRightInd w:val="0"/>
              <w:rPr>
                <w:rFonts w:ascii="Arial" w:hAnsi="Arial" w:cs="Arial"/>
                <w:color w:val="000000"/>
                <w:sz w:val="23"/>
                <w:szCs w:val="23"/>
              </w:rPr>
            </w:pP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notify the appropriate body when an NQT is taking up a post in which they will be undertaking induction;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meet the requirements of a suitable post for induction;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ensure the induction tutor is appropriately trained and has sufficient time to carry out their role effectively;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ensure an appropriate and personalised induction programme is in place;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ensure the NQT’s progress is reviewed regularly, including through observations and feedback of their teaching;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ensure that termly assessments are carried out and reports completed and sent to the appropriate body;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maintain and retain accurate records of employment that will count towards the induction period;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make the governing body aware of the arrangements that have been put in place to support NQTs serving induction;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lastRenderedPageBreak/>
              <w:t xml:space="preserve">make a recommendation to the appropriate body on whether the NQT’s performance against the relevant standards is satisfactory or requires an extension; </w:t>
            </w:r>
          </w:p>
          <w:p w:rsidR="006E3ED6" w:rsidRPr="006E3ED6" w:rsidRDefault="006E3ED6" w:rsidP="006E3ED6">
            <w:pPr>
              <w:numPr>
                <w:ilvl w:val="0"/>
                <w:numId w:val="20"/>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participate appropriately in the appropriate body’s quality assurance procedures; and </w:t>
            </w:r>
          </w:p>
          <w:p w:rsidR="006E3ED6" w:rsidRPr="006E3ED6" w:rsidRDefault="006E3ED6" w:rsidP="006E3ED6">
            <w:pPr>
              <w:numPr>
                <w:ilvl w:val="0"/>
                <w:numId w:val="20"/>
              </w:numPr>
              <w:autoSpaceDE w:val="0"/>
              <w:autoSpaceDN w:val="0"/>
              <w:adjustRightInd w:val="0"/>
              <w:rPr>
                <w:rFonts w:ascii="Arial" w:hAnsi="Arial" w:cs="Arial"/>
                <w:sz w:val="23"/>
                <w:szCs w:val="23"/>
              </w:rPr>
            </w:pPr>
            <w:r w:rsidRPr="006E3ED6">
              <w:rPr>
                <w:rFonts w:ascii="Arial" w:hAnsi="Arial" w:cs="Arial"/>
                <w:sz w:val="23"/>
                <w:szCs w:val="23"/>
              </w:rPr>
              <w:t xml:space="preserve">retain all relevant documentation/evidence/forms on file for six years. </w:t>
            </w:r>
          </w:p>
          <w:p w:rsidR="006E3ED6" w:rsidRPr="006E3ED6" w:rsidRDefault="006E3ED6" w:rsidP="006E3ED6">
            <w:pPr>
              <w:autoSpaceDE w:val="0"/>
              <w:autoSpaceDN w:val="0"/>
              <w:adjustRightInd w:val="0"/>
              <w:rPr>
                <w:rFonts w:ascii="Arial" w:hAnsi="Arial" w:cs="Arial"/>
                <w:sz w:val="23"/>
                <w:szCs w:val="23"/>
              </w:rPr>
            </w:pPr>
          </w:p>
          <w:p w:rsidR="006E3ED6" w:rsidRDefault="006E3ED6" w:rsidP="006E3ED6">
            <w:pPr>
              <w:autoSpaceDE w:val="0"/>
              <w:autoSpaceDN w:val="0"/>
              <w:adjustRightInd w:val="0"/>
              <w:spacing w:after="255" w:line="571" w:lineRule="atLeast"/>
              <w:ind w:left="720" w:right="815" w:hanging="720"/>
              <w:jc w:val="both"/>
              <w:rPr>
                <w:rFonts w:ascii="Arial" w:hAnsi="Arial" w:cs="Arial"/>
                <w:sz w:val="23"/>
                <w:szCs w:val="23"/>
              </w:rPr>
            </w:pPr>
            <w:r w:rsidRPr="006E3ED6">
              <w:rPr>
                <w:rFonts w:ascii="Arial" w:hAnsi="Arial" w:cs="Arial"/>
                <w:sz w:val="23"/>
                <w:szCs w:val="23"/>
              </w:rPr>
              <w:t>5.4 There may also be circumstances where th</w:t>
            </w:r>
            <w:r>
              <w:rPr>
                <w:rFonts w:ascii="Arial" w:hAnsi="Arial" w:cs="Arial"/>
                <w:sz w:val="23"/>
                <w:szCs w:val="23"/>
              </w:rPr>
              <w:t xml:space="preserve">e </w:t>
            </w:r>
            <w:proofErr w:type="spellStart"/>
            <w:r>
              <w:rPr>
                <w:rFonts w:ascii="Arial" w:hAnsi="Arial" w:cs="Arial"/>
                <w:sz w:val="23"/>
                <w:szCs w:val="23"/>
              </w:rPr>
              <w:t>headteacher</w:t>
            </w:r>
            <w:proofErr w:type="spellEnd"/>
            <w:r>
              <w:rPr>
                <w:rFonts w:ascii="Arial" w:hAnsi="Arial" w:cs="Arial"/>
                <w:sz w:val="23"/>
                <w:szCs w:val="23"/>
              </w:rPr>
              <w:t>/principal should:</w:t>
            </w:r>
          </w:p>
          <w:p w:rsidR="006E3ED6" w:rsidRPr="006E3ED6" w:rsidRDefault="006E3ED6" w:rsidP="006E3ED6">
            <w:pPr>
              <w:pStyle w:val="ListParagraph"/>
              <w:numPr>
                <w:ilvl w:val="0"/>
                <w:numId w:val="25"/>
              </w:numPr>
              <w:autoSpaceDE w:val="0"/>
              <w:autoSpaceDN w:val="0"/>
              <w:adjustRightInd w:val="0"/>
              <w:spacing w:after="255" w:line="571" w:lineRule="atLeast"/>
              <w:ind w:right="815"/>
              <w:jc w:val="both"/>
              <w:rPr>
                <w:rFonts w:ascii="Arial" w:hAnsi="Arial" w:cs="Arial"/>
                <w:sz w:val="23"/>
                <w:szCs w:val="23"/>
              </w:rPr>
            </w:pPr>
            <w:r w:rsidRPr="006E3ED6">
              <w:rPr>
                <w:rFonts w:ascii="Arial" w:hAnsi="Arial" w:cs="Arial"/>
                <w:sz w:val="23"/>
                <w:szCs w:val="23"/>
              </w:rPr>
              <w:t xml:space="preserve">obtain interim assessments from the NQT’s previous post; </w:t>
            </w:r>
          </w:p>
          <w:p w:rsidR="006E3ED6" w:rsidRPr="006E3ED6" w:rsidRDefault="006E3ED6" w:rsidP="006E3ED6">
            <w:pPr>
              <w:numPr>
                <w:ilvl w:val="0"/>
                <w:numId w:val="21"/>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act early, alerting the appropriate body when necessary, in cases where an NQT may be at risk of not completing induction satisfactorily; </w:t>
            </w:r>
          </w:p>
          <w:p w:rsidR="006E3ED6" w:rsidRPr="006E3ED6" w:rsidRDefault="006E3ED6" w:rsidP="006E3ED6">
            <w:pPr>
              <w:numPr>
                <w:ilvl w:val="0"/>
                <w:numId w:val="21"/>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ensure third-party observation of an NQT who may be at risk of not performing satisfactorily against the relevant standards; </w:t>
            </w:r>
          </w:p>
          <w:p w:rsidR="006E3ED6" w:rsidRPr="006E3ED6" w:rsidRDefault="006E3ED6" w:rsidP="006E3ED6">
            <w:pPr>
              <w:numPr>
                <w:ilvl w:val="0"/>
                <w:numId w:val="21"/>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notify the appropriate body as soon as absences total 30 days or more; </w:t>
            </w:r>
          </w:p>
          <w:p w:rsidR="006E3ED6" w:rsidRPr="006E3ED6" w:rsidRDefault="006E3ED6" w:rsidP="006E3ED6">
            <w:pPr>
              <w:numPr>
                <w:ilvl w:val="0"/>
                <w:numId w:val="21"/>
              </w:numPr>
              <w:autoSpaceDE w:val="0"/>
              <w:autoSpaceDN w:val="0"/>
              <w:adjustRightInd w:val="0"/>
              <w:rPr>
                <w:rFonts w:ascii="Arial" w:hAnsi="Arial" w:cs="Arial"/>
                <w:sz w:val="23"/>
                <w:szCs w:val="23"/>
              </w:rPr>
            </w:pPr>
            <w:r w:rsidRPr="006E3ED6">
              <w:rPr>
                <w:rFonts w:ascii="Arial" w:hAnsi="Arial" w:cs="Arial"/>
                <w:sz w:val="23"/>
                <w:szCs w:val="23"/>
              </w:rPr>
              <w:t xml:space="preserve">periodically inform the governing body about the institution’s induction arrangements; </w:t>
            </w:r>
          </w:p>
          <w:p w:rsidR="006E3ED6" w:rsidRDefault="006E3ED6" w:rsidP="006E3ED6">
            <w:pPr>
              <w:numPr>
                <w:ilvl w:val="1"/>
                <w:numId w:val="21"/>
              </w:numPr>
              <w:autoSpaceDE w:val="0"/>
              <w:autoSpaceDN w:val="0"/>
              <w:adjustRightInd w:val="0"/>
              <w:rPr>
                <w:rFonts w:ascii="Arial" w:hAnsi="Arial" w:cs="Arial"/>
                <w:sz w:val="23"/>
                <w:szCs w:val="23"/>
              </w:rPr>
            </w:pPr>
            <w:r w:rsidRPr="006E3ED6">
              <w:rPr>
                <w:rFonts w:ascii="Arial" w:hAnsi="Arial" w:cs="Arial"/>
                <w:sz w:val="23"/>
                <w:szCs w:val="23"/>
              </w:rPr>
              <w:t xml:space="preserve">advise and agree with the appropriate body in exceptional cases where it may be appropriate to reduce the length of the induction period or deem that it has been satisfactorily completed; </w:t>
            </w:r>
          </w:p>
          <w:p w:rsidR="006E3ED6" w:rsidRPr="006E3ED6" w:rsidRDefault="006E3ED6" w:rsidP="006E3ED6">
            <w:pPr>
              <w:numPr>
                <w:ilvl w:val="1"/>
                <w:numId w:val="21"/>
              </w:numPr>
              <w:autoSpaceDE w:val="0"/>
              <w:autoSpaceDN w:val="0"/>
              <w:adjustRightInd w:val="0"/>
              <w:rPr>
                <w:rFonts w:ascii="Arial" w:hAnsi="Arial" w:cs="Arial"/>
                <w:sz w:val="23"/>
                <w:szCs w:val="23"/>
              </w:rPr>
            </w:pPr>
          </w:p>
          <w:p w:rsidR="006E3ED6" w:rsidRPr="006E3ED6" w:rsidRDefault="006E3ED6" w:rsidP="006E3ED6">
            <w:pPr>
              <w:numPr>
                <w:ilvl w:val="0"/>
                <w:numId w:val="22"/>
              </w:numPr>
              <w:autoSpaceDE w:val="0"/>
              <w:autoSpaceDN w:val="0"/>
              <w:adjustRightInd w:val="0"/>
              <w:spacing w:after="221"/>
              <w:rPr>
                <w:rFonts w:ascii="Arial" w:hAnsi="Arial" w:cs="Arial"/>
                <w:sz w:val="23"/>
                <w:szCs w:val="23"/>
              </w:rPr>
            </w:pPr>
            <w:r w:rsidRPr="006E3ED6">
              <w:rPr>
                <w:rFonts w:ascii="Arial" w:hAnsi="Arial" w:cs="Arial"/>
                <w:sz w:val="23"/>
                <w:szCs w:val="23"/>
              </w:rPr>
              <w:t xml:space="preserve">provide interim assessment reports for staff moving in between formal assessment periods; and </w:t>
            </w:r>
          </w:p>
          <w:p w:rsidR="006E3ED6" w:rsidRPr="006E3ED6" w:rsidRDefault="006E3ED6" w:rsidP="006E3ED6">
            <w:pPr>
              <w:numPr>
                <w:ilvl w:val="0"/>
                <w:numId w:val="22"/>
              </w:numPr>
              <w:autoSpaceDE w:val="0"/>
              <w:autoSpaceDN w:val="0"/>
              <w:adjustRightInd w:val="0"/>
              <w:rPr>
                <w:rFonts w:ascii="Arial" w:hAnsi="Arial" w:cs="Arial"/>
                <w:sz w:val="23"/>
                <w:szCs w:val="23"/>
              </w:rPr>
            </w:pPr>
            <w:r w:rsidRPr="006E3ED6">
              <w:rPr>
                <w:rFonts w:ascii="Arial" w:hAnsi="Arial" w:cs="Arial"/>
                <w:sz w:val="23"/>
                <w:szCs w:val="23"/>
              </w:rPr>
              <w:t xml:space="preserve">notify the appropriate body when an NQT serving induction leaves the institution. </w:t>
            </w:r>
          </w:p>
          <w:p w:rsidR="006E3ED6" w:rsidRPr="006E3ED6" w:rsidRDefault="006E3ED6" w:rsidP="006E3ED6">
            <w:pPr>
              <w:autoSpaceDE w:val="0"/>
              <w:autoSpaceDN w:val="0"/>
              <w:adjustRightInd w:val="0"/>
              <w:rPr>
                <w:rFonts w:ascii="Arial" w:hAnsi="Arial" w:cs="Arial"/>
                <w:sz w:val="23"/>
                <w:szCs w:val="23"/>
              </w:rPr>
            </w:pPr>
          </w:p>
          <w:p w:rsidR="00B550C0" w:rsidRDefault="00B550C0" w:rsidP="006E3ED6">
            <w:pPr>
              <w:pStyle w:val="Default"/>
            </w:pPr>
          </w:p>
        </w:tc>
      </w:tr>
    </w:tbl>
    <w:p w:rsidR="00AE3920" w:rsidRDefault="00AE3920" w:rsidP="00E673C5">
      <w:pPr>
        <w:rPr>
          <w:b/>
          <w:sz w:val="18"/>
          <w:szCs w:val="18"/>
        </w:rPr>
      </w:pPr>
    </w:p>
    <w:tbl>
      <w:tblPr>
        <w:tblStyle w:val="TableGrid"/>
        <w:tblW w:w="0" w:type="auto"/>
        <w:tblLook w:val="04A0" w:firstRow="1" w:lastRow="0" w:firstColumn="1" w:lastColumn="0" w:noHBand="0" w:noVBand="1"/>
      </w:tblPr>
      <w:tblGrid>
        <w:gridCol w:w="2036"/>
        <w:gridCol w:w="8420"/>
      </w:tblGrid>
      <w:tr w:rsidR="00F745AC" w:rsidRPr="00AE3920" w:rsidTr="00C076FB">
        <w:trPr>
          <w:trHeight w:val="5389"/>
        </w:trPr>
        <w:tc>
          <w:tcPr>
            <w:tcW w:w="1809" w:type="dxa"/>
            <w:shd w:val="clear" w:color="auto" w:fill="EFEFFF"/>
          </w:tcPr>
          <w:p w:rsidR="00F745AC" w:rsidRDefault="00F745AC" w:rsidP="00C076FB">
            <w:pPr>
              <w:rPr>
                <w:b/>
                <w:sz w:val="36"/>
                <w:szCs w:val="36"/>
              </w:rPr>
            </w:pPr>
            <w:r>
              <w:rPr>
                <w:b/>
                <w:sz w:val="36"/>
                <w:szCs w:val="36"/>
              </w:rPr>
              <w:lastRenderedPageBreak/>
              <w:t>Appropriate</w:t>
            </w:r>
          </w:p>
          <w:p w:rsidR="00F745AC" w:rsidRPr="00190E98" w:rsidRDefault="00F745AC" w:rsidP="00C076FB">
            <w:pPr>
              <w:rPr>
                <w:b/>
                <w:sz w:val="36"/>
                <w:szCs w:val="36"/>
              </w:rPr>
            </w:pPr>
            <w:r>
              <w:rPr>
                <w:b/>
                <w:sz w:val="36"/>
                <w:szCs w:val="36"/>
              </w:rPr>
              <w:t>body</w:t>
            </w:r>
          </w:p>
        </w:tc>
        <w:tc>
          <w:tcPr>
            <w:tcW w:w="8873" w:type="dxa"/>
            <w:shd w:val="clear" w:color="auto" w:fill="EFEFFF"/>
          </w:tcPr>
          <w:p w:rsidR="00F745AC" w:rsidRPr="006E3ED6" w:rsidRDefault="00F745AC" w:rsidP="00C076FB">
            <w:pPr>
              <w:rPr>
                <w:rFonts w:ascii="Arial" w:hAnsi="Arial" w:cs="Arial"/>
                <w:color w:val="000000"/>
                <w:sz w:val="24"/>
                <w:szCs w:val="24"/>
              </w:rPr>
            </w:pPr>
          </w:p>
          <w:p w:rsidR="00F745AC" w:rsidRPr="00F745AC" w:rsidRDefault="00F745AC" w:rsidP="00F745AC">
            <w:pPr>
              <w:autoSpaceDE w:val="0"/>
              <w:autoSpaceDN w:val="0"/>
              <w:adjustRightInd w:val="0"/>
              <w:spacing w:line="331" w:lineRule="atLeast"/>
              <w:ind w:left="720" w:right="480" w:hanging="720"/>
              <w:rPr>
                <w:rFonts w:ascii="Arial" w:hAnsi="Arial" w:cs="Arial"/>
                <w:color w:val="000000"/>
                <w:sz w:val="23"/>
                <w:szCs w:val="23"/>
              </w:rPr>
            </w:pPr>
            <w:r w:rsidRPr="00F745AC">
              <w:rPr>
                <w:rFonts w:ascii="Arial" w:hAnsi="Arial" w:cs="Arial"/>
                <w:color w:val="000000"/>
                <w:sz w:val="23"/>
                <w:szCs w:val="23"/>
              </w:rPr>
              <w:t xml:space="preserve">The appropriate body has the main quality assurance role within the induction process. Through quality assurance, the appropriate body should assure itself that: </w:t>
            </w:r>
          </w:p>
          <w:p w:rsidR="00F745AC" w:rsidRPr="00F745AC" w:rsidRDefault="00F745AC" w:rsidP="00F745AC">
            <w:pPr>
              <w:numPr>
                <w:ilvl w:val="0"/>
                <w:numId w:val="26"/>
              </w:numPr>
              <w:autoSpaceDE w:val="0"/>
              <w:autoSpaceDN w:val="0"/>
              <w:adjustRightInd w:val="0"/>
              <w:spacing w:after="221"/>
              <w:rPr>
                <w:rFonts w:ascii="Arial" w:hAnsi="Arial" w:cs="Arial"/>
                <w:color w:val="000000"/>
                <w:sz w:val="23"/>
                <w:szCs w:val="23"/>
              </w:rPr>
            </w:pPr>
            <w:proofErr w:type="spellStart"/>
            <w:r w:rsidRPr="00F745AC">
              <w:rPr>
                <w:rFonts w:ascii="Arial" w:hAnsi="Arial" w:cs="Arial"/>
                <w:color w:val="000000"/>
                <w:sz w:val="23"/>
                <w:szCs w:val="23"/>
              </w:rPr>
              <w:t>headteachers</w:t>
            </w:r>
            <w:proofErr w:type="spellEnd"/>
            <w:r w:rsidRPr="00F745AC">
              <w:rPr>
                <w:rFonts w:ascii="Arial" w:hAnsi="Arial" w:cs="Arial"/>
                <w:color w:val="000000"/>
                <w:sz w:val="23"/>
                <w:szCs w:val="23"/>
              </w:rPr>
              <w:t xml:space="preserve">/principals (and governing bodies where appropriate) are aware of, and are capable of meeting their responsibilities for monitoring support and assessment. This includes ensuring that an NQT receives a personalised induction programme, designated tutor support and the reduced timetable; and </w:t>
            </w:r>
          </w:p>
          <w:p w:rsidR="00F745AC" w:rsidRPr="00F745AC" w:rsidRDefault="00F745AC" w:rsidP="00F745AC">
            <w:pPr>
              <w:numPr>
                <w:ilvl w:val="0"/>
                <w:numId w:val="26"/>
              </w:numPr>
              <w:autoSpaceDE w:val="0"/>
              <w:autoSpaceDN w:val="0"/>
              <w:adjustRightInd w:val="0"/>
              <w:rPr>
                <w:rFonts w:ascii="Arial" w:hAnsi="Arial" w:cs="Arial"/>
                <w:color w:val="000000"/>
                <w:sz w:val="23"/>
                <w:szCs w:val="23"/>
              </w:rPr>
            </w:pPr>
            <w:r w:rsidRPr="00F745AC">
              <w:rPr>
                <w:rFonts w:ascii="Arial" w:hAnsi="Arial" w:cs="Arial"/>
                <w:color w:val="000000"/>
                <w:sz w:val="23"/>
                <w:szCs w:val="23"/>
              </w:rPr>
              <w:t xml:space="preserve">the monitoring, support, assessment and guidance procedures in place are fair and appropriate. </w:t>
            </w:r>
          </w:p>
          <w:p w:rsidR="00F745AC" w:rsidRPr="00F745AC" w:rsidRDefault="00F745AC" w:rsidP="00F745AC">
            <w:pPr>
              <w:autoSpaceDE w:val="0"/>
              <w:autoSpaceDN w:val="0"/>
              <w:adjustRightInd w:val="0"/>
              <w:rPr>
                <w:rFonts w:ascii="Arial" w:hAnsi="Arial" w:cs="Arial"/>
                <w:color w:val="000000"/>
                <w:sz w:val="23"/>
                <w:szCs w:val="23"/>
              </w:rPr>
            </w:pPr>
          </w:p>
          <w:p w:rsidR="00F745AC" w:rsidRPr="00F745AC" w:rsidRDefault="00F745AC" w:rsidP="00F745AC">
            <w:pPr>
              <w:autoSpaceDE w:val="0"/>
              <w:autoSpaceDN w:val="0"/>
              <w:adjustRightInd w:val="0"/>
              <w:spacing w:after="255" w:line="331" w:lineRule="atLeast"/>
              <w:ind w:left="720" w:right="330" w:hanging="720"/>
              <w:rPr>
                <w:rFonts w:ascii="Arial" w:hAnsi="Arial" w:cs="Arial"/>
                <w:color w:val="000000"/>
                <w:sz w:val="23"/>
                <w:szCs w:val="23"/>
              </w:rPr>
            </w:pPr>
            <w:r w:rsidRPr="00F745AC">
              <w:rPr>
                <w:rFonts w:ascii="Arial" w:hAnsi="Arial" w:cs="Arial"/>
                <w:color w:val="000000"/>
                <w:sz w:val="23"/>
                <w:szCs w:val="23"/>
              </w:rPr>
              <w:t xml:space="preserve">The appropriate body should, on a regular basis, consult with </w:t>
            </w:r>
            <w:proofErr w:type="spellStart"/>
            <w:r w:rsidRPr="00F745AC">
              <w:rPr>
                <w:rFonts w:ascii="Arial" w:hAnsi="Arial" w:cs="Arial"/>
                <w:color w:val="000000"/>
                <w:sz w:val="23"/>
                <w:szCs w:val="23"/>
              </w:rPr>
              <w:t>headteachers</w:t>
            </w:r>
            <w:proofErr w:type="spellEnd"/>
            <w:r w:rsidRPr="00F745AC">
              <w:rPr>
                <w:rFonts w:ascii="Arial" w:hAnsi="Arial" w:cs="Arial"/>
                <w:color w:val="000000"/>
                <w:sz w:val="23"/>
                <w:szCs w:val="23"/>
              </w:rPr>
              <w:t xml:space="preserve">/principals on the nature and extent of the quality assurance procedures it operates, or wishes to introduce. Institutions are required to work with the appropriate body to enable it to discharge its responsibilities effectively. </w:t>
            </w:r>
          </w:p>
          <w:p w:rsidR="00F745AC" w:rsidRPr="00F745AC" w:rsidRDefault="00F745AC" w:rsidP="00F745AC">
            <w:pPr>
              <w:autoSpaceDE w:val="0"/>
              <w:autoSpaceDN w:val="0"/>
              <w:adjustRightInd w:val="0"/>
              <w:spacing w:after="255" w:line="331" w:lineRule="atLeast"/>
              <w:ind w:left="717" w:hanging="718"/>
              <w:rPr>
                <w:rFonts w:ascii="Arial" w:hAnsi="Arial" w:cs="Arial"/>
                <w:color w:val="000000"/>
                <w:sz w:val="23"/>
                <w:szCs w:val="23"/>
              </w:rPr>
            </w:pPr>
            <w:r w:rsidRPr="00F745AC">
              <w:rPr>
                <w:rFonts w:ascii="Arial" w:hAnsi="Arial" w:cs="Arial"/>
                <w:color w:val="000000"/>
                <w:sz w:val="23"/>
                <w:szCs w:val="23"/>
              </w:rPr>
              <w:t xml:space="preserve">The appropriate body must ensure that: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proofErr w:type="spellStart"/>
            <w:r w:rsidRPr="00F745AC">
              <w:rPr>
                <w:rFonts w:ascii="Arial" w:hAnsi="Arial" w:cs="Arial"/>
                <w:color w:val="000000"/>
                <w:sz w:val="23"/>
                <w:szCs w:val="23"/>
              </w:rPr>
              <w:t>headteachers</w:t>
            </w:r>
            <w:proofErr w:type="spellEnd"/>
            <w:r w:rsidRPr="00F745AC">
              <w:rPr>
                <w:rFonts w:ascii="Arial" w:hAnsi="Arial" w:cs="Arial"/>
                <w:color w:val="000000"/>
                <w:sz w:val="23"/>
                <w:szCs w:val="23"/>
              </w:rPr>
              <w:t xml:space="preserve">/principals (and governing bodies where appropriate) are meeting their responsibilities in respect of providing a suitable post for induction;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the monitoring, support, assessment and guidance procedures in place are fair and appropriate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where an NQT may be experiencing difficulties, action is taken to address areas of performance that require further development and support;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where an institution is not fulfilling its responsibilities, contact is made with the institution to raise its concerns;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induction tutors are trained and supported, including being given sufficient time to carry out the role effectively;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proofErr w:type="spellStart"/>
            <w:r w:rsidRPr="00F745AC">
              <w:rPr>
                <w:rFonts w:ascii="Arial" w:hAnsi="Arial" w:cs="Arial"/>
                <w:color w:val="000000"/>
                <w:sz w:val="23"/>
                <w:szCs w:val="23"/>
              </w:rPr>
              <w:t>headteachers</w:t>
            </w:r>
            <w:proofErr w:type="spellEnd"/>
            <w:r w:rsidRPr="00F745AC">
              <w:rPr>
                <w:rFonts w:ascii="Arial" w:hAnsi="Arial" w:cs="Arial"/>
                <w:color w:val="000000"/>
                <w:sz w:val="23"/>
                <w:szCs w:val="23"/>
              </w:rPr>
              <w:t xml:space="preserve">/principals are consulted on the nature and extent of the quality assurance procedures it operates, or wishes to introduce;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any agreement entered into with either the FE institution or the independent school’s governing body is upheld;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the </w:t>
            </w:r>
            <w:proofErr w:type="spellStart"/>
            <w:r w:rsidRPr="00F745AC">
              <w:rPr>
                <w:rFonts w:ascii="Arial" w:hAnsi="Arial" w:cs="Arial"/>
                <w:color w:val="000000"/>
                <w:sz w:val="23"/>
                <w:szCs w:val="23"/>
              </w:rPr>
              <w:t>headteacher</w:t>
            </w:r>
            <w:proofErr w:type="spellEnd"/>
            <w:r w:rsidRPr="00F745AC">
              <w:rPr>
                <w:rFonts w:ascii="Arial" w:hAnsi="Arial" w:cs="Arial"/>
                <w:color w:val="000000"/>
                <w:sz w:val="23"/>
                <w:szCs w:val="23"/>
              </w:rPr>
              <w:t xml:space="preserve">/principal has verified that the award of QTS has been made; </w:t>
            </w:r>
          </w:p>
          <w:p w:rsidR="00F745AC" w:rsidRPr="00F745AC" w:rsidRDefault="00F745AC" w:rsidP="00F745AC">
            <w:pPr>
              <w:numPr>
                <w:ilvl w:val="0"/>
                <w:numId w:val="27"/>
              </w:numPr>
              <w:autoSpaceDE w:val="0"/>
              <w:autoSpaceDN w:val="0"/>
              <w:adjustRightInd w:val="0"/>
              <w:spacing w:after="221"/>
              <w:rPr>
                <w:rFonts w:ascii="Arial" w:hAnsi="Arial" w:cs="Arial"/>
                <w:color w:val="000000"/>
                <w:sz w:val="23"/>
                <w:szCs w:val="23"/>
              </w:rPr>
            </w:pPr>
            <w:r w:rsidRPr="00F745AC">
              <w:rPr>
                <w:rFonts w:ascii="Arial" w:hAnsi="Arial" w:cs="Arial"/>
                <w:color w:val="000000"/>
                <w:sz w:val="23"/>
                <w:szCs w:val="23"/>
              </w:rPr>
              <w:t xml:space="preserve">the school is providing a reduced timetable in addition to PPA time; </w:t>
            </w:r>
          </w:p>
          <w:p w:rsidR="00F745AC" w:rsidRPr="00F745AC" w:rsidRDefault="00F745AC" w:rsidP="00F745AC">
            <w:pPr>
              <w:numPr>
                <w:ilvl w:val="0"/>
                <w:numId w:val="27"/>
              </w:numPr>
              <w:autoSpaceDE w:val="0"/>
              <w:autoSpaceDN w:val="0"/>
              <w:adjustRightInd w:val="0"/>
              <w:rPr>
                <w:rFonts w:ascii="Arial" w:hAnsi="Arial" w:cs="Arial"/>
                <w:color w:val="000000"/>
                <w:sz w:val="23"/>
                <w:szCs w:val="23"/>
              </w:rPr>
            </w:pPr>
            <w:r w:rsidRPr="00F745AC">
              <w:rPr>
                <w:rFonts w:ascii="Arial" w:hAnsi="Arial" w:cs="Arial"/>
                <w:color w:val="000000"/>
                <w:sz w:val="23"/>
                <w:szCs w:val="23"/>
              </w:rPr>
              <w:t xml:space="preserve">the NQT is provided with a named contact (or contacts) within the appropriate body with whom to raise concerns; </w:t>
            </w:r>
            <w:r w:rsidRPr="00F745AC">
              <w:rPr>
                <w:rFonts w:ascii="Arial" w:hAnsi="Arial" w:cs="Arial"/>
                <w:sz w:val="23"/>
                <w:szCs w:val="23"/>
              </w:rPr>
              <w:t xml:space="preserve"> </w:t>
            </w:r>
          </w:p>
          <w:p w:rsidR="00F745AC" w:rsidRPr="00F745AC" w:rsidRDefault="00F745AC" w:rsidP="00F745AC">
            <w:pPr>
              <w:pageBreakBefore/>
              <w:autoSpaceDE w:val="0"/>
              <w:autoSpaceDN w:val="0"/>
              <w:adjustRightInd w:val="0"/>
              <w:rPr>
                <w:rFonts w:ascii="Arial" w:hAnsi="Arial" w:cs="Arial"/>
                <w:sz w:val="23"/>
                <w:szCs w:val="23"/>
              </w:rPr>
            </w:pPr>
          </w:p>
          <w:p w:rsidR="00F745AC" w:rsidRPr="00F745AC" w:rsidRDefault="00F745AC" w:rsidP="00F745AC">
            <w:pPr>
              <w:numPr>
                <w:ilvl w:val="0"/>
                <w:numId w:val="28"/>
              </w:numPr>
              <w:autoSpaceDE w:val="0"/>
              <w:autoSpaceDN w:val="0"/>
              <w:adjustRightInd w:val="0"/>
              <w:spacing w:after="221"/>
              <w:rPr>
                <w:rFonts w:ascii="Arial" w:hAnsi="Arial" w:cs="Arial"/>
                <w:sz w:val="23"/>
                <w:szCs w:val="23"/>
              </w:rPr>
            </w:pPr>
            <w:r w:rsidRPr="00F745AC">
              <w:rPr>
                <w:rFonts w:ascii="Arial" w:hAnsi="Arial" w:cs="Arial"/>
                <w:sz w:val="23"/>
                <w:szCs w:val="23"/>
              </w:rPr>
              <w:t xml:space="preserve">FE institutions (including sixth-form colleges) are supported in finding schools for NQTs to spend their mandatory ten days teaching children of compulsory school age in a school; </w:t>
            </w:r>
          </w:p>
          <w:p w:rsidR="00F745AC" w:rsidRPr="00F745AC" w:rsidRDefault="00F745AC" w:rsidP="00F745AC">
            <w:pPr>
              <w:numPr>
                <w:ilvl w:val="0"/>
                <w:numId w:val="28"/>
              </w:numPr>
              <w:autoSpaceDE w:val="0"/>
              <w:autoSpaceDN w:val="0"/>
              <w:adjustRightInd w:val="0"/>
              <w:spacing w:after="221"/>
              <w:rPr>
                <w:rFonts w:ascii="Arial" w:hAnsi="Arial" w:cs="Arial"/>
                <w:sz w:val="23"/>
                <w:szCs w:val="23"/>
              </w:rPr>
            </w:pPr>
            <w:r w:rsidRPr="00F745AC">
              <w:rPr>
                <w:rFonts w:ascii="Arial" w:hAnsi="Arial" w:cs="Arial"/>
                <w:sz w:val="23"/>
                <w:szCs w:val="23"/>
              </w:rPr>
              <w:t xml:space="preserve">NQTs’ records and assessment reports are maintained; </w:t>
            </w:r>
          </w:p>
          <w:p w:rsidR="00F745AC" w:rsidRPr="00F745AC" w:rsidRDefault="00F745AC" w:rsidP="00F745AC">
            <w:pPr>
              <w:numPr>
                <w:ilvl w:val="0"/>
                <w:numId w:val="28"/>
              </w:numPr>
              <w:autoSpaceDE w:val="0"/>
              <w:autoSpaceDN w:val="0"/>
              <w:adjustRightInd w:val="0"/>
              <w:spacing w:after="221"/>
              <w:rPr>
                <w:rFonts w:ascii="Arial" w:hAnsi="Arial" w:cs="Arial"/>
                <w:sz w:val="23"/>
                <w:szCs w:val="23"/>
              </w:rPr>
            </w:pPr>
            <w:r w:rsidRPr="00F745AC">
              <w:rPr>
                <w:rFonts w:ascii="Arial" w:hAnsi="Arial" w:cs="Arial"/>
                <w:sz w:val="23"/>
                <w:szCs w:val="23"/>
              </w:rPr>
              <w:lastRenderedPageBreak/>
              <w:t xml:space="preserve">agreement is reached with the </w:t>
            </w:r>
            <w:proofErr w:type="spellStart"/>
            <w:r w:rsidRPr="00F745AC">
              <w:rPr>
                <w:rFonts w:ascii="Arial" w:hAnsi="Arial" w:cs="Arial"/>
                <w:sz w:val="23"/>
                <w:szCs w:val="23"/>
              </w:rPr>
              <w:t>headteacher</w:t>
            </w:r>
            <w:proofErr w:type="spellEnd"/>
            <w:r w:rsidRPr="00F745AC">
              <w:rPr>
                <w:rFonts w:ascii="Arial" w:hAnsi="Arial" w:cs="Arial"/>
                <w:sz w:val="23"/>
                <w:szCs w:val="23"/>
              </w:rPr>
              <w:t xml:space="preserve">/principal and the NQT to determine where a reduced induction period may be appropriate or is deemed to be satisfactorily completed; </w:t>
            </w:r>
          </w:p>
          <w:p w:rsidR="00F745AC" w:rsidRPr="00F745AC" w:rsidRDefault="00F745AC" w:rsidP="00F745AC">
            <w:pPr>
              <w:numPr>
                <w:ilvl w:val="0"/>
                <w:numId w:val="28"/>
              </w:numPr>
              <w:autoSpaceDE w:val="0"/>
              <w:autoSpaceDN w:val="0"/>
              <w:adjustRightInd w:val="0"/>
              <w:spacing w:after="221"/>
              <w:rPr>
                <w:rFonts w:ascii="Arial" w:hAnsi="Arial" w:cs="Arial"/>
                <w:sz w:val="23"/>
                <w:szCs w:val="23"/>
              </w:rPr>
            </w:pPr>
            <w:r w:rsidRPr="00F745AC">
              <w:rPr>
                <w:rFonts w:ascii="Arial" w:hAnsi="Arial" w:cs="Arial"/>
                <w:sz w:val="23"/>
                <w:szCs w:val="23"/>
              </w:rPr>
              <w:t xml:space="preserve">a final decision is made on whether the NQT’s performance against the relevant standards is satisfactory or an extension is required and the relevant parties are notified; and </w:t>
            </w:r>
          </w:p>
          <w:p w:rsidR="00F745AC" w:rsidRPr="00F745AC" w:rsidRDefault="00F745AC" w:rsidP="00F745AC">
            <w:pPr>
              <w:numPr>
                <w:ilvl w:val="0"/>
                <w:numId w:val="28"/>
              </w:numPr>
              <w:autoSpaceDE w:val="0"/>
              <w:autoSpaceDN w:val="0"/>
              <w:adjustRightInd w:val="0"/>
              <w:rPr>
                <w:rFonts w:ascii="Arial" w:hAnsi="Arial" w:cs="Arial"/>
                <w:sz w:val="23"/>
                <w:szCs w:val="23"/>
              </w:rPr>
            </w:pPr>
            <w:r w:rsidRPr="00F745AC">
              <w:rPr>
                <w:rFonts w:ascii="Arial" w:hAnsi="Arial" w:cs="Arial"/>
                <w:sz w:val="23"/>
                <w:szCs w:val="23"/>
              </w:rPr>
              <w:t xml:space="preserve">they provide the National College for Teaching and Leadership with details of NQTs who have started; completed (satisfactorily or not); require an extension; or left school partway through an induction period. </w:t>
            </w:r>
          </w:p>
          <w:p w:rsidR="00F745AC" w:rsidRPr="00F745AC" w:rsidRDefault="00F745AC" w:rsidP="00F745AC">
            <w:pPr>
              <w:autoSpaceDE w:val="0"/>
              <w:autoSpaceDN w:val="0"/>
              <w:adjustRightInd w:val="0"/>
              <w:rPr>
                <w:rFonts w:ascii="Arial" w:hAnsi="Arial" w:cs="Arial"/>
                <w:sz w:val="23"/>
                <w:szCs w:val="23"/>
              </w:rPr>
            </w:pPr>
          </w:p>
          <w:p w:rsidR="00F745AC" w:rsidRPr="00F745AC" w:rsidRDefault="00F745AC" w:rsidP="00F745AC">
            <w:pPr>
              <w:autoSpaceDE w:val="0"/>
              <w:autoSpaceDN w:val="0"/>
              <w:adjustRightInd w:val="0"/>
              <w:spacing w:after="255" w:line="331" w:lineRule="atLeast"/>
              <w:ind w:right="245"/>
              <w:rPr>
                <w:rFonts w:ascii="Arial" w:hAnsi="Arial" w:cs="Arial"/>
                <w:sz w:val="23"/>
                <w:szCs w:val="23"/>
              </w:rPr>
            </w:pPr>
            <w:r w:rsidRPr="00F745AC">
              <w:rPr>
                <w:rFonts w:ascii="Arial" w:hAnsi="Arial" w:cs="Arial"/>
                <w:sz w:val="23"/>
                <w:szCs w:val="23"/>
              </w:rPr>
              <w:t xml:space="preserve">The appropriate body should also (as local capacity, resources and agreements allow): </w:t>
            </w:r>
          </w:p>
          <w:p w:rsidR="00F745AC" w:rsidRPr="00F745AC" w:rsidRDefault="00F745AC" w:rsidP="00F745AC">
            <w:pPr>
              <w:numPr>
                <w:ilvl w:val="0"/>
                <w:numId w:val="29"/>
              </w:numPr>
              <w:autoSpaceDE w:val="0"/>
              <w:autoSpaceDN w:val="0"/>
              <w:adjustRightInd w:val="0"/>
              <w:spacing w:after="221"/>
              <w:rPr>
                <w:rFonts w:ascii="Arial" w:hAnsi="Arial" w:cs="Arial"/>
                <w:sz w:val="23"/>
                <w:szCs w:val="23"/>
              </w:rPr>
            </w:pPr>
            <w:r w:rsidRPr="00F745AC">
              <w:rPr>
                <w:rFonts w:ascii="Arial" w:hAnsi="Arial" w:cs="Arial"/>
                <w:sz w:val="23"/>
                <w:szCs w:val="23"/>
              </w:rPr>
              <w:t xml:space="preserve">respond to requests from schools and colleges for guidance, support and assistance with NQTs’ induction programmes; and </w:t>
            </w:r>
          </w:p>
          <w:p w:rsidR="00F745AC" w:rsidRPr="00F745AC" w:rsidRDefault="00F745AC" w:rsidP="00F745AC">
            <w:pPr>
              <w:numPr>
                <w:ilvl w:val="0"/>
                <w:numId w:val="29"/>
              </w:numPr>
              <w:autoSpaceDE w:val="0"/>
              <w:autoSpaceDN w:val="0"/>
              <w:adjustRightInd w:val="0"/>
              <w:rPr>
                <w:rFonts w:ascii="Arial" w:hAnsi="Arial" w:cs="Arial"/>
                <w:sz w:val="23"/>
                <w:szCs w:val="23"/>
              </w:rPr>
            </w:pPr>
            <w:r w:rsidRPr="00F745AC">
              <w:rPr>
                <w:rFonts w:ascii="Arial" w:hAnsi="Arial" w:cs="Arial"/>
                <w:sz w:val="23"/>
                <w:szCs w:val="23"/>
              </w:rPr>
              <w:t xml:space="preserve">respond to requests for assistance and advice with training for induction tutors. </w:t>
            </w:r>
          </w:p>
          <w:p w:rsidR="00F745AC" w:rsidRPr="00AE3920" w:rsidRDefault="00F745AC" w:rsidP="00F745AC">
            <w:pPr>
              <w:autoSpaceDE w:val="0"/>
              <w:autoSpaceDN w:val="0"/>
              <w:adjustRightInd w:val="0"/>
              <w:rPr>
                <w:sz w:val="23"/>
                <w:szCs w:val="23"/>
              </w:rPr>
            </w:pPr>
          </w:p>
        </w:tc>
      </w:tr>
    </w:tbl>
    <w:p w:rsidR="00F745AC" w:rsidRDefault="00F745AC" w:rsidP="00E673C5"/>
    <w:p w:rsidR="00F745AC" w:rsidRDefault="00F745AC" w:rsidP="00E673C5"/>
    <w:p w:rsidR="00F745AC" w:rsidRDefault="00F745AC" w:rsidP="00E673C5"/>
    <w:p w:rsidR="00F745AC" w:rsidRDefault="00F745AC" w:rsidP="00E673C5"/>
    <w:p w:rsidR="00F745AC" w:rsidRDefault="00F745AC" w:rsidP="00E673C5"/>
    <w:p w:rsidR="00E673C5" w:rsidRPr="00AE3920" w:rsidRDefault="00EA51C3" w:rsidP="00E673C5">
      <w:r>
        <w:t>See pages 29-33</w:t>
      </w:r>
      <w:r w:rsidR="00AE3920">
        <w:t xml:space="preserve"> of The Statutory Indu</w:t>
      </w:r>
      <w:r w:rsidR="006E3ED6">
        <w:t>c</w:t>
      </w:r>
      <w:r w:rsidR="006E6DFA">
        <w:t>tion for NQT Guidance (</w:t>
      </w:r>
      <w:r>
        <w:t>APR 2018</w:t>
      </w:r>
      <w:bookmarkStart w:id="0" w:name="_GoBack"/>
      <w:bookmarkEnd w:id="0"/>
      <w:r w:rsidR="00AE3920">
        <w:t>) for more details about other Roles and Responsibilities.</w:t>
      </w:r>
    </w:p>
    <w:sectPr w:rsidR="00E673C5" w:rsidRPr="00AE3920" w:rsidSect="00E35252">
      <w:footerReference w:type="default" r:id="rId8"/>
      <w:pgSz w:w="11906" w:h="16838"/>
      <w:pgMar w:top="397"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49" w:rsidRDefault="00D47A49" w:rsidP="00D47A49">
      <w:pPr>
        <w:spacing w:line="240" w:lineRule="auto"/>
      </w:pPr>
      <w:r>
        <w:separator/>
      </w:r>
    </w:p>
  </w:endnote>
  <w:endnote w:type="continuationSeparator" w:id="0">
    <w:p w:rsidR="00D47A49" w:rsidRDefault="00D47A49" w:rsidP="00D47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49" w:rsidRDefault="00267E57">
    <w:pPr>
      <w:pStyle w:val="Footer"/>
    </w:pPr>
    <w:r>
      <w:t>TELA</w:t>
    </w:r>
    <w:r w:rsidR="00D47A49">
      <w:t xml:space="preserve"> NQT </w:t>
    </w:r>
    <w:r w:rsidR="00190E98">
      <w:t xml:space="preserve">Roles and </w:t>
    </w:r>
    <w:proofErr w:type="gramStart"/>
    <w:r w:rsidR="00190E98">
      <w:t>Responsibilities</w:t>
    </w:r>
    <w:r w:rsidR="00C45DA7">
      <w:t xml:space="preserve"> </w:t>
    </w:r>
    <w:r w:rsidR="00D47A49">
      <w:t xml:space="preserve"> </w:t>
    </w:r>
    <w:r w:rsidR="00EA51C3">
      <w:t>20</w:t>
    </w:r>
    <w:r w:rsidR="001A0680">
      <w:t>18</w:t>
    </w:r>
    <w:proofErr w:type="gramEnd"/>
    <w:r w:rsidR="00EA51C3">
      <w:t>/19</w:t>
    </w:r>
  </w:p>
  <w:p w:rsidR="00D47A49" w:rsidRDefault="00D47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49" w:rsidRDefault="00D47A49" w:rsidP="00D47A49">
      <w:pPr>
        <w:spacing w:line="240" w:lineRule="auto"/>
      </w:pPr>
      <w:r>
        <w:separator/>
      </w:r>
    </w:p>
  </w:footnote>
  <w:footnote w:type="continuationSeparator" w:id="0">
    <w:p w:rsidR="00D47A49" w:rsidRDefault="00D47A49" w:rsidP="00D47A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C6C2A"/>
    <w:multiLevelType w:val="hybridMultilevel"/>
    <w:tmpl w:val="787A48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73EC9"/>
    <w:multiLevelType w:val="hybridMultilevel"/>
    <w:tmpl w:val="92766D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F32620"/>
    <w:multiLevelType w:val="hybridMultilevel"/>
    <w:tmpl w:val="79D01B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B21E27"/>
    <w:multiLevelType w:val="hybridMultilevel"/>
    <w:tmpl w:val="B5338C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040EE9"/>
    <w:multiLevelType w:val="hybridMultilevel"/>
    <w:tmpl w:val="C08148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EC4276"/>
    <w:multiLevelType w:val="hybridMultilevel"/>
    <w:tmpl w:val="226DD6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0702F2"/>
    <w:multiLevelType w:val="hybridMultilevel"/>
    <w:tmpl w:val="1F7C02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824B52"/>
    <w:multiLevelType w:val="hybridMultilevel"/>
    <w:tmpl w:val="3EB0EB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904B8"/>
    <w:multiLevelType w:val="hybridMultilevel"/>
    <w:tmpl w:val="6CF09A1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4E2C51"/>
    <w:multiLevelType w:val="hybridMultilevel"/>
    <w:tmpl w:val="D1F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875D0"/>
    <w:multiLevelType w:val="hybridMultilevel"/>
    <w:tmpl w:val="85AC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2" w15:restartNumberingAfterBreak="0">
    <w:nsid w:val="14E83391"/>
    <w:multiLevelType w:val="hybridMultilevel"/>
    <w:tmpl w:val="8C8E84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B8C0E2A"/>
    <w:multiLevelType w:val="hybridMultilevel"/>
    <w:tmpl w:val="1F22D55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86CFD"/>
    <w:multiLevelType w:val="hybridMultilevel"/>
    <w:tmpl w:val="D0B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D7CD6"/>
    <w:multiLevelType w:val="hybridMultilevel"/>
    <w:tmpl w:val="2AF0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D119B"/>
    <w:multiLevelType w:val="hybridMultilevel"/>
    <w:tmpl w:val="476433A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7" w15:restartNumberingAfterBreak="0">
    <w:nsid w:val="29E31D02"/>
    <w:multiLevelType w:val="hybridMultilevel"/>
    <w:tmpl w:val="1860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C11F2"/>
    <w:multiLevelType w:val="hybridMultilevel"/>
    <w:tmpl w:val="32379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20" w15:restartNumberingAfterBreak="0">
    <w:nsid w:val="3D616AB5"/>
    <w:multiLevelType w:val="hybridMultilevel"/>
    <w:tmpl w:val="9AC6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26752"/>
    <w:multiLevelType w:val="hybridMultilevel"/>
    <w:tmpl w:val="FAC62870"/>
    <w:lvl w:ilvl="0" w:tplc="5A806CC6">
      <w:start w:val="1"/>
      <w:numFmt w:val="bullet"/>
      <w:lvlRestart w:val="0"/>
      <w:pStyle w:val="DfESBullets"/>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D6977"/>
    <w:multiLevelType w:val="hybridMultilevel"/>
    <w:tmpl w:val="879C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3213"/>
    <w:multiLevelType w:val="hybridMultilevel"/>
    <w:tmpl w:val="602E471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B3CCF"/>
    <w:multiLevelType w:val="hybridMultilevel"/>
    <w:tmpl w:val="471C769C"/>
    <w:lvl w:ilvl="0" w:tplc="08090001">
      <w:start w:val="1"/>
      <w:numFmt w:val="bullet"/>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25" w15:restartNumberingAfterBreak="0">
    <w:nsid w:val="73F25E11"/>
    <w:multiLevelType w:val="hybridMultilevel"/>
    <w:tmpl w:val="1616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D31D7"/>
    <w:multiLevelType w:val="hybridMultilevel"/>
    <w:tmpl w:val="D56846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C546BE"/>
    <w:multiLevelType w:val="hybridMultilevel"/>
    <w:tmpl w:val="DF181B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E3AAC"/>
    <w:multiLevelType w:val="hybridMultilevel"/>
    <w:tmpl w:val="F118A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0"/>
  </w:num>
  <w:num w:numId="3">
    <w:abstractNumId w:val="11"/>
  </w:num>
  <w:num w:numId="4">
    <w:abstractNumId w:val="19"/>
  </w:num>
  <w:num w:numId="5">
    <w:abstractNumId w:val="24"/>
  </w:num>
  <w:num w:numId="6">
    <w:abstractNumId w:val="21"/>
  </w:num>
  <w:num w:numId="7">
    <w:abstractNumId w:val="12"/>
  </w:num>
  <w:num w:numId="8">
    <w:abstractNumId w:val="15"/>
  </w:num>
  <w:num w:numId="9">
    <w:abstractNumId w:val="17"/>
  </w:num>
  <w:num w:numId="10">
    <w:abstractNumId w:val="9"/>
  </w:num>
  <w:num w:numId="11">
    <w:abstractNumId w:val="14"/>
  </w:num>
  <w:num w:numId="12">
    <w:abstractNumId w:val="27"/>
  </w:num>
  <w:num w:numId="13">
    <w:abstractNumId w:val="22"/>
  </w:num>
  <w:num w:numId="14">
    <w:abstractNumId w:val="16"/>
  </w:num>
  <w:num w:numId="15">
    <w:abstractNumId w:val="25"/>
  </w:num>
  <w:num w:numId="16">
    <w:abstractNumId w:val="20"/>
  </w:num>
  <w:num w:numId="17">
    <w:abstractNumId w:val="1"/>
  </w:num>
  <w:num w:numId="18">
    <w:abstractNumId w:val="4"/>
  </w:num>
  <w:num w:numId="19">
    <w:abstractNumId w:val="6"/>
  </w:num>
  <w:num w:numId="20">
    <w:abstractNumId w:val="7"/>
  </w:num>
  <w:num w:numId="21">
    <w:abstractNumId w:val="5"/>
  </w:num>
  <w:num w:numId="22">
    <w:abstractNumId w:val="3"/>
  </w:num>
  <w:num w:numId="23">
    <w:abstractNumId w:val="23"/>
  </w:num>
  <w:num w:numId="24">
    <w:abstractNumId w:val="13"/>
  </w:num>
  <w:num w:numId="25">
    <w:abstractNumId w:val="8"/>
  </w:num>
  <w:num w:numId="26">
    <w:abstractNumId w:val="18"/>
  </w:num>
  <w:num w:numId="27">
    <w:abstractNumId w:val="2"/>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49"/>
    <w:rsid w:val="0009424E"/>
    <w:rsid w:val="00190E98"/>
    <w:rsid w:val="001921A3"/>
    <w:rsid w:val="001A0680"/>
    <w:rsid w:val="00267E57"/>
    <w:rsid w:val="00326B6F"/>
    <w:rsid w:val="003751C9"/>
    <w:rsid w:val="003C27DD"/>
    <w:rsid w:val="004452C8"/>
    <w:rsid w:val="0069521E"/>
    <w:rsid w:val="006E3ED6"/>
    <w:rsid w:val="006E6DFA"/>
    <w:rsid w:val="00726031"/>
    <w:rsid w:val="00780A2D"/>
    <w:rsid w:val="008954C7"/>
    <w:rsid w:val="00992ADA"/>
    <w:rsid w:val="009A54C6"/>
    <w:rsid w:val="00AE3920"/>
    <w:rsid w:val="00B1223E"/>
    <w:rsid w:val="00B550C0"/>
    <w:rsid w:val="00C45DA7"/>
    <w:rsid w:val="00D136E6"/>
    <w:rsid w:val="00D47A49"/>
    <w:rsid w:val="00E35252"/>
    <w:rsid w:val="00E40380"/>
    <w:rsid w:val="00E673C5"/>
    <w:rsid w:val="00EA51C3"/>
    <w:rsid w:val="00EA7EF4"/>
    <w:rsid w:val="00F745AC"/>
    <w:rsid w:val="00F7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26FC"/>
  <w15:docId w15:val="{8402FFF7-5BC2-4CD7-A166-7308F38D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3C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49"/>
    <w:pPr>
      <w:tabs>
        <w:tab w:val="center" w:pos="4513"/>
        <w:tab w:val="right" w:pos="9026"/>
      </w:tabs>
      <w:spacing w:line="240" w:lineRule="auto"/>
    </w:pPr>
  </w:style>
  <w:style w:type="character" w:customStyle="1" w:styleId="HeaderChar">
    <w:name w:val="Header Char"/>
    <w:basedOn w:val="DefaultParagraphFont"/>
    <w:link w:val="Header"/>
    <w:uiPriority w:val="99"/>
    <w:rsid w:val="00D47A49"/>
  </w:style>
  <w:style w:type="paragraph" w:styleId="Footer">
    <w:name w:val="footer"/>
    <w:basedOn w:val="Normal"/>
    <w:link w:val="FooterChar"/>
    <w:uiPriority w:val="99"/>
    <w:unhideWhenUsed/>
    <w:rsid w:val="00D47A49"/>
    <w:pPr>
      <w:tabs>
        <w:tab w:val="center" w:pos="4513"/>
        <w:tab w:val="right" w:pos="9026"/>
      </w:tabs>
      <w:spacing w:line="240" w:lineRule="auto"/>
    </w:pPr>
  </w:style>
  <w:style w:type="character" w:customStyle="1" w:styleId="FooterChar">
    <w:name w:val="Footer Char"/>
    <w:basedOn w:val="DefaultParagraphFont"/>
    <w:link w:val="Footer"/>
    <w:uiPriority w:val="99"/>
    <w:rsid w:val="00D47A49"/>
  </w:style>
  <w:style w:type="paragraph" w:styleId="BalloonText">
    <w:name w:val="Balloon Text"/>
    <w:basedOn w:val="Normal"/>
    <w:link w:val="BalloonTextChar"/>
    <w:uiPriority w:val="99"/>
    <w:semiHidden/>
    <w:unhideWhenUsed/>
    <w:rsid w:val="00D47A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49"/>
    <w:rPr>
      <w:rFonts w:ascii="Tahoma" w:hAnsi="Tahoma" w:cs="Tahoma"/>
      <w:sz w:val="16"/>
      <w:szCs w:val="16"/>
    </w:rPr>
  </w:style>
  <w:style w:type="paragraph" w:styleId="Title">
    <w:name w:val="Title"/>
    <w:basedOn w:val="Normal"/>
    <w:next w:val="Normal"/>
    <w:link w:val="TitleChar"/>
    <w:uiPriority w:val="10"/>
    <w:qFormat/>
    <w:rsid w:val="007260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60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6031"/>
    <w:pPr>
      <w:ind w:left="720"/>
      <w:contextualSpacing/>
    </w:pPr>
  </w:style>
  <w:style w:type="table" w:styleId="TableGrid">
    <w:name w:val="Table Grid"/>
    <w:basedOn w:val="TableNormal"/>
    <w:uiPriority w:val="59"/>
    <w:rsid w:val="0072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B6F"/>
    <w:rPr>
      <w:color w:val="0000FF" w:themeColor="hyperlink"/>
      <w:u w:val="single"/>
    </w:rPr>
  </w:style>
  <w:style w:type="paragraph" w:customStyle="1" w:styleId="DfESBullets">
    <w:name w:val="DfESBullets"/>
    <w:basedOn w:val="Normal"/>
    <w:rsid w:val="00E35252"/>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 w:val="24"/>
      <w:szCs w:val="24"/>
    </w:rPr>
  </w:style>
  <w:style w:type="paragraph" w:customStyle="1" w:styleId="Default">
    <w:name w:val="Default"/>
    <w:rsid w:val="00190E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Forest Way School</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Rees-Jones</dc:creator>
  <cp:lastModifiedBy>ian oflynn</cp:lastModifiedBy>
  <cp:revision>2</cp:revision>
  <dcterms:created xsi:type="dcterms:W3CDTF">2018-09-04T10:21:00Z</dcterms:created>
  <dcterms:modified xsi:type="dcterms:W3CDTF">2018-09-04T10:21:00Z</dcterms:modified>
</cp:coreProperties>
</file>