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E586" w14:textId="3BE40986" w:rsidR="00423CB8" w:rsidRPr="00007F5D" w:rsidRDefault="000B4910" w:rsidP="003C7F1D">
      <w:pPr>
        <w:jc w:val="center"/>
        <w:rPr>
          <w:b/>
          <w:bCs/>
          <w:sz w:val="28"/>
          <w:szCs w:val="28"/>
        </w:rPr>
      </w:pPr>
      <w:r>
        <w:rPr>
          <w:b/>
          <w:bCs/>
          <w:sz w:val="28"/>
          <w:szCs w:val="28"/>
        </w:rPr>
        <w:t>BCBA</w:t>
      </w:r>
      <w:r w:rsidRPr="000B4910">
        <w:rPr>
          <w:b/>
          <w:bCs/>
          <w:sz w:val="28"/>
          <w:szCs w:val="28"/>
        </w:rPr>
        <w:t>®</w:t>
      </w:r>
      <w:r>
        <w:rPr>
          <w:b/>
          <w:bCs/>
          <w:sz w:val="28"/>
          <w:szCs w:val="28"/>
        </w:rPr>
        <w:t xml:space="preserve"> </w:t>
      </w:r>
      <w:r w:rsidR="003C7F1D" w:rsidRPr="00007F5D">
        <w:rPr>
          <w:b/>
          <w:bCs/>
          <w:sz w:val="28"/>
          <w:szCs w:val="28"/>
        </w:rPr>
        <w:t>CREDENTIALING AGREEMENT</w:t>
      </w:r>
    </w:p>
    <w:p w14:paraId="0FE78426" w14:textId="6D7D48CE" w:rsidR="003C7F1D" w:rsidRPr="00007F5D" w:rsidRDefault="003C7F1D" w:rsidP="003C7F1D">
      <w:pPr>
        <w:jc w:val="both"/>
        <w:rPr>
          <w:sz w:val="24"/>
          <w:szCs w:val="24"/>
        </w:rPr>
      </w:pPr>
      <w:r w:rsidRPr="00007F5D">
        <w:rPr>
          <w:sz w:val="24"/>
          <w:szCs w:val="24"/>
        </w:rPr>
        <w:t>This credentialing agreement (“Agreement”)</w:t>
      </w:r>
      <w:r w:rsidRPr="00007F5D">
        <w:t xml:space="preserve"> </w:t>
      </w:r>
      <w:r w:rsidRPr="00007F5D">
        <w:rPr>
          <w:sz w:val="24"/>
          <w:szCs w:val="24"/>
        </w:rPr>
        <w:t xml:space="preserve">is entered into as of </w:t>
      </w:r>
      <w:r w:rsidRPr="004131F0">
        <w:rPr>
          <w:b/>
          <w:bCs/>
          <w:sz w:val="24"/>
          <w:szCs w:val="24"/>
        </w:rPr>
        <w:t>[Effective Date],</w:t>
      </w:r>
      <w:r w:rsidRPr="00007F5D">
        <w:rPr>
          <w:sz w:val="24"/>
          <w:szCs w:val="24"/>
        </w:rPr>
        <w:t xml:space="preserve"> by and between </w:t>
      </w:r>
      <w:r w:rsidRPr="004131F0">
        <w:rPr>
          <w:b/>
          <w:bCs/>
          <w:sz w:val="24"/>
          <w:szCs w:val="24"/>
        </w:rPr>
        <w:t>[</w:t>
      </w:r>
      <w:r w:rsidR="004131F0" w:rsidRPr="004131F0">
        <w:rPr>
          <w:b/>
          <w:bCs/>
          <w:sz w:val="24"/>
          <w:szCs w:val="24"/>
        </w:rPr>
        <w:t>Company</w:t>
      </w:r>
      <w:r w:rsidRPr="004131F0">
        <w:rPr>
          <w:b/>
          <w:bCs/>
          <w:sz w:val="24"/>
          <w:szCs w:val="24"/>
        </w:rPr>
        <w:t>]</w:t>
      </w:r>
      <w:r w:rsidRPr="00007F5D">
        <w:rPr>
          <w:sz w:val="24"/>
          <w:szCs w:val="24"/>
        </w:rPr>
        <w:t xml:space="preserve"> </w:t>
      </w:r>
      <w:r w:rsidRPr="00007F5D">
        <w:rPr>
          <w:sz w:val="24"/>
          <w:szCs w:val="24"/>
        </w:rPr>
        <w:t xml:space="preserve">and </w:t>
      </w:r>
      <w:r w:rsidRPr="004131F0">
        <w:rPr>
          <w:b/>
          <w:bCs/>
          <w:sz w:val="24"/>
          <w:szCs w:val="24"/>
        </w:rPr>
        <w:t xml:space="preserve">[BCBA </w:t>
      </w:r>
      <w:r w:rsidR="004131F0" w:rsidRPr="004131F0">
        <w:rPr>
          <w:b/>
          <w:bCs/>
          <w:sz w:val="24"/>
          <w:szCs w:val="24"/>
        </w:rPr>
        <w:t>Name</w:t>
      </w:r>
      <w:r w:rsidRPr="004131F0">
        <w:rPr>
          <w:b/>
          <w:bCs/>
          <w:sz w:val="24"/>
          <w:szCs w:val="24"/>
        </w:rPr>
        <w:t>]</w:t>
      </w:r>
      <w:r w:rsidRPr="004131F0">
        <w:rPr>
          <w:b/>
          <w:bCs/>
          <w:sz w:val="24"/>
          <w:szCs w:val="24"/>
        </w:rPr>
        <w:t>.</w:t>
      </w:r>
    </w:p>
    <w:p w14:paraId="58C5CE06" w14:textId="1110F104" w:rsidR="00007F5D" w:rsidRDefault="003C7F1D" w:rsidP="00007F5D">
      <w:pPr>
        <w:pStyle w:val="NormalWeb"/>
        <w:spacing w:before="0" w:beforeAutospacing="0" w:after="0" w:afterAutospacing="0"/>
        <w:rPr>
          <w:rFonts w:asciiTheme="minorHAnsi" w:hAnsiTheme="minorHAnsi"/>
        </w:rPr>
      </w:pPr>
      <w:r w:rsidRPr="00007F5D">
        <w:rPr>
          <w:rStyle w:val="Strong"/>
          <w:rFonts w:asciiTheme="minorHAnsi" w:eastAsiaTheme="majorEastAsia" w:hAnsiTheme="minorHAnsi"/>
        </w:rPr>
        <w:t>PURPOSE</w:t>
      </w:r>
      <w:r w:rsidRPr="00007F5D">
        <w:rPr>
          <w:rFonts w:asciiTheme="minorHAnsi" w:hAnsiTheme="minorHAnsi"/>
        </w:rPr>
        <w:br/>
        <w:t>This Agreement establishes the terms under which the BCBA</w:t>
      </w:r>
      <w:r w:rsidR="00007F5D" w:rsidRPr="00007F5D">
        <w:rPr>
          <w:rFonts w:asciiTheme="minorHAnsi" w:hAnsiTheme="minorHAnsi"/>
          <w:color w:val="474747"/>
          <w:sz w:val="20"/>
          <w:szCs w:val="20"/>
          <w:shd w:val="clear" w:color="auto" w:fill="FFFFFF"/>
        </w:rPr>
        <w:t xml:space="preserve"> </w:t>
      </w:r>
      <w:r w:rsidRPr="00007F5D">
        <w:rPr>
          <w:rFonts w:asciiTheme="minorHAnsi" w:hAnsiTheme="minorHAnsi"/>
        </w:rPr>
        <w:t xml:space="preserve"> will undergo credentialing with the Company’s contracted payors, including but not limited to commercial insurance </w:t>
      </w:r>
      <w:r w:rsidRPr="00007F5D">
        <w:rPr>
          <w:rFonts w:asciiTheme="minorHAnsi" w:hAnsiTheme="minorHAnsi"/>
        </w:rPr>
        <w:t>payors</w:t>
      </w:r>
      <w:r w:rsidRPr="00007F5D">
        <w:rPr>
          <w:rFonts w:asciiTheme="minorHAnsi" w:hAnsiTheme="minorHAnsi"/>
        </w:rPr>
        <w:t>,</w:t>
      </w:r>
      <w:r w:rsidRPr="00007F5D">
        <w:rPr>
          <w:rFonts w:asciiTheme="minorHAnsi" w:hAnsiTheme="minorHAnsi"/>
        </w:rPr>
        <w:t xml:space="preserve"> the </w:t>
      </w:r>
      <w:r w:rsidR="004131F0" w:rsidRPr="008244F0">
        <w:rPr>
          <w:rStyle w:val="Strong"/>
          <w:rFonts w:asciiTheme="minorHAnsi" w:eastAsiaTheme="majorEastAsia" w:hAnsiTheme="minorHAnsi"/>
        </w:rPr>
        <w:t>[State]</w:t>
      </w:r>
      <w:r w:rsidR="004131F0">
        <w:rPr>
          <w:rFonts w:asciiTheme="minorHAnsi" w:hAnsiTheme="minorHAnsi"/>
        </w:rPr>
        <w:t xml:space="preserve"> </w:t>
      </w:r>
      <w:r w:rsidRPr="00007F5D">
        <w:rPr>
          <w:rFonts w:asciiTheme="minorHAnsi" w:hAnsiTheme="minorHAnsi"/>
        </w:rPr>
        <w:t xml:space="preserve">Medicaid </w:t>
      </w:r>
      <w:r w:rsidRPr="00007F5D">
        <w:rPr>
          <w:rFonts w:asciiTheme="minorHAnsi" w:hAnsiTheme="minorHAnsi"/>
        </w:rPr>
        <w:t>behavior analysis program</w:t>
      </w:r>
      <w:r w:rsidRPr="00007F5D">
        <w:rPr>
          <w:rFonts w:asciiTheme="minorHAnsi" w:hAnsiTheme="minorHAnsi"/>
        </w:rPr>
        <w:t xml:space="preserve">, and other third-party payors. The BCBA agrees to complete all credentialing and enrollment requirements before </w:t>
      </w:r>
      <w:r w:rsidRPr="00007F5D">
        <w:rPr>
          <w:rFonts w:asciiTheme="minorHAnsi" w:hAnsiTheme="minorHAnsi"/>
        </w:rPr>
        <w:t>rendering</w:t>
      </w:r>
      <w:r w:rsidRPr="00007F5D">
        <w:rPr>
          <w:rFonts w:asciiTheme="minorHAnsi" w:hAnsiTheme="minorHAnsi"/>
        </w:rPr>
        <w:t xml:space="preserve"> billable services under the </w:t>
      </w:r>
      <w:r w:rsidRPr="00007F5D">
        <w:rPr>
          <w:rFonts w:asciiTheme="minorHAnsi" w:hAnsiTheme="minorHAnsi"/>
        </w:rPr>
        <w:t>Company.</w:t>
      </w:r>
    </w:p>
    <w:p w14:paraId="1DE698C3" w14:textId="3A8DEF56" w:rsidR="003C7F1D" w:rsidRPr="00007F5D" w:rsidRDefault="003C7F1D" w:rsidP="000B4910">
      <w:pPr>
        <w:pStyle w:val="NormalWeb"/>
        <w:spacing w:after="0" w:afterAutospacing="0"/>
        <w:rPr>
          <w:rFonts w:asciiTheme="minorHAnsi" w:hAnsiTheme="minorHAnsi"/>
        </w:rPr>
      </w:pPr>
      <w:r w:rsidRPr="00007F5D">
        <w:rPr>
          <w:rStyle w:val="Strong"/>
          <w:rFonts w:asciiTheme="minorHAnsi" w:eastAsiaTheme="majorEastAsia" w:hAnsiTheme="minorHAnsi"/>
        </w:rPr>
        <w:t>CREDENTIALING REQUIREMENTS</w:t>
      </w:r>
      <w:r w:rsidRPr="00007F5D">
        <w:rPr>
          <w:rFonts w:asciiTheme="minorHAnsi" w:hAnsiTheme="minorHAnsi"/>
        </w:rPr>
        <w:br/>
        <w:t>The BCBA agrees to provide all necessary documentation and information required for credentialing, including but not limited to:</w:t>
      </w:r>
    </w:p>
    <w:p w14:paraId="327F4031" w14:textId="2FD3A454" w:rsidR="003C7F1D" w:rsidRPr="00007F5D" w:rsidRDefault="003C7F1D" w:rsidP="000B4910">
      <w:pPr>
        <w:pStyle w:val="NormalWeb"/>
        <w:numPr>
          <w:ilvl w:val="0"/>
          <w:numId w:val="6"/>
        </w:numPr>
        <w:spacing w:before="0" w:beforeAutospacing="0" w:after="0" w:afterAutospacing="0"/>
        <w:rPr>
          <w:rFonts w:asciiTheme="minorHAnsi" w:hAnsiTheme="minorHAnsi"/>
        </w:rPr>
      </w:pPr>
      <w:r w:rsidRPr="00007F5D">
        <w:rPr>
          <w:rFonts w:asciiTheme="minorHAnsi" w:hAnsiTheme="minorHAnsi"/>
        </w:rPr>
        <w:t>Current BCBA certification from the Behavior Analyst Certification Board (BACB</w:t>
      </w:r>
      <w:r w:rsidR="00007F5D" w:rsidRPr="00007F5D">
        <w:rPr>
          <w:rFonts w:asciiTheme="minorHAnsi" w:hAnsiTheme="minorHAnsi"/>
          <w:color w:val="474747"/>
          <w:sz w:val="20"/>
          <w:szCs w:val="20"/>
          <w:shd w:val="clear" w:color="auto" w:fill="FFFFFF"/>
        </w:rPr>
        <w:t xml:space="preserve"> </w:t>
      </w:r>
      <w:r w:rsidR="00007F5D" w:rsidRPr="00007F5D">
        <w:rPr>
          <w:rFonts w:asciiTheme="minorHAnsi" w:hAnsiTheme="minorHAnsi"/>
          <w:color w:val="474747"/>
          <w:sz w:val="20"/>
          <w:szCs w:val="20"/>
          <w:shd w:val="clear" w:color="auto" w:fill="FFFFFF"/>
        </w:rPr>
        <w:t>®</w:t>
      </w:r>
      <w:r w:rsidRPr="00007F5D">
        <w:rPr>
          <w:rFonts w:asciiTheme="minorHAnsi" w:hAnsiTheme="minorHAnsi"/>
        </w:rPr>
        <w:t>)</w:t>
      </w:r>
    </w:p>
    <w:p w14:paraId="56CE58FD" w14:textId="77777777" w:rsidR="003C7F1D" w:rsidRPr="00007F5D" w:rsidRDefault="003C7F1D" w:rsidP="000B4910">
      <w:pPr>
        <w:pStyle w:val="NormalWeb"/>
        <w:numPr>
          <w:ilvl w:val="0"/>
          <w:numId w:val="6"/>
        </w:numPr>
        <w:rPr>
          <w:rFonts w:asciiTheme="minorHAnsi" w:hAnsiTheme="minorHAnsi"/>
        </w:rPr>
      </w:pPr>
      <w:r w:rsidRPr="00007F5D">
        <w:rPr>
          <w:rFonts w:asciiTheme="minorHAnsi" w:hAnsiTheme="minorHAnsi"/>
        </w:rPr>
        <w:t>State licensure (if applicable)</w:t>
      </w:r>
    </w:p>
    <w:p w14:paraId="4538BCCC" w14:textId="77777777" w:rsidR="003C7F1D" w:rsidRPr="00007F5D" w:rsidRDefault="003C7F1D" w:rsidP="000B4910">
      <w:pPr>
        <w:pStyle w:val="NormalWeb"/>
        <w:numPr>
          <w:ilvl w:val="0"/>
          <w:numId w:val="6"/>
        </w:numPr>
        <w:rPr>
          <w:rFonts w:asciiTheme="minorHAnsi" w:hAnsiTheme="minorHAnsi"/>
        </w:rPr>
      </w:pPr>
      <w:r w:rsidRPr="00007F5D">
        <w:rPr>
          <w:rFonts w:asciiTheme="minorHAnsi" w:hAnsiTheme="minorHAnsi"/>
        </w:rPr>
        <w:t>National Provider Identifier (NPI) number</w:t>
      </w:r>
    </w:p>
    <w:p w14:paraId="2CAFC49D" w14:textId="5EE87FDE" w:rsidR="003C7F1D" w:rsidRPr="00007F5D" w:rsidRDefault="00007F5D" w:rsidP="000B4910">
      <w:pPr>
        <w:pStyle w:val="NormalWeb"/>
        <w:numPr>
          <w:ilvl w:val="0"/>
          <w:numId w:val="6"/>
        </w:numPr>
        <w:rPr>
          <w:rFonts w:asciiTheme="minorHAnsi" w:hAnsiTheme="minorHAnsi"/>
        </w:rPr>
      </w:pPr>
      <w:r w:rsidRPr="00007F5D">
        <w:rPr>
          <w:rFonts w:asciiTheme="minorHAnsi" w:hAnsiTheme="minorHAnsi"/>
        </w:rPr>
        <w:t>CAQH Number</w:t>
      </w:r>
    </w:p>
    <w:p w14:paraId="6E168117" w14:textId="13ECE5C6" w:rsidR="003C7F1D" w:rsidRPr="00007F5D" w:rsidRDefault="003C7F1D" w:rsidP="000B4910">
      <w:pPr>
        <w:pStyle w:val="NormalWeb"/>
        <w:numPr>
          <w:ilvl w:val="0"/>
          <w:numId w:val="6"/>
        </w:numPr>
        <w:rPr>
          <w:rFonts w:asciiTheme="minorHAnsi" w:hAnsiTheme="minorHAnsi"/>
        </w:rPr>
      </w:pPr>
      <w:r w:rsidRPr="00007F5D">
        <w:rPr>
          <w:rFonts w:asciiTheme="minorHAnsi" w:hAnsiTheme="minorHAnsi"/>
        </w:rPr>
        <w:t xml:space="preserve">Proof of </w:t>
      </w:r>
      <w:r w:rsidR="00007F5D" w:rsidRPr="00007F5D">
        <w:rPr>
          <w:rFonts w:asciiTheme="minorHAnsi" w:hAnsiTheme="minorHAnsi"/>
        </w:rPr>
        <w:t xml:space="preserve">current </w:t>
      </w:r>
      <w:r w:rsidRPr="00007F5D">
        <w:rPr>
          <w:rFonts w:asciiTheme="minorHAnsi" w:hAnsiTheme="minorHAnsi"/>
        </w:rPr>
        <w:t xml:space="preserve">professional liability insurance coverage </w:t>
      </w:r>
    </w:p>
    <w:p w14:paraId="70634930" w14:textId="57F38820" w:rsidR="003C7F1D" w:rsidRPr="00007F5D" w:rsidRDefault="00007F5D" w:rsidP="000B4910">
      <w:pPr>
        <w:pStyle w:val="NormalWeb"/>
        <w:numPr>
          <w:ilvl w:val="0"/>
          <w:numId w:val="6"/>
        </w:numPr>
        <w:rPr>
          <w:rFonts w:asciiTheme="minorHAnsi" w:hAnsiTheme="minorHAnsi"/>
        </w:rPr>
      </w:pPr>
      <w:r w:rsidRPr="00007F5D">
        <w:rPr>
          <w:rFonts w:asciiTheme="minorHAnsi" w:hAnsiTheme="minorHAnsi"/>
        </w:rPr>
        <w:t xml:space="preserve">Proof of completed Level II </w:t>
      </w:r>
      <w:r w:rsidR="003C7F1D" w:rsidRPr="00007F5D">
        <w:rPr>
          <w:rFonts w:asciiTheme="minorHAnsi" w:hAnsiTheme="minorHAnsi"/>
        </w:rPr>
        <w:t>fingerprinting</w:t>
      </w:r>
      <w:r w:rsidRPr="00007F5D">
        <w:rPr>
          <w:rFonts w:asciiTheme="minorHAnsi" w:hAnsiTheme="minorHAnsi"/>
        </w:rPr>
        <w:t xml:space="preserve"> and background checks</w:t>
      </w:r>
      <w:r w:rsidR="003C7F1D" w:rsidRPr="00007F5D">
        <w:rPr>
          <w:rFonts w:asciiTheme="minorHAnsi" w:hAnsiTheme="minorHAnsi"/>
        </w:rPr>
        <w:t xml:space="preserve"> (as required by payors)</w:t>
      </w:r>
    </w:p>
    <w:p w14:paraId="2FB588E6" w14:textId="565E4ED0" w:rsidR="00007F5D" w:rsidRPr="00007F5D" w:rsidRDefault="00007F5D" w:rsidP="000B4910">
      <w:pPr>
        <w:pStyle w:val="NormalWeb"/>
        <w:numPr>
          <w:ilvl w:val="0"/>
          <w:numId w:val="6"/>
        </w:numPr>
        <w:rPr>
          <w:rFonts w:asciiTheme="minorHAnsi" w:hAnsiTheme="minorHAnsi"/>
        </w:rPr>
      </w:pPr>
      <w:r w:rsidRPr="00007F5D">
        <w:rPr>
          <w:rFonts w:asciiTheme="minorHAnsi" w:hAnsiTheme="minorHAnsi"/>
        </w:rPr>
        <w:t>Resume with current work history</w:t>
      </w:r>
    </w:p>
    <w:p w14:paraId="6EE02E42" w14:textId="77777777" w:rsidR="003C7F1D" w:rsidRPr="00007F5D" w:rsidRDefault="003C7F1D" w:rsidP="000B4910">
      <w:pPr>
        <w:pStyle w:val="NormalWeb"/>
        <w:numPr>
          <w:ilvl w:val="0"/>
          <w:numId w:val="6"/>
        </w:numPr>
        <w:rPr>
          <w:rFonts w:asciiTheme="minorHAnsi" w:hAnsiTheme="minorHAnsi"/>
        </w:rPr>
      </w:pPr>
      <w:r w:rsidRPr="00007F5D">
        <w:rPr>
          <w:rFonts w:asciiTheme="minorHAnsi" w:hAnsiTheme="minorHAnsi"/>
        </w:rPr>
        <w:t>Any additional documents required by specific payors</w:t>
      </w:r>
    </w:p>
    <w:p w14:paraId="3DAEB0FF" w14:textId="3690B980" w:rsidR="00007F5D" w:rsidRPr="00007F5D" w:rsidRDefault="00007F5D" w:rsidP="00007F5D">
      <w:pPr>
        <w:pStyle w:val="NormalWeb"/>
        <w:rPr>
          <w:rFonts w:asciiTheme="minorHAnsi" w:hAnsiTheme="minorHAnsi"/>
          <w:b/>
          <w:bCs/>
        </w:rPr>
      </w:pPr>
      <w:r w:rsidRPr="00007F5D">
        <w:rPr>
          <w:rFonts w:asciiTheme="minorHAnsi" w:hAnsiTheme="minorHAnsi"/>
          <w:b/>
          <w:bCs/>
        </w:rPr>
        <w:t>CREDENTIALING PROCESS</w:t>
      </w:r>
      <w:r w:rsidRPr="00007F5D">
        <w:rPr>
          <w:rFonts w:asciiTheme="minorHAnsi" w:hAnsiTheme="minorHAnsi"/>
        </w:rPr>
        <w:br/>
      </w:r>
      <w:r>
        <w:rPr>
          <w:rFonts w:asciiTheme="minorHAnsi" w:hAnsiTheme="minorHAnsi"/>
        </w:rPr>
        <w:t xml:space="preserve">3.1 </w:t>
      </w:r>
      <w:r w:rsidRPr="00007F5D">
        <w:rPr>
          <w:rFonts w:asciiTheme="minorHAnsi" w:hAnsiTheme="minorHAnsi"/>
        </w:rPr>
        <w:t xml:space="preserve">The Company will submit and manage all credentialing applications on behalf of the BCBA. The BCBA agrees to cooperate fully and promptly in providing </w:t>
      </w:r>
      <w:r w:rsidRPr="00007F5D">
        <w:rPr>
          <w:rFonts w:asciiTheme="minorHAnsi" w:hAnsiTheme="minorHAnsi"/>
        </w:rPr>
        <w:t>the required</w:t>
      </w:r>
      <w:r w:rsidRPr="00007F5D">
        <w:rPr>
          <w:rFonts w:asciiTheme="minorHAnsi" w:hAnsiTheme="minorHAnsi"/>
        </w:rPr>
        <w:t xml:space="preserve"> documents and responding to credentialing inquiries</w:t>
      </w:r>
      <w:r>
        <w:rPr>
          <w:rFonts w:asciiTheme="minorHAnsi" w:hAnsiTheme="minorHAnsi"/>
        </w:rPr>
        <w:t>.</w:t>
      </w:r>
    </w:p>
    <w:p w14:paraId="71C902CC" w14:textId="77777777" w:rsidR="00007F5D" w:rsidRPr="00007F5D" w:rsidRDefault="00007F5D" w:rsidP="00007F5D">
      <w:pPr>
        <w:pStyle w:val="NormalWeb"/>
        <w:rPr>
          <w:rFonts w:asciiTheme="minorHAnsi" w:hAnsiTheme="minorHAnsi"/>
        </w:rPr>
      </w:pPr>
      <w:r w:rsidRPr="00007F5D">
        <w:rPr>
          <w:rFonts w:asciiTheme="minorHAnsi" w:hAnsiTheme="minorHAnsi"/>
        </w:rPr>
        <w:t>3.2. The BCBA understands that the credentialing process varies by payor and may take several weeks to months to complete. During this period, the BCBA may provide non-billable services such as training and shadowing under the supervision of a credentialed BCBA.</w:t>
      </w:r>
    </w:p>
    <w:p w14:paraId="477D35FC" w14:textId="77777777" w:rsidR="00007F5D" w:rsidRPr="000B4910" w:rsidRDefault="00007F5D" w:rsidP="00007F5D">
      <w:pPr>
        <w:pStyle w:val="NormalWeb"/>
        <w:rPr>
          <w:rFonts w:asciiTheme="minorHAnsi" w:hAnsiTheme="minorHAnsi"/>
        </w:rPr>
      </w:pPr>
      <w:r w:rsidRPr="00007F5D">
        <w:rPr>
          <w:rFonts w:asciiTheme="minorHAnsi" w:hAnsiTheme="minorHAnsi"/>
        </w:rPr>
        <w:t>3.3. The BCBA agrees not to render billable services until credentialing approval is obtained from each applicable payor.</w:t>
      </w:r>
    </w:p>
    <w:p w14:paraId="0751B68C" w14:textId="41D554B0" w:rsidR="00007F5D" w:rsidRPr="000B4910" w:rsidRDefault="00007F5D" w:rsidP="00007F5D">
      <w:pPr>
        <w:pStyle w:val="NormalWeb"/>
        <w:rPr>
          <w:rFonts w:asciiTheme="minorHAnsi" w:hAnsiTheme="minorHAnsi"/>
        </w:rPr>
      </w:pPr>
      <w:r w:rsidRPr="000B4910">
        <w:rPr>
          <w:rStyle w:val="Strong"/>
          <w:rFonts w:asciiTheme="minorHAnsi" w:eastAsiaTheme="majorEastAsia" w:hAnsiTheme="minorHAnsi"/>
        </w:rPr>
        <w:t>COMPENSATION DURING CREDENTIALING</w:t>
      </w:r>
      <w:r w:rsidRPr="000B4910">
        <w:rPr>
          <w:rFonts w:asciiTheme="minorHAnsi" w:hAnsiTheme="minorHAnsi"/>
        </w:rPr>
        <w:br/>
        <w:t>4.1. The BCBA will not be eligible for reimbursement from insurance payors until credentialing is complete and services cannot be rendered to clients during this period. No compensation will be provided to the BCBA during the credentialing process.</w:t>
      </w:r>
    </w:p>
    <w:p w14:paraId="6D4B6DF9" w14:textId="2D16719B" w:rsidR="00007F5D" w:rsidRDefault="00007F5D" w:rsidP="00007F5D">
      <w:pPr>
        <w:pStyle w:val="NormalWeb"/>
        <w:rPr>
          <w:rFonts w:asciiTheme="minorHAnsi" w:hAnsiTheme="minorHAnsi"/>
        </w:rPr>
      </w:pPr>
      <w:r w:rsidRPr="000B4910">
        <w:rPr>
          <w:rFonts w:asciiTheme="minorHAnsi" w:hAnsiTheme="minorHAnsi"/>
        </w:rPr>
        <w:t>4.2. The Company reserves the right to modify the compensation structure based on the length of the credentialing process and business needs.</w:t>
      </w:r>
    </w:p>
    <w:p w14:paraId="37F36F23" w14:textId="4E4A4681" w:rsidR="000B4910" w:rsidRPr="000B4910" w:rsidRDefault="000B4910" w:rsidP="000B4910">
      <w:pPr>
        <w:pStyle w:val="NormalWeb"/>
        <w:rPr>
          <w:rFonts w:asciiTheme="minorHAnsi" w:hAnsiTheme="minorHAnsi"/>
        </w:rPr>
      </w:pPr>
      <w:r w:rsidRPr="000B4910">
        <w:rPr>
          <w:rFonts w:asciiTheme="minorHAnsi" w:hAnsiTheme="minorHAnsi"/>
          <w:b/>
          <w:bCs/>
        </w:rPr>
        <w:t>MEDICAID ENROLLMENT</w:t>
      </w:r>
      <w:r w:rsidRPr="000B4910">
        <w:rPr>
          <w:rFonts w:asciiTheme="minorHAnsi" w:hAnsiTheme="minorHAnsi"/>
        </w:rPr>
        <w:br/>
        <w:t>5.1. The BCBA understands that Medicaid enrollment is a separate process from commercial and managed care credentialing and may have additional requirements.</w:t>
      </w:r>
    </w:p>
    <w:p w14:paraId="10FB620B" w14:textId="272B6402" w:rsidR="000B4910" w:rsidRPr="000B4910" w:rsidRDefault="000B4910" w:rsidP="000B4910">
      <w:pPr>
        <w:pStyle w:val="NormalWeb"/>
        <w:rPr>
          <w:rFonts w:asciiTheme="minorHAnsi" w:hAnsiTheme="minorHAnsi"/>
        </w:rPr>
      </w:pPr>
      <w:r w:rsidRPr="000B4910">
        <w:rPr>
          <w:rFonts w:asciiTheme="minorHAnsi" w:hAnsiTheme="minorHAnsi"/>
        </w:rPr>
        <w:lastRenderedPageBreak/>
        <w:t>5.2. The BCBA agrees to provide all documentation necessary for Medicaid enrollment, including but not limited to Medicaid-specific applications</w:t>
      </w:r>
      <w:r>
        <w:rPr>
          <w:rFonts w:asciiTheme="minorHAnsi" w:hAnsiTheme="minorHAnsi"/>
        </w:rPr>
        <w:t xml:space="preserve"> and background checks </w:t>
      </w:r>
      <w:r w:rsidRPr="000B4910">
        <w:rPr>
          <w:rFonts w:asciiTheme="minorHAnsi" w:hAnsiTheme="minorHAnsi"/>
        </w:rPr>
        <w:t xml:space="preserve">as required by </w:t>
      </w:r>
      <w:r>
        <w:rPr>
          <w:rFonts w:asciiTheme="minorHAnsi" w:hAnsiTheme="minorHAnsi"/>
        </w:rPr>
        <w:t xml:space="preserve">the </w:t>
      </w:r>
      <w:r w:rsidRPr="004131F0">
        <w:rPr>
          <w:rFonts w:asciiTheme="minorHAnsi" w:hAnsiTheme="minorHAnsi"/>
          <w:b/>
          <w:bCs/>
        </w:rPr>
        <w:t>[</w:t>
      </w:r>
      <w:r w:rsidR="004131F0" w:rsidRPr="004131F0">
        <w:rPr>
          <w:rFonts w:asciiTheme="minorHAnsi" w:hAnsiTheme="minorHAnsi"/>
          <w:b/>
          <w:bCs/>
        </w:rPr>
        <w:t>State</w:t>
      </w:r>
      <w:r w:rsidRPr="004131F0">
        <w:rPr>
          <w:rFonts w:asciiTheme="minorHAnsi" w:hAnsiTheme="minorHAnsi"/>
          <w:b/>
          <w:bCs/>
        </w:rPr>
        <w:t>]</w:t>
      </w:r>
      <w:r w:rsidRPr="000B4910">
        <w:rPr>
          <w:rFonts w:asciiTheme="minorHAnsi" w:hAnsiTheme="minorHAnsi"/>
          <w:b/>
          <w:bCs/>
        </w:rPr>
        <w:t xml:space="preserve"> </w:t>
      </w:r>
      <w:r w:rsidRPr="000B4910">
        <w:rPr>
          <w:rFonts w:asciiTheme="minorHAnsi" w:hAnsiTheme="minorHAnsi"/>
        </w:rPr>
        <w:t xml:space="preserve">Medicaid </w:t>
      </w:r>
      <w:r>
        <w:rPr>
          <w:rFonts w:asciiTheme="minorHAnsi" w:hAnsiTheme="minorHAnsi"/>
        </w:rPr>
        <w:t>program</w:t>
      </w:r>
      <w:r w:rsidRPr="000B4910">
        <w:rPr>
          <w:rFonts w:asciiTheme="minorHAnsi" w:hAnsiTheme="minorHAnsi"/>
        </w:rPr>
        <w:t>.</w:t>
      </w:r>
    </w:p>
    <w:p w14:paraId="16ECE8AF" w14:textId="31DC408F" w:rsidR="000B4910" w:rsidRDefault="000B4910" w:rsidP="000B4910">
      <w:pPr>
        <w:pStyle w:val="NormalWeb"/>
        <w:rPr>
          <w:rFonts w:asciiTheme="minorHAnsi" w:hAnsiTheme="minorHAnsi"/>
        </w:rPr>
      </w:pPr>
      <w:r w:rsidRPr="000B4910">
        <w:rPr>
          <w:rFonts w:asciiTheme="minorHAnsi" w:hAnsiTheme="minorHAnsi"/>
        </w:rPr>
        <w:t xml:space="preserve">5.3. The BCBA acknowledges that Medicaid enrollment may take longer than commercial credentialing and must be completed before rendering services to Medicaid </w:t>
      </w:r>
      <w:r>
        <w:rPr>
          <w:rFonts w:asciiTheme="minorHAnsi" w:hAnsiTheme="minorHAnsi"/>
        </w:rPr>
        <w:t>and managed care clients.</w:t>
      </w:r>
    </w:p>
    <w:p w14:paraId="3CC26D32" w14:textId="771A51D9" w:rsidR="000B4910" w:rsidRPr="000B4910" w:rsidRDefault="000B4910" w:rsidP="000B4910">
      <w:pPr>
        <w:pStyle w:val="NormalWeb"/>
        <w:rPr>
          <w:rFonts w:asciiTheme="minorHAnsi" w:hAnsiTheme="minorHAnsi"/>
        </w:rPr>
      </w:pPr>
      <w:r w:rsidRPr="000B4910">
        <w:rPr>
          <w:rStyle w:val="Strong"/>
          <w:rFonts w:asciiTheme="minorHAnsi" w:eastAsiaTheme="majorEastAsia" w:hAnsiTheme="minorHAnsi"/>
        </w:rPr>
        <w:t>TERM AND TERMINATION</w:t>
      </w:r>
      <w:r w:rsidRPr="000B4910">
        <w:rPr>
          <w:rFonts w:asciiTheme="minorHAnsi" w:hAnsiTheme="minorHAnsi"/>
        </w:rPr>
        <w:br/>
        <w:t>6.1. This Agreement shall remain in effect until credentialing is successfully completed, after which the BCBA will enter into a separate employment or independent contractor agreement.</w:t>
      </w:r>
    </w:p>
    <w:p w14:paraId="09E3E7DE" w14:textId="77777777" w:rsidR="000B4910" w:rsidRPr="000B4910" w:rsidRDefault="000B4910" w:rsidP="000B4910">
      <w:pPr>
        <w:pStyle w:val="NormalWeb"/>
        <w:spacing w:before="0" w:beforeAutospacing="0" w:after="0" w:afterAutospacing="0"/>
        <w:rPr>
          <w:rFonts w:asciiTheme="minorHAnsi" w:hAnsiTheme="minorHAnsi"/>
        </w:rPr>
      </w:pPr>
      <w:r w:rsidRPr="000B4910">
        <w:rPr>
          <w:rFonts w:asciiTheme="minorHAnsi" w:hAnsiTheme="minorHAnsi"/>
        </w:rPr>
        <w:t xml:space="preserve">6.2. Either party may terminate this Agreement with </w:t>
      </w:r>
      <w:r w:rsidRPr="000B4910">
        <w:rPr>
          <w:rStyle w:val="Strong"/>
          <w:rFonts w:asciiTheme="minorHAnsi" w:eastAsiaTheme="majorEastAsia" w:hAnsiTheme="minorHAnsi"/>
        </w:rPr>
        <w:t>[X] days'</w:t>
      </w:r>
      <w:r w:rsidRPr="000B4910">
        <w:rPr>
          <w:rFonts w:asciiTheme="minorHAnsi" w:hAnsiTheme="minorHAnsi"/>
        </w:rPr>
        <w:t xml:space="preserve"> written notice if:</w:t>
      </w:r>
    </w:p>
    <w:p w14:paraId="0742D4D1" w14:textId="77777777" w:rsidR="000B4910" w:rsidRPr="000B4910" w:rsidRDefault="000B4910" w:rsidP="000B4910">
      <w:pPr>
        <w:pStyle w:val="NormalWeb"/>
        <w:numPr>
          <w:ilvl w:val="0"/>
          <w:numId w:val="7"/>
        </w:numPr>
        <w:spacing w:before="0" w:beforeAutospacing="0" w:after="0" w:afterAutospacing="0"/>
        <w:rPr>
          <w:rFonts w:asciiTheme="minorHAnsi" w:hAnsiTheme="minorHAnsi"/>
        </w:rPr>
      </w:pPr>
      <w:r w:rsidRPr="000B4910">
        <w:rPr>
          <w:rFonts w:asciiTheme="minorHAnsi" w:hAnsiTheme="minorHAnsi"/>
        </w:rPr>
        <w:t>The BCBA fails to complete credentialing requirements</w:t>
      </w:r>
    </w:p>
    <w:p w14:paraId="29EB0D00" w14:textId="77777777" w:rsidR="000B4910" w:rsidRPr="000B4910" w:rsidRDefault="000B4910" w:rsidP="000B4910">
      <w:pPr>
        <w:pStyle w:val="NormalWeb"/>
        <w:numPr>
          <w:ilvl w:val="0"/>
          <w:numId w:val="7"/>
        </w:numPr>
        <w:rPr>
          <w:rFonts w:asciiTheme="minorHAnsi" w:hAnsiTheme="minorHAnsi"/>
        </w:rPr>
      </w:pPr>
      <w:r w:rsidRPr="000B4910">
        <w:rPr>
          <w:rFonts w:asciiTheme="minorHAnsi" w:hAnsiTheme="minorHAnsi"/>
        </w:rPr>
        <w:t>A payor denies credentialing for any reason</w:t>
      </w:r>
    </w:p>
    <w:p w14:paraId="395E7FE2" w14:textId="77777777" w:rsidR="000B4910" w:rsidRPr="000B4910" w:rsidRDefault="000B4910" w:rsidP="000B4910">
      <w:pPr>
        <w:pStyle w:val="NormalWeb"/>
        <w:numPr>
          <w:ilvl w:val="0"/>
          <w:numId w:val="7"/>
        </w:numPr>
        <w:rPr>
          <w:rFonts w:asciiTheme="minorHAnsi" w:hAnsiTheme="minorHAnsi"/>
        </w:rPr>
      </w:pPr>
      <w:r w:rsidRPr="000B4910">
        <w:rPr>
          <w:rFonts w:asciiTheme="minorHAnsi" w:hAnsiTheme="minorHAnsi"/>
        </w:rPr>
        <w:t>The BCBA fails to meet Company standards or compliance requirements</w:t>
      </w:r>
    </w:p>
    <w:p w14:paraId="795CD47E" w14:textId="77777777" w:rsidR="000B4910" w:rsidRDefault="000B4910" w:rsidP="000B4910">
      <w:pPr>
        <w:pStyle w:val="NormalWeb"/>
        <w:numPr>
          <w:ilvl w:val="0"/>
          <w:numId w:val="7"/>
        </w:numPr>
        <w:rPr>
          <w:rFonts w:asciiTheme="minorHAnsi" w:hAnsiTheme="minorHAnsi"/>
        </w:rPr>
      </w:pPr>
      <w:r w:rsidRPr="000B4910">
        <w:rPr>
          <w:rFonts w:asciiTheme="minorHAnsi" w:hAnsiTheme="minorHAnsi"/>
        </w:rPr>
        <w:t>The Company determines it no longer requires the BCBA’s services</w:t>
      </w:r>
    </w:p>
    <w:p w14:paraId="070FB11B" w14:textId="4E8757AD" w:rsidR="000B4910" w:rsidRPr="000B4910" w:rsidRDefault="000B4910" w:rsidP="000B4910">
      <w:pPr>
        <w:pStyle w:val="NormalWeb"/>
        <w:rPr>
          <w:rFonts w:asciiTheme="minorHAnsi" w:hAnsiTheme="minorHAnsi"/>
        </w:rPr>
      </w:pPr>
      <w:r w:rsidRPr="000B4910">
        <w:rPr>
          <w:rStyle w:val="Strong"/>
          <w:rFonts w:asciiTheme="minorHAnsi" w:eastAsiaTheme="majorEastAsia" w:hAnsiTheme="minorHAnsi"/>
        </w:rPr>
        <w:t>COMPLIANCE AND LIABILITY</w:t>
      </w:r>
      <w:r w:rsidRPr="000B4910">
        <w:rPr>
          <w:rFonts w:asciiTheme="minorHAnsi" w:hAnsiTheme="minorHAnsi"/>
        </w:rPr>
        <w:br/>
        <w:t>7.1. The BCBA agrees to adhere to all ethical and professional standards set forth by the BACB, state regulations, and the Company’s policies.</w:t>
      </w:r>
    </w:p>
    <w:p w14:paraId="13842347" w14:textId="65B72D44" w:rsidR="000B4910" w:rsidRPr="000B4910" w:rsidRDefault="000B4910" w:rsidP="000B4910">
      <w:pPr>
        <w:pStyle w:val="NormalWeb"/>
        <w:rPr>
          <w:rFonts w:asciiTheme="minorHAnsi" w:hAnsiTheme="minorHAnsi"/>
        </w:rPr>
      </w:pPr>
      <w:r w:rsidRPr="000B4910">
        <w:rPr>
          <w:rFonts w:asciiTheme="minorHAnsi" w:hAnsiTheme="minorHAnsi"/>
        </w:rPr>
        <w:t xml:space="preserve">7.2. The BCBA shall be responsible for maintaining up-to-date credentials and notifying the Company of any changes in licensure, certification, or insurance coverage. This includes timely renewal of professional licenses, liability insurance, and any required training certifications. The BCBA must </w:t>
      </w:r>
      <w:r w:rsidR="00745E23" w:rsidRPr="00745E23">
        <w:rPr>
          <w:rFonts w:asciiTheme="minorHAnsi" w:hAnsiTheme="minorHAnsi"/>
        </w:rPr>
        <w:t>update CAQH profile</w:t>
      </w:r>
      <w:r w:rsidRPr="000B4910">
        <w:rPr>
          <w:rFonts w:asciiTheme="minorHAnsi" w:hAnsiTheme="minorHAnsi"/>
        </w:rPr>
        <w:t xml:space="preserve"> before the expiration of any credential</w:t>
      </w:r>
      <w:r w:rsidR="00745E23" w:rsidRPr="00745E23">
        <w:rPr>
          <w:rFonts w:asciiTheme="minorHAnsi" w:hAnsiTheme="minorHAnsi"/>
        </w:rPr>
        <w:t>, liability insurance, or training</w:t>
      </w:r>
      <w:r w:rsidRPr="000B4910">
        <w:rPr>
          <w:rFonts w:asciiTheme="minorHAnsi" w:hAnsiTheme="minorHAnsi"/>
        </w:rPr>
        <w:t xml:space="preserve"> to prevent delays or denials in credentialing.</w:t>
      </w:r>
    </w:p>
    <w:p w14:paraId="4F4A299E" w14:textId="122A382F" w:rsidR="000B4910" w:rsidRDefault="000B4910" w:rsidP="000B4910">
      <w:pPr>
        <w:pStyle w:val="NormalWeb"/>
        <w:rPr>
          <w:rFonts w:asciiTheme="minorHAnsi" w:hAnsiTheme="minorHAnsi"/>
        </w:rPr>
      </w:pPr>
      <w:r w:rsidRPr="000B4910">
        <w:rPr>
          <w:rFonts w:asciiTheme="minorHAnsi" w:hAnsiTheme="minorHAnsi"/>
        </w:rPr>
        <w:t xml:space="preserve">7.3. </w:t>
      </w:r>
      <w:r w:rsidR="008244F0" w:rsidRPr="008244F0">
        <w:rPr>
          <w:rFonts w:asciiTheme="minorHAnsi" w:hAnsiTheme="minorHAnsi"/>
        </w:rPr>
        <w:t>The BCBA acknowledges that failure to renew credentials in a timely manner may result in an inability to provide billable services, suspension from practice, loss of reimbursement eligibility, and potential termination of this Agreement.</w:t>
      </w:r>
    </w:p>
    <w:p w14:paraId="18923348" w14:textId="538EF497" w:rsidR="008244F0" w:rsidRPr="000B4910" w:rsidRDefault="008244F0" w:rsidP="000B4910">
      <w:pPr>
        <w:pStyle w:val="NormalWeb"/>
        <w:rPr>
          <w:rFonts w:asciiTheme="minorHAnsi" w:hAnsiTheme="minorHAnsi"/>
        </w:rPr>
      </w:pPr>
      <w:r>
        <w:rPr>
          <w:rFonts w:asciiTheme="minorHAnsi" w:hAnsiTheme="minorHAnsi"/>
        </w:rPr>
        <w:t xml:space="preserve">7.4. </w:t>
      </w:r>
      <w:r w:rsidRPr="008244F0">
        <w:rPr>
          <w:rFonts w:asciiTheme="minorHAnsi" w:hAnsiTheme="minorHAnsi"/>
        </w:rPr>
        <w:t>The Company reserves the right to conduct periodic audits of the BCBA’s credentials to ensure ongoing compliance with all payor requirements. The BCBA agrees to cooperate fully with such audits and provide any requested documentation promptly.</w:t>
      </w:r>
    </w:p>
    <w:p w14:paraId="1A63F6C4" w14:textId="6E00F364" w:rsidR="000B4910" w:rsidRPr="00745E23" w:rsidRDefault="000B4910" w:rsidP="000B4910">
      <w:pPr>
        <w:pStyle w:val="NormalWeb"/>
        <w:rPr>
          <w:rFonts w:asciiTheme="minorHAnsi" w:hAnsiTheme="minorHAnsi"/>
        </w:rPr>
      </w:pPr>
      <w:r w:rsidRPr="000B4910">
        <w:rPr>
          <w:rFonts w:asciiTheme="minorHAnsi" w:hAnsiTheme="minorHAnsi"/>
        </w:rPr>
        <w:t>7.</w:t>
      </w:r>
      <w:r w:rsidR="008244F0">
        <w:rPr>
          <w:rFonts w:asciiTheme="minorHAnsi" w:hAnsiTheme="minorHAnsi"/>
        </w:rPr>
        <w:t>5</w:t>
      </w:r>
      <w:r w:rsidRPr="000B4910">
        <w:rPr>
          <w:rFonts w:asciiTheme="minorHAnsi" w:hAnsiTheme="minorHAnsi"/>
        </w:rPr>
        <w:t>. The BCBA agrees to indemnify and hold the Company harmless from any claims, liabilities, or legal actions arising from non-compliance with credentialing requirements.</w:t>
      </w:r>
    </w:p>
    <w:p w14:paraId="2AB3A4FA" w14:textId="43FCED68" w:rsidR="000B4910" w:rsidRPr="000B4910" w:rsidRDefault="000B4910" w:rsidP="000B4910">
      <w:pPr>
        <w:pStyle w:val="NormalWeb"/>
        <w:rPr>
          <w:rFonts w:asciiTheme="minorHAnsi" w:hAnsiTheme="minorHAnsi"/>
        </w:rPr>
      </w:pPr>
      <w:r w:rsidRPr="000B4910">
        <w:rPr>
          <w:rFonts w:asciiTheme="minorHAnsi" w:hAnsiTheme="minorHAnsi"/>
          <w:b/>
          <w:bCs/>
        </w:rPr>
        <w:t>CONFIDENTIALITY</w:t>
      </w:r>
      <w:r w:rsidRPr="000B4910">
        <w:rPr>
          <w:rFonts w:asciiTheme="minorHAnsi" w:hAnsiTheme="minorHAnsi"/>
        </w:rPr>
        <w:br/>
        <w:t>8.1. Both parties agree to maintain the confidentiality of all patient records, Company policies, and credentialing-related information in accordance with HIPAA and other applicable laws.</w:t>
      </w:r>
    </w:p>
    <w:p w14:paraId="5A88A87E" w14:textId="77777777" w:rsidR="008244F0" w:rsidRDefault="000B4910" w:rsidP="000B4910">
      <w:pPr>
        <w:pStyle w:val="NormalWeb"/>
        <w:rPr>
          <w:rFonts w:asciiTheme="minorHAnsi" w:hAnsiTheme="minorHAnsi"/>
        </w:rPr>
      </w:pPr>
      <w:r w:rsidRPr="000B4910">
        <w:rPr>
          <w:rFonts w:asciiTheme="minorHAnsi" w:hAnsiTheme="minorHAnsi"/>
        </w:rPr>
        <w:t>8.2. The BCBA agrees not to disclose or use proprietary Company information outside the scope of this Agreement.</w:t>
      </w:r>
    </w:p>
    <w:p w14:paraId="1E258657" w14:textId="77777777" w:rsidR="008244F0" w:rsidRDefault="008244F0" w:rsidP="000B4910">
      <w:pPr>
        <w:pStyle w:val="NormalWeb"/>
        <w:rPr>
          <w:rFonts w:asciiTheme="minorHAnsi" w:hAnsiTheme="minorHAnsi"/>
          <w:b/>
          <w:bCs/>
        </w:rPr>
      </w:pPr>
    </w:p>
    <w:p w14:paraId="1FECEA04" w14:textId="77777777" w:rsidR="008244F0" w:rsidRDefault="008244F0" w:rsidP="000B4910">
      <w:pPr>
        <w:pStyle w:val="NormalWeb"/>
        <w:rPr>
          <w:rFonts w:asciiTheme="minorHAnsi" w:hAnsiTheme="minorHAnsi"/>
          <w:b/>
          <w:bCs/>
        </w:rPr>
      </w:pPr>
    </w:p>
    <w:p w14:paraId="4DC598DF" w14:textId="209F7234" w:rsidR="000B4910" w:rsidRDefault="008244F0" w:rsidP="000B4910">
      <w:pPr>
        <w:pStyle w:val="NormalWeb"/>
        <w:rPr>
          <w:rFonts w:asciiTheme="minorHAnsi" w:hAnsiTheme="minorHAnsi"/>
          <w:b/>
          <w:bCs/>
        </w:rPr>
      </w:pPr>
      <w:r>
        <w:rPr>
          <w:rFonts w:asciiTheme="minorHAnsi" w:hAnsiTheme="minorHAnsi"/>
          <w:b/>
          <w:bCs/>
        </w:rPr>
        <w:lastRenderedPageBreak/>
        <w:t>GENERAL PROVISIONS</w:t>
      </w:r>
    </w:p>
    <w:p w14:paraId="4B0570FD" w14:textId="77777777" w:rsidR="008244F0" w:rsidRPr="008244F0" w:rsidRDefault="008244F0" w:rsidP="008244F0">
      <w:pPr>
        <w:pStyle w:val="NormalWeb"/>
        <w:rPr>
          <w:rFonts w:asciiTheme="minorHAnsi" w:hAnsiTheme="minorHAnsi"/>
        </w:rPr>
      </w:pPr>
      <w:r w:rsidRPr="008244F0">
        <w:rPr>
          <w:rFonts w:asciiTheme="minorHAnsi" w:hAnsiTheme="minorHAnsi"/>
        </w:rPr>
        <w:t xml:space="preserve">9.1. </w:t>
      </w:r>
      <w:r w:rsidRPr="008244F0">
        <w:rPr>
          <w:rStyle w:val="Strong"/>
          <w:rFonts w:asciiTheme="minorHAnsi" w:eastAsiaTheme="majorEastAsia" w:hAnsiTheme="minorHAnsi"/>
        </w:rPr>
        <w:t>Governing Law</w:t>
      </w:r>
      <w:r w:rsidRPr="008244F0">
        <w:rPr>
          <w:rFonts w:asciiTheme="minorHAnsi" w:hAnsiTheme="minorHAnsi"/>
        </w:rPr>
        <w:t xml:space="preserve"> – This Agreement shall be governed by the laws of the State of </w:t>
      </w:r>
      <w:r w:rsidRPr="008244F0">
        <w:rPr>
          <w:rStyle w:val="Strong"/>
          <w:rFonts w:asciiTheme="minorHAnsi" w:eastAsiaTheme="majorEastAsia" w:hAnsiTheme="minorHAnsi"/>
        </w:rPr>
        <w:t>[State]</w:t>
      </w:r>
      <w:r w:rsidRPr="008244F0">
        <w:rPr>
          <w:rFonts w:asciiTheme="minorHAnsi" w:hAnsiTheme="minorHAnsi"/>
        </w:rPr>
        <w:t>.</w:t>
      </w:r>
    </w:p>
    <w:p w14:paraId="2ACC69AC" w14:textId="77777777" w:rsidR="008244F0" w:rsidRPr="008244F0" w:rsidRDefault="008244F0" w:rsidP="008244F0">
      <w:pPr>
        <w:pStyle w:val="NormalWeb"/>
        <w:rPr>
          <w:rFonts w:asciiTheme="minorHAnsi" w:hAnsiTheme="minorHAnsi"/>
        </w:rPr>
      </w:pPr>
      <w:r w:rsidRPr="008244F0">
        <w:rPr>
          <w:rFonts w:asciiTheme="minorHAnsi" w:hAnsiTheme="minorHAnsi"/>
        </w:rPr>
        <w:t xml:space="preserve">9.2. </w:t>
      </w:r>
      <w:r w:rsidRPr="008244F0">
        <w:rPr>
          <w:rStyle w:val="Strong"/>
          <w:rFonts w:asciiTheme="minorHAnsi" w:eastAsiaTheme="majorEastAsia" w:hAnsiTheme="minorHAnsi"/>
        </w:rPr>
        <w:t>Entire Agreement</w:t>
      </w:r>
      <w:r w:rsidRPr="008244F0">
        <w:rPr>
          <w:rFonts w:asciiTheme="minorHAnsi" w:hAnsiTheme="minorHAnsi"/>
        </w:rPr>
        <w:t xml:space="preserve"> – This Agreement constitutes the entire understanding between the parties regarding credentialing and supersedes all prior agreements or understandings, whether written or oral.</w:t>
      </w:r>
    </w:p>
    <w:p w14:paraId="7EFEBFDA" w14:textId="77777777" w:rsidR="008244F0" w:rsidRPr="008244F0" w:rsidRDefault="008244F0" w:rsidP="008244F0">
      <w:pPr>
        <w:pStyle w:val="NormalWeb"/>
        <w:rPr>
          <w:rFonts w:asciiTheme="minorHAnsi" w:hAnsiTheme="minorHAnsi"/>
        </w:rPr>
      </w:pPr>
      <w:r w:rsidRPr="008244F0">
        <w:rPr>
          <w:rFonts w:asciiTheme="minorHAnsi" w:hAnsiTheme="minorHAnsi"/>
        </w:rPr>
        <w:t xml:space="preserve">9.3. </w:t>
      </w:r>
      <w:r w:rsidRPr="008244F0">
        <w:rPr>
          <w:rStyle w:val="Strong"/>
          <w:rFonts w:asciiTheme="minorHAnsi" w:eastAsiaTheme="majorEastAsia" w:hAnsiTheme="minorHAnsi"/>
        </w:rPr>
        <w:t>Amendments</w:t>
      </w:r>
      <w:r w:rsidRPr="008244F0">
        <w:rPr>
          <w:rFonts w:asciiTheme="minorHAnsi" w:hAnsiTheme="minorHAnsi"/>
        </w:rPr>
        <w:t xml:space="preserve"> – Any modifications to this Agreement must be in writing and signed by both parties.</w:t>
      </w:r>
    </w:p>
    <w:p w14:paraId="0E12FC45" w14:textId="77777777" w:rsidR="008244F0" w:rsidRDefault="008244F0" w:rsidP="008244F0">
      <w:pPr>
        <w:pStyle w:val="NormalWeb"/>
        <w:rPr>
          <w:rFonts w:asciiTheme="minorHAnsi" w:hAnsiTheme="minorHAnsi"/>
        </w:rPr>
      </w:pPr>
      <w:r w:rsidRPr="008244F0">
        <w:rPr>
          <w:rFonts w:asciiTheme="minorHAnsi" w:hAnsiTheme="minorHAnsi"/>
        </w:rPr>
        <w:t xml:space="preserve">9.4. </w:t>
      </w:r>
      <w:r w:rsidRPr="008244F0">
        <w:rPr>
          <w:rStyle w:val="Strong"/>
          <w:rFonts w:asciiTheme="minorHAnsi" w:eastAsiaTheme="majorEastAsia" w:hAnsiTheme="minorHAnsi"/>
        </w:rPr>
        <w:t>Severability</w:t>
      </w:r>
      <w:r w:rsidRPr="008244F0">
        <w:rPr>
          <w:rFonts w:asciiTheme="minorHAnsi" w:hAnsiTheme="minorHAnsi"/>
        </w:rPr>
        <w:t xml:space="preserve"> – If any provision of this Agreement is found to be invalid or unenforceable, the remaining provisions shall remain in full force and effect.</w:t>
      </w:r>
    </w:p>
    <w:p w14:paraId="2C624BE8" w14:textId="7EFB8505" w:rsidR="00413DB1" w:rsidRDefault="00413DB1" w:rsidP="00413DB1">
      <w:pPr>
        <w:pStyle w:val="NormalWeb"/>
        <w:rPr>
          <w:rFonts w:asciiTheme="minorHAnsi" w:hAnsiTheme="minorHAnsi"/>
        </w:rPr>
      </w:pPr>
      <w:r w:rsidRPr="00413DB1">
        <w:rPr>
          <w:rStyle w:val="Strong"/>
          <w:rFonts w:asciiTheme="minorHAnsi" w:eastAsiaTheme="majorEastAsia" w:hAnsiTheme="minorHAnsi"/>
        </w:rPr>
        <w:t>IN WITNESS WHEREOF</w:t>
      </w:r>
      <w:r w:rsidRPr="00413DB1">
        <w:rPr>
          <w:rFonts w:asciiTheme="minorHAnsi" w:hAnsiTheme="minorHAnsi"/>
        </w:rPr>
        <w:t>, the parties have executed this Agreement as of the Effective Date.</w:t>
      </w:r>
    </w:p>
    <w:p w14:paraId="17D16ECE" w14:textId="77777777" w:rsidR="00342F51" w:rsidRPr="00342F51" w:rsidRDefault="00342F51" w:rsidP="00413DB1">
      <w:pPr>
        <w:pStyle w:val="NormalWeb"/>
        <w:rPr>
          <w:rFonts w:asciiTheme="minorHAnsi" w:eastAsiaTheme="majorEastAsia" w:hAnsiTheme="minorHAnsi"/>
          <w:b/>
          <w:bCs/>
        </w:rPr>
      </w:pPr>
    </w:p>
    <w:p w14:paraId="5206CA8A" w14:textId="4B327897" w:rsidR="00413DB1" w:rsidRDefault="00413DB1" w:rsidP="00413DB1">
      <w:pPr>
        <w:pStyle w:val="NormalWeb"/>
        <w:rPr>
          <w:rFonts w:asciiTheme="minorHAnsi" w:hAnsiTheme="minorHAnsi"/>
        </w:rPr>
      </w:pPr>
      <w:r w:rsidRPr="00413DB1">
        <w:rPr>
          <w:rStyle w:val="Strong"/>
          <w:rFonts w:asciiTheme="minorHAnsi" w:eastAsiaTheme="majorEastAsia" w:hAnsiTheme="minorHAnsi"/>
        </w:rPr>
        <w:t>[</w:t>
      </w:r>
      <w:r w:rsidR="00342F51">
        <w:rPr>
          <w:rStyle w:val="Strong"/>
          <w:rFonts w:asciiTheme="minorHAnsi" w:eastAsiaTheme="majorEastAsia" w:hAnsiTheme="minorHAnsi"/>
        </w:rPr>
        <w:t>Company</w:t>
      </w:r>
      <w:r w:rsidRPr="00413DB1">
        <w:rPr>
          <w:rStyle w:val="Strong"/>
          <w:rFonts w:asciiTheme="minorHAnsi" w:eastAsiaTheme="majorEastAsia" w:hAnsiTheme="minorHAnsi"/>
        </w:rPr>
        <w:t>]</w:t>
      </w:r>
      <w:r w:rsidRPr="00413DB1">
        <w:rPr>
          <w:rFonts w:asciiTheme="minorHAnsi" w:hAnsiTheme="minorHAnsi"/>
        </w:rPr>
        <w:br/>
        <w:t>By: ______________________________</w:t>
      </w:r>
      <w:r w:rsidRPr="00413DB1">
        <w:rPr>
          <w:rFonts w:asciiTheme="minorHAnsi" w:hAnsiTheme="minorHAnsi"/>
        </w:rPr>
        <w:br/>
        <w:t>Name: ____________________________</w:t>
      </w:r>
      <w:r w:rsidRPr="00413DB1">
        <w:rPr>
          <w:rFonts w:asciiTheme="minorHAnsi" w:hAnsiTheme="minorHAnsi"/>
        </w:rPr>
        <w:br/>
        <w:t>Title: _____________________________</w:t>
      </w:r>
      <w:r w:rsidRPr="00413DB1">
        <w:rPr>
          <w:rFonts w:asciiTheme="minorHAnsi" w:hAnsiTheme="minorHAnsi"/>
        </w:rPr>
        <w:br/>
        <w:t>Date: _____________________________</w:t>
      </w:r>
    </w:p>
    <w:p w14:paraId="0F6D9334" w14:textId="77777777" w:rsidR="00342F51" w:rsidRPr="00413DB1" w:rsidRDefault="00342F51" w:rsidP="00413DB1">
      <w:pPr>
        <w:pStyle w:val="NormalWeb"/>
        <w:rPr>
          <w:rFonts w:asciiTheme="minorHAnsi" w:hAnsiTheme="minorHAnsi"/>
        </w:rPr>
      </w:pPr>
    </w:p>
    <w:p w14:paraId="6994E001" w14:textId="77777777" w:rsidR="00413DB1" w:rsidRPr="00413DB1" w:rsidRDefault="00413DB1" w:rsidP="00413DB1">
      <w:pPr>
        <w:pStyle w:val="NormalWeb"/>
        <w:rPr>
          <w:rFonts w:asciiTheme="minorHAnsi" w:hAnsiTheme="minorHAnsi"/>
        </w:rPr>
      </w:pPr>
      <w:r w:rsidRPr="00413DB1">
        <w:rPr>
          <w:rStyle w:val="Strong"/>
          <w:rFonts w:asciiTheme="minorHAnsi" w:eastAsiaTheme="majorEastAsia" w:hAnsiTheme="minorHAnsi"/>
        </w:rPr>
        <w:t>[BCBA NAME]</w:t>
      </w:r>
      <w:r w:rsidRPr="00413DB1">
        <w:rPr>
          <w:rFonts w:asciiTheme="minorHAnsi" w:hAnsiTheme="minorHAnsi"/>
        </w:rPr>
        <w:br/>
        <w:t>By: ______________________________</w:t>
      </w:r>
      <w:r w:rsidRPr="00413DB1">
        <w:rPr>
          <w:rFonts w:asciiTheme="minorHAnsi" w:hAnsiTheme="minorHAnsi"/>
        </w:rPr>
        <w:br/>
        <w:t>Name: ____________________________</w:t>
      </w:r>
      <w:r w:rsidRPr="00413DB1">
        <w:rPr>
          <w:rFonts w:asciiTheme="minorHAnsi" w:hAnsiTheme="minorHAnsi"/>
        </w:rPr>
        <w:br/>
        <w:t>Date: _____________________________</w:t>
      </w:r>
    </w:p>
    <w:p w14:paraId="2024B479" w14:textId="77777777" w:rsidR="00413DB1" w:rsidRPr="008244F0" w:rsidRDefault="00413DB1" w:rsidP="008244F0">
      <w:pPr>
        <w:pStyle w:val="NormalWeb"/>
        <w:rPr>
          <w:rFonts w:asciiTheme="minorHAnsi" w:hAnsiTheme="minorHAnsi"/>
        </w:rPr>
      </w:pPr>
    </w:p>
    <w:p w14:paraId="792F4687" w14:textId="77777777" w:rsidR="008244F0" w:rsidRDefault="008244F0" w:rsidP="000B4910">
      <w:pPr>
        <w:pStyle w:val="NormalWeb"/>
        <w:rPr>
          <w:rFonts w:asciiTheme="minorHAnsi" w:hAnsiTheme="minorHAnsi"/>
          <w:b/>
          <w:bCs/>
        </w:rPr>
      </w:pPr>
    </w:p>
    <w:p w14:paraId="3471E923" w14:textId="77777777" w:rsidR="008244F0" w:rsidRPr="000B4910" w:rsidRDefault="008244F0" w:rsidP="000B4910">
      <w:pPr>
        <w:pStyle w:val="NormalWeb"/>
        <w:rPr>
          <w:rFonts w:asciiTheme="minorHAnsi" w:hAnsiTheme="minorHAnsi"/>
        </w:rPr>
      </w:pPr>
    </w:p>
    <w:p w14:paraId="6E30757F" w14:textId="77777777" w:rsidR="000B4910" w:rsidRPr="000B4910" w:rsidRDefault="000B4910" w:rsidP="000B4910">
      <w:pPr>
        <w:pStyle w:val="NormalWeb"/>
        <w:rPr>
          <w:rFonts w:asciiTheme="minorHAnsi" w:hAnsiTheme="minorHAnsi"/>
        </w:rPr>
      </w:pPr>
    </w:p>
    <w:p w14:paraId="0A9FACDD" w14:textId="77777777" w:rsidR="000B4910" w:rsidRPr="000B4910" w:rsidRDefault="000B4910" w:rsidP="000B4910">
      <w:pPr>
        <w:pStyle w:val="NormalWeb"/>
        <w:rPr>
          <w:rFonts w:asciiTheme="minorHAnsi" w:hAnsiTheme="minorHAnsi"/>
        </w:rPr>
      </w:pPr>
    </w:p>
    <w:p w14:paraId="1B20E97F" w14:textId="77777777" w:rsidR="000B4910" w:rsidRPr="000B4910" w:rsidRDefault="000B4910" w:rsidP="00007F5D">
      <w:pPr>
        <w:pStyle w:val="NormalWeb"/>
        <w:rPr>
          <w:rFonts w:asciiTheme="minorHAnsi" w:hAnsiTheme="minorHAnsi"/>
        </w:rPr>
      </w:pPr>
    </w:p>
    <w:p w14:paraId="24D54BF4" w14:textId="298CD15A" w:rsidR="00007F5D" w:rsidRPr="000B4910" w:rsidRDefault="00007F5D" w:rsidP="00007F5D">
      <w:pPr>
        <w:pStyle w:val="NormalWeb"/>
        <w:rPr>
          <w:rFonts w:asciiTheme="minorHAnsi" w:hAnsiTheme="minorHAnsi"/>
        </w:rPr>
      </w:pPr>
    </w:p>
    <w:p w14:paraId="4B274378" w14:textId="77777777" w:rsidR="003C7F1D" w:rsidRDefault="003C7F1D" w:rsidP="003C7F1D">
      <w:pPr>
        <w:pStyle w:val="NormalWeb"/>
        <w:ind w:left="360"/>
      </w:pPr>
    </w:p>
    <w:p w14:paraId="44B78980" w14:textId="77777777" w:rsidR="003C7F1D" w:rsidRPr="003C7F1D" w:rsidRDefault="003C7F1D" w:rsidP="003C7F1D">
      <w:pPr>
        <w:jc w:val="both"/>
        <w:rPr>
          <w:sz w:val="24"/>
          <w:szCs w:val="24"/>
        </w:rPr>
      </w:pPr>
    </w:p>
    <w:sectPr w:rsidR="003C7F1D" w:rsidRPr="003C7F1D" w:rsidSect="00007F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486"/>
    <w:multiLevelType w:val="hybridMultilevel"/>
    <w:tmpl w:val="13C85A4E"/>
    <w:lvl w:ilvl="0" w:tplc="5F408948">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727F"/>
    <w:multiLevelType w:val="hybridMultilevel"/>
    <w:tmpl w:val="FBEC490E"/>
    <w:lvl w:ilvl="0" w:tplc="D4623964">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3E90"/>
    <w:multiLevelType w:val="multilevel"/>
    <w:tmpl w:val="B00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90B1C"/>
    <w:multiLevelType w:val="multilevel"/>
    <w:tmpl w:val="CE540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B4442"/>
    <w:multiLevelType w:val="multilevel"/>
    <w:tmpl w:val="BCF6BDF2"/>
    <w:lvl w:ilvl="0">
      <w:start w:val="1"/>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 w15:restartNumberingAfterBreak="0">
    <w:nsid w:val="35924E89"/>
    <w:multiLevelType w:val="multilevel"/>
    <w:tmpl w:val="33827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33466"/>
    <w:multiLevelType w:val="multilevel"/>
    <w:tmpl w:val="B6DC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657057">
    <w:abstractNumId w:val="0"/>
  </w:num>
  <w:num w:numId="2" w16cid:durableId="1104421150">
    <w:abstractNumId w:val="2"/>
  </w:num>
  <w:num w:numId="3" w16cid:durableId="1027754961">
    <w:abstractNumId w:val="4"/>
  </w:num>
  <w:num w:numId="4" w16cid:durableId="920987362">
    <w:abstractNumId w:val="1"/>
  </w:num>
  <w:num w:numId="5" w16cid:durableId="886331021">
    <w:abstractNumId w:val="6"/>
  </w:num>
  <w:num w:numId="6" w16cid:durableId="475681010">
    <w:abstractNumId w:val="5"/>
  </w:num>
  <w:num w:numId="7" w16cid:durableId="1887986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1D"/>
    <w:rsid w:val="00007F5D"/>
    <w:rsid w:val="000B4910"/>
    <w:rsid w:val="00342F51"/>
    <w:rsid w:val="003C7F1D"/>
    <w:rsid w:val="004131F0"/>
    <w:rsid w:val="00413DB1"/>
    <w:rsid w:val="00423CB8"/>
    <w:rsid w:val="00745E23"/>
    <w:rsid w:val="008244F0"/>
    <w:rsid w:val="00980768"/>
    <w:rsid w:val="00B16819"/>
    <w:rsid w:val="00D6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4EAF"/>
  <w15:chartTrackingRefBased/>
  <w15:docId w15:val="{937965A6-8162-47A8-9E85-07F2546C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1D"/>
    <w:rPr>
      <w:rFonts w:eastAsiaTheme="majorEastAsia" w:cstheme="majorBidi"/>
      <w:color w:val="272727" w:themeColor="text1" w:themeTint="D8"/>
    </w:rPr>
  </w:style>
  <w:style w:type="paragraph" w:styleId="Title">
    <w:name w:val="Title"/>
    <w:basedOn w:val="Normal"/>
    <w:next w:val="Normal"/>
    <w:link w:val="TitleChar"/>
    <w:uiPriority w:val="10"/>
    <w:qFormat/>
    <w:rsid w:val="003C7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1D"/>
    <w:pPr>
      <w:spacing w:before="160"/>
      <w:jc w:val="center"/>
    </w:pPr>
    <w:rPr>
      <w:i/>
      <w:iCs/>
      <w:color w:val="404040" w:themeColor="text1" w:themeTint="BF"/>
    </w:rPr>
  </w:style>
  <w:style w:type="character" w:customStyle="1" w:styleId="QuoteChar">
    <w:name w:val="Quote Char"/>
    <w:basedOn w:val="DefaultParagraphFont"/>
    <w:link w:val="Quote"/>
    <w:uiPriority w:val="29"/>
    <w:rsid w:val="003C7F1D"/>
    <w:rPr>
      <w:i/>
      <w:iCs/>
      <w:color w:val="404040" w:themeColor="text1" w:themeTint="BF"/>
    </w:rPr>
  </w:style>
  <w:style w:type="paragraph" w:styleId="ListParagraph">
    <w:name w:val="List Paragraph"/>
    <w:basedOn w:val="Normal"/>
    <w:uiPriority w:val="34"/>
    <w:qFormat/>
    <w:rsid w:val="003C7F1D"/>
    <w:pPr>
      <w:ind w:left="720"/>
      <w:contextualSpacing/>
    </w:pPr>
  </w:style>
  <w:style w:type="character" w:styleId="IntenseEmphasis">
    <w:name w:val="Intense Emphasis"/>
    <w:basedOn w:val="DefaultParagraphFont"/>
    <w:uiPriority w:val="21"/>
    <w:qFormat/>
    <w:rsid w:val="003C7F1D"/>
    <w:rPr>
      <w:i/>
      <w:iCs/>
      <w:color w:val="0F4761" w:themeColor="accent1" w:themeShade="BF"/>
    </w:rPr>
  </w:style>
  <w:style w:type="paragraph" w:styleId="IntenseQuote">
    <w:name w:val="Intense Quote"/>
    <w:basedOn w:val="Normal"/>
    <w:next w:val="Normal"/>
    <w:link w:val="IntenseQuoteChar"/>
    <w:uiPriority w:val="30"/>
    <w:qFormat/>
    <w:rsid w:val="003C7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1D"/>
    <w:rPr>
      <w:i/>
      <w:iCs/>
      <w:color w:val="0F4761" w:themeColor="accent1" w:themeShade="BF"/>
    </w:rPr>
  </w:style>
  <w:style w:type="character" w:styleId="IntenseReference">
    <w:name w:val="Intense Reference"/>
    <w:basedOn w:val="DefaultParagraphFont"/>
    <w:uiPriority w:val="32"/>
    <w:qFormat/>
    <w:rsid w:val="003C7F1D"/>
    <w:rPr>
      <w:b/>
      <w:bCs/>
      <w:smallCaps/>
      <w:color w:val="0F4761" w:themeColor="accent1" w:themeShade="BF"/>
      <w:spacing w:val="5"/>
    </w:rPr>
  </w:style>
  <w:style w:type="paragraph" w:styleId="NormalWeb">
    <w:name w:val="Normal (Web)"/>
    <w:basedOn w:val="Normal"/>
    <w:uiPriority w:val="99"/>
    <w:unhideWhenUsed/>
    <w:rsid w:val="003C7F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C7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158">
      <w:bodyDiv w:val="1"/>
      <w:marLeft w:val="0"/>
      <w:marRight w:val="0"/>
      <w:marTop w:val="0"/>
      <w:marBottom w:val="0"/>
      <w:divBdr>
        <w:top w:val="none" w:sz="0" w:space="0" w:color="auto"/>
        <w:left w:val="none" w:sz="0" w:space="0" w:color="auto"/>
        <w:bottom w:val="none" w:sz="0" w:space="0" w:color="auto"/>
        <w:right w:val="none" w:sz="0" w:space="0" w:color="auto"/>
      </w:divBdr>
    </w:div>
    <w:div w:id="670566648">
      <w:bodyDiv w:val="1"/>
      <w:marLeft w:val="0"/>
      <w:marRight w:val="0"/>
      <w:marTop w:val="0"/>
      <w:marBottom w:val="0"/>
      <w:divBdr>
        <w:top w:val="none" w:sz="0" w:space="0" w:color="auto"/>
        <w:left w:val="none" w:sz="0" w:space="0" w:color="auto"/>
        <w:bottom w:val="none" w:sz="0" w:space="0" w:color="auto"/>
        <w:right w:val="none" w:sz="0" w:space="0" w:color="auto"/>
      </w:divBdr>
    </w:div>
    <w:div w:id="691078688">
      <w:bodyDiv w:val="1"/>
      <w:marLeft w:val="0"/>
      <w:marRight w:val="0"/>
      <w:marTop w:val="0"/>
      <w:marBottom w:val="0"/>
      <w:divBdr>
        <w:top w:val="none" w:sz="0" w:space="0" w:color="auto"/>
        <w:left w:val="none" w:sz="0" w:space="0" w:color="auto"/>
        <w:bottom w:val="none" w:sz="0" w:space="0" w:color="auto"/>
        <w:right w:val="none" w:sz="0" w:space="0" w:color="auto"/>
      </w:divBdr>
    </w:div>
    <w:div w:id="1083989323">
      <w:bodyDiv w:val="1"/>
      <w:marLeft w:val="0"/>
      <w:marRight w:val="0"/>
      <w:marTop w:val="0"/>
      <w:marBottom w:val="0"/>
      <w:divBdr>
        <w:top w:val="none" w:sz="0" w:space="0" w:color="auto"/>
        <w:left w:val="none" w:sz="0" w:space="0" w:color="auto"/>
        <w:bottom w:val="none" w:sz="0" w:space="0" w:color="auto"/>
        <w:right w:val="none" w:sz="0" w:space="0" w:color="auto"/>
      </w:divBdr>
    </w:div>
    <w:div w:id="1214534940">
      <w:bodyDiv w:val="1"/>
      <w:marLeft w:val="0"/>
      <w:marRight w:val="0"/>
      <w:marTop w:val="0"/>
      <w:marBottom w:val="0"/>
      <w:divBdr>
        <w:top w:val="none" w:sz="0" w:space="0" w:color="auto"/>
        <w:left w:val="none" w:sz="0" w:space="0" w:color="auto"/>
        <w:bottom w:val="none" w:sz="0" w:space="0" w:color="auto"/>
        <w:right w:val="none" w:sz="0" w:space="0" w:color="auto"/>
      </w:divBdr>
    </w:div>
    <w:div w:id="1321809098">
      <w:bodyDiv w:val="1"/>
      <w:marLeft w:val="0"/>
      <w:marRight w:val="0"/>
      <w:marTop w:val="0"/>
      <w:marBottom w:val="0"/>
      <w:divBdr>
        <w:top w:val="none" w:sz="0" w:space="0" w:color="auto"/>
        <w:left w:val="none" w:sz="0" w:space="0" w:color="auto"/>
        <w:bottom w:val="none" w:sz="0" w:space="0" w:color="auto"/>
        <w:right w:val="none" w:sz="0" w:space="0" w:color="auto"/>
      </w:divBdr>
    </w:div>
    <w:div w:id="1471433785">
      <w:bodyDiv w:val="1"/>
      <w:marLeft w:val="0"/>
      <w:marRight w:val="0"/>
      <w:marTop w:val="0"/>
      <w:marBottom w:val="0"/>
      <w:divBdr>
        <w:top w:val="none" w:sz="0" w:space="0" w:color="auto"/>
        <w:left w:val="none" w:sz="0" w:space="0" w:color="auto"/>
        <w:bottom w:val="none" w:sz="0" w:space="0" w:color="auto"/>
        <w:right w:val="none" w:sz="0" w:space="0" w:color="auto"/>
      </w:divBdr>
    </w:div>
    <w:div w:id="1507553661">
      <w:bodyDiv w:val="1"/>
      <w:marLeft w:val="0"/>
      <w:marRight w:val="0"/>
      <w:marTop w:val="0"/>
      <w:marBottom w:val="0"/>
      <w:divBdr>
        <w:top w:val="none" w:sz="0" w:space="0" w:color="auto"/>
        <w:left w:val="none" w:sz="0" w:space="0" w:color="auto"/>
        <w:bottom w:val="none" w:sz="0" w:space="0" w:color="auto"/>
        <w:right w:val="none" w:sz="0" w:space="0" w:color="auto"/>
      </w:divBdr>
    </w:div>
    <w:div w:id="1666594488">
      <w:bodyDiv w:val="1"/>
      <w:marLeft w:val="0"/>
      <w:marRight w:val="0"/>
      <w:marTop w:val="0"/>
      <w:marBottom w:val="0"/>
      <w:divBdr>
        <w:top w:val="none" w:sz="0" w:space="0" w:color="auto"/>
        <w:left w:val="none" w:sz="0" w:space="0" w:color="auto"/>
        <w:bottom w:val="none" w:sz="0" w:space="0" w:color="auto"/>
        <w:right w:val="none" w:sz="0" w:space="0" w:color="auto"/>
      </w:divBdr>
    </w:div>
    <w:div w:id="1682077490">
      <w:bodyDiv w:val="1"/>
      <w:marLeft w:val="0"/>
      <w:marRight w:val="0"/>
      <w:marTop w:val="0"/>
      <w:marBottom w:val="0"/>
      <w:divBdr>
        <w:top w:val="none" w:sz="0" w:space="0" w:color="auto"/>
        <w:left w:val="none" w:sz="0" w:space="0" w:color="auto"/>
        <w:bottom w:val="none" w:sz="0" w:space="0" w:color="auto"/>
        <w:right w:val="none" w:sz="0" w:space="0" w:color="auto"/>
      </w:divBdr>
    </w:div>
    <w:div w:id="20233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Geydis Lambarri</dc:creator>
  <cp:keywords/>
  <dc:description/>
  <cp:lastModifiedBy>Geydis Lambarri</cp:lastModifiedBy>
  <cp:revision>3</cp:revision>
  <dcterms:created xsi:type="dcterms:W3CDTF">2025-02-22T17:39:00Z</dcterms:created>
  <dcterms:modified xsi:type="dcterms:W3CDTF">2025-02-24T15:20:00Z</dcterms:modified>
</cp:coreProperties>
</file>