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Arial" w:cs="Arial" w:eastAsia="Arial" w:hAnsi="Arial"/>
          <w:b/>
          <w:bCs/>
          <w:color w:val="0051BA"/>
          <w:sz w:val="40"/>
          <w:szCs w:val="40"/>
        </w:rPr>
        <w:t xml:space="preserve">Annotated Reading List</w:t>
      </w:r>
    </w:p>
    <w:p>
      <w:pPr>
        <w:spacing w:after="60"/>
        <w:jc w:val="left"/>
      </w:pPr>
      <w:r>
        <w:rPr>
          <w:rFonts w:ascii="Arial" w:cs="Arial" w:eastAsia="Arial" w:hAnsi="Arial"/>
          <w:color w:val="333333"/>
          <w:sz w:val="28"/>
          <w:szCs w:val="28"/>
        </w:rPr>
        <w:t xml:space="preserve">Causal Inference for Frontline Research</w:t>
      </w:r>
    </w:p>
    <w:p>
      <w:pPr>
        <w:spacing w:after="200"/>
        <w:jc w:val="left"/>
      </w:pPr>
      <w:r>
        <w:rPr>
          <w:rFonts w:ascii="Arial" w:cs="Arial" w:eastAsia="Arial" w:hAnsi="Arial"/>
          <w:i/>
          <w:iCs/>
          <w:color w:val="666666"/>
          <w:sz w:val="22"/>
          <w:szCs w:val="22"/>
        </w:rPr>
        <w:t xml:space="preserve">James C. Reeder, III — University of Kansas</w:t>
      </w:r>
    </w:p>
    <w:p>
      <w:pPr>
        <w:spacing w:after="120"/>
      </w:pPr>
      <w:r>
        <w:rPr>
          <w:rFonts w:ascii="Arial" w:cs="Arial" w:eastAsia="Arial" w:hAnsi="Arial"/>
          <w:color w:val="333333"/>
          <w:sz w:val="22"/>
          <w:szCs w:val="22"/>
        </w:rPr>
        <w:t xml:space="preserve">This reading list accompanies the seminar presentation. Papers are organized by method category and annotated with guidance on what to read first and what each paper contributes. Where possible, selections prioritize accessibility and influence over technical completeness.</w:t>
      </w:r>
    </w:p>
    <w:p>
      <w:pPr>
        <w:pBdr>
          <w:bottom w:val="single" w:color="0051BA" w:sz="6"/>
        </w:pBdr>
        <w:spacing w:before="100" w:after="200"/>
      </w:pPr>
    </w:p>
    <w:p>
      <w:pPr>
        <w:spacing w:before="300" w:after="160"/>
      </w:pPr>
      <w:r>
        <w:rPr>
          <w:rFonts w:ascii="Arial" w:cs="Arial" w:eastAsia="Arial" w:hAnsi="Arial"/>
          <w:b/>
          <w:bCs/>
          <w:color w:val="0051BA"/>
          <w:sz w:val="26"/>
          <w:szCs w:val="26"/>
        </w:rPr>
        <w:t xml:space="preserve">Cross-Sectional Methods — Average Effects (ATE)</w:t>
      </w:r>
    </w:p>
    <w:p>
      <w:pPr>
        <w:spacing w:before="180" w:after="60"/>
      </w:pPr>
      <w:r>
        <w:rPr>
          <w:rFonts w:ascii="Arial" w:cs="Arial" w:eastAsia="Arial" w:hAnsi="Arial"/>
          <w:b/>
          <w:bCs/>
          <w:color w:val="333333"/>
          <w:sz w:val="23"/>
          <w:szCs w:val="23"/>
        </w:rPr>
        <w:t xml:space="preserve">Regression Adjustment</w:t>
      </w:r>
    </w:p>
    <w:p>
      <w:pPr>
        <w:spacing w:after="60"/>
        <w:ind w:left="360"/>
      </w:pPr>
      <w:r>
        <w:rPr>
          <w:rFonts w:ascii="Arial" w:cs="Arial" w:eastAsia="Arial" w:hAnsi="Arial"/>
          <w:color w:val="666666"/>
          <w:sz w:val="20"/>
          <w:szCs w:val="20"/>
        </w:rPr>
        <w:t xml:space="preserve">Imbens, G. W. (2004). “Nonparametric Estimation of Average Treatment Effects Under Exogeneity: A Review.” Review of Economics and Statistics, 86(1), 4–29.</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Start here. Accessible overview of how regression can estimate treatment effects and where it breaks down. Good bridge from what you already know to the causal inference framework.</w:t>
      </w:r>
    </w:p>
    <w:p>
      <w:pPr>
        <w:spacing w:before="180" w:after="60"/>
      </w:pPr>
      <w:r>
        <w:rPr>
          <w:rFonts w:ascii="Arial" w:cs="Arial" w:eastAsia="Arial" w:hAnsi="Arial"/>
          <w:b/>
          <w:bCs/>
          <w:color w:val="333333"/>
          <w:sz w:val="23"/>
          <w:szCs w:val="23"/>
        </w:rPr>
        <w:t xml:space="preserve">Inverse Propensity Weighting (IPW)</w:t>
      </w:r>
    </w:p>
    <w:p>
      <w:pPr>
        <w:spacing w:after="60"/>
        <w:ind w:left="360"/>
      </w:pPr>
      <w:r>
        <w:rPr>
          <w:rFonts w:ascii="Arial" w:cs="Arial" w:eastAsia="Arial" w:hAnsi="Arial"/>
          <w:color w:val="666666"/>
          <w:sz w:val="20"/>
          <w:szCs w:val="20"/>
        </w:rPr>
        <w:t xml:space="preserve">Lunceford, J. K. &amp; Davidian, M. (2004). “Stratification and Weighting via the Propensity Score in Estimation of Causal Treatment Effects: A Comparative Study.” Statistics in Medicine, 23(19), 2937–2960.</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Clear side-by-side comparison of propensity score methods with worked examples. Excellent for understanding when and why weighting helps over simple regression.</w:t>
      </w:r>
    </w:p>
    <w:p>
      <w:pPr>
        <w:spacing w:before="180" w:after="60"/>
      </w:pPr>
      <w:r>
        <w:rPr>
          <w:rFonts w:ascii="Arial" w:cs="Arial" w:eastAsia="Arial" w:hAnsi="Arial"/>
          <w:b/>
          <w:bCs/>
          <w:color w:val="333333"/>
          <w:sz w:val="23"/>
          <w:szCs w:val="23"/>
        </w:rPr>
        <w:t xml:space="preserve">Augmented Inverse Propensity Weighting (AIPW)</w:t>
      </w:r>
    </w:p>
    <w:p>
      <w:pPr>
        <w:spacing w:after="60"/>
        <w:ind w:left="360"/>
      </w:pPr>
      <w:r>
        <w:rPr>
          <w:rFonts w:ascii="Arial" w:cs="Arial" w:eastAsia="Arial" w:hAnsi="Arial"/>
          <w:color w:val="666666"/>
          <w:sz w:val="20"/>
          <w:szCs w:val="20"/>
        </w:rPr>
        <w:t xml:space="preserve">Glynn, A. N. &amp; Quinn, K. M. (2010). “An Introduction to the Augmented Inverse Propensity Weighted Estimator.” Political Analysis, 18(1), 36–56.</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Gentle introduction to the “doubly robust” idea: combine outcome modeling and propensity weighting so your estimate is consistent if either model is correct. Short and readable.</w:t>
      </w:r>
    </w:p>
    <w:p>
      <w:pPr>
        <w:spacing w:before="180" w:after="60"/>
      </w:pPr>
      <w:r>
        <w:rPr>
          <w:rFonts w:ascii="Arial" w:cs="Arial" w:eastAsia="Arial" w:hAnsi="Arial"/>
          <w:b/>
          <w:bCs/>
          <w:color w:val="333333"/>
          <w:sz w:val="23"/>
          <w:szCs w:val="23"/>
        </w:rPr>
        <w:t xml:space="preserve">Double Machine Learning (DML)</w:t>
      </w:r>
    </w:p>
    <w:p>
      <w:pPr>
        <w:spacing w:after="60"/>
        <w:ind w:left="360"/>
      </w:pPr>
      <w:r>
        <w:rPr>
          <w:rFonts w:ascii="Arial" w:cs="Arial" w:eastAsia="Arial" w:hAnsi="Arial"/>
          <w:color w:val="666666"/>
          <w:sz w:val="20"/>
          <w:szCs w:val="20"/>
        </w:rPr>
        <w:t xml:space="preserve">Chernozhukov, V., Chetverikov, D., Demirer, M., Duflo, E., Hansen, C., Newey, W., &amp; Robins, J. (2018). “Double/Debiased Machine Learning for Treatment and Structural Parameters.” The Econometrics Journal, 21(1), C1–C68.</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The foundational paper on using ML for nuisance parameters while preserving valid inference on causal effects. Technically dense—read Sections 1–3 for the intuition, skip the proofs on first pass.</w:t>
      </w:r>
    </w:p>
    <w:p>
      <w:pPr>
        <w:spacing w:before="300" w:after="160"/>
      </w:pPr>
      <w:r>
        <w:rPr>
          <w:rFonts w:ascii="Arial" w:cs="Arial" w:eastAsia="Arial" w:hAnsi="Arial"/>
          <w:b/>
          <w:bCs/>
          <w:color w:val="0051BA"/>
          <w:sz w:val="26"/>
          <w:szCs w:val="26"/>
        </w:rPr>
        <w:t xml:space="preserve">Cross-Sectional Methods — Heterogeneous Effects (CATE)</w:t>
      </w:r>
    </w:p>
    <w:p>
      <w:pPr>
        <w:spacing w:before="180" w:after="60"/>
      </w:pPr>
      <w:r>
        <w:rPr>
          <w:rFonts w:ascii="Arial" w:cs="Arial" w:eastAsia="Arial" w:hAnsi="Arial"/>
          <w:b/>
          <w:bCs/>
          <w:color w:val="333333"/>
          <w:sz w:val="23"/>
          <w:szCs w:val="23"/>
        </w:rPr>
        <w:t xml:space="preserve">Causal Forest</w:t>
      </w:r>
    </w:p>
    <w:p>
      <w:pPr>
        <w:spacing w:after="60"/>
        <w:ind w:left="360"/>
      </w:pPr>
      <w:r>
        <w:rPr>
          <w:rFonts w:ascii="Arial" w:cs="Arial" w:eastAsia="Arial" w:hAnsi="Arial"/>
          <w:color w:val="666666"/>
          <w:sz w:val="20"/>
          <w:szCs w:val="20"/>
        </w:rPr>
        <w:t xml:space="preserve">Wager, S. &amp; Athey, S. (2018). “Estimation and Inference of Heterogeneous Treatment Effects Using Random Forests.” Journal of the American Statistical Association, 113(523), 1228–1242.</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How to adapt random forests to estimate who benefits most from treatment. The key paper for data-driven subgroup discovery in causal inference.</w:t>
      </w:r>
    </w:p>
    <w:p>
      <w:pPr>
        <w:spacing w:before="180" w:after="60"/>
      </w:pPr>
      <w:r>
        <w:rPr>
          <w:rFonts w:ascii="Arial" w:cs="Arial" w:eastAsia="Arial" w:hAnsi="Arial"/>
          <w:b/>
          <w:bCs/>
          <w:color w:val="333333"/>
          <w:sz w:val="23"/>
          <w:szCs w:val="23"/>
        </w:rPr>
        <w:t xml:space="preserve">Meta-Learners (S-, T-, X-Learners)</w:t>
      </w:r>
    </w:p>
    <w:p>
      <w:pPr>
        <w:spacing w:after="60"/>
        <w:ind w:left="360"/>
      </w:pPr>
      <w:r>
        <w:rPr>
          <w:rFonts w:ascii="Arial" w:cs="Arial" w:eastAsia="Arial" w:hAnsi="Arial"/>
          <w:color w:val="666666"/>
          <w:sz w:val="20"/>
          <w:szCs w:val="20"/>
        </w:rPr>
        <w:t xml:space="preserve">Künzel, S. R., Sekhon, J. S., Bickel, P. J., &amp; Yu, B. (2019). “Metalearners for Estimating Heterogeneous Treatment Effects Using Machine Learning.” Proceedings of the National Academy of Sciences, 116(10), 4156–4165.</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The most accessible entry point for heterogeneous treatment effects. Clearly explains how to repurpose any supervised learning algorithm for causal questions. Start here before Causal Forest.</w:t>
      </w:r>
    </w:p>
    <w:p>
      <w:pPr>
        <w:spacing w:before="180" w:after="60"/>
      </w:pPr>
      <w:r>
        <w:rPr>
          <w:rFonts w:ascii="Arial" w:cs="Arial" w:eastAsia="Arial" w:hAnsi="Arial"/>
          <w:b/>
          <w:bCs/>
          <w:color w:val="333333"/>
          <w:sz w:val="23"/>
          <w:szCs w:val="23"/>
        </w:rPr>
        <w:t xml:space="preserve">Bayesian Additive Regression Trees (BART)</w:t>
      </w:r>
    </w:p>
    <w:p>
      <w:pPr>
        <w:spacing w:after="60"/>
        <w:ind w:left="360"/>
      </w:pPr>
      <w:r>
        <w:rPr>
          <w:rFonts w:ascii="Arial" w:cs="Arial" w:eastAsia="Arial" w:hAnsi="Arial"/>
          <w:color w:val="666666"/>
          <w:sz w:val="20"/>
          <w:szCs w:val="20"/>
        </w:rPr>
        <w:t xml:space="preserve">Hill, J. L. (2011). “Bayesian Nonparametric Modeling for Causal Inference.” Journal of Computational and Graphical Statistics, 20(1), 217–240.</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Shows how BART naturally handles heterogeneity and nonlinearity in treatment effect estimation. Particularly useful when you suspect complex interactions but lack strong priors on functional form.</w:t>
      </w:r>
    </w:p>
    <w:p>
      <w:pPr>
        <w:spacing w:before="300" w:after="160"/>
      </w:pPr>
      <w:r>
        <w:rPr>
          <w:rFonts w:ascii="Arial" w:cs="Arial" w:eastAsia="Arial" w:hAnsi="Arial"/>
          <w:b/>
          <w:bCs/>
          <w:color w:val="0051BA"/>
          <w:sz w:val="26"/>
          <w:szCs w:val="26"/>
        </w:rPr>
        <w:t xml:space="preserve">Cross-Sectional Methods — Design-Based Balancing</w:t>
      </w:r>
    </w:p>
    <w:p>
      <w:pPr>
        <w:spacing w:before="180" w:after="60"/>
      </w:pPr>
      <w:r>
        <w:rPr>
          <w:rFonts w:ascii="Arial" w:cs="Arial" w:eastAsia="Arial" w:hAnsi="Arial"/>
          <w:b/>
          <w:bCs/>
          <w:color w:val="333333"/>
          <w:sz w:val="23"/>
          <w:szCs w:val="23"/>
        </w:rPr>
        <w:t xml:space="preserve">Matching</w:t>
      </w:r>
    </w:p>
    <w:p>
      <w:pPr>
        <w:spacing w:after="60"/>
        <w:ind w:left="360"/>
      </w:pPr>
      <w:r>
        <w:rPr>
          <w:rFonts w:ascii="Arial" w:cs="Arial" w:eastAsia="Arial" w:hAnsi="Arial"/>
          <w:color w:val="666666"/>
          <w:sz w:val="20"/>
          <w:szCs w:val="20"/>
        </w:rPr>
        <w:t xml:space="preserve">Stuart, E. A. (2010). “Matching Methods for Causal Inference: A Review and a Look Forward.” Statistical Science, 25(1), 1–21.</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Comprehensive but readable review of matching approaches. Great for understanding the intuition of “find me a comparable control unit” and the practical trade-offs between exact, nearest-neighbor, and caliper matching.</w:t>
      </w:r>
    </w:p>
    <w:p>
      <w:pPr>
        <w:spacing w:before="180" w:after="60"/>
      </w:pPr>
      <w:r>
        <w:rPr>
          <w:rFonts w:ascii="Arial" w:cs="Arial" w:eastAsia="Arial" w:hAnsi="Arial"/>
          <w:b/>
          <w:bCs/>
          <w:color w:val="333333"/>
          <w:sz w:val="23"/>
          <w:szCs w:val="23"/>
        </w:rPr>
        <w:t xml:space="preserve">Balancing Weights</w:t>
      </w:r>
    </w:p>
    <w:p>
      <w:pPr>
        <w:spacing w:after="60"/>
        <w:ind w:left="360"/>
      </w:pPr>
      <w:r>
        <w:rPr>
          <w:rFonts w:ascii="Arial" w:cs="Arial" w:eastAsia="Arial" w:hAnsi="Arial"/>
          <w:color w:val="666666"/>
          <w:sz w:val="20"/>
          <w:szCs w:val="20"/>
        </w:rPr>
        <w:t xml:space="preserve">Chattopadhyay, A., Hase, C. H., &amp; Zubizarreta, J. R. (2020). “Balancing vs Modeling Approaches to Weighting in Practice.” Statistics in Medicine, 39(24), 3227–3254.</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Explains the shift from estimating propensity scores to directly optimizing covariate balance. Useful if your propensity model is hard to specify or produces extreme weights.</w:t>
      </w:r>
    </w:p>
    <w:p>
      <w:pPr>
        <w:spacing w:before="300" w:after="160"/>
      </w:pPr>
      <w:r>
        <w:rPr>
          <w:rFonts w:ascii="Arial" w:cs="Arial" w:eastAsia="Arial" w:hAnsi="Arial"/>
          <w:b/>
          <w:bCs/>
          <w:color w:val="0051BA"/>
          <w:sz w:val="26"/>
          <w:szCs w:val="26"/>
        </w:rPr>
        <w:t xml:space="preserve">Panel Methods — Trend-Based Imputation (Parallel Trends Required)</w:t>
      </w:r>
    </w:p>
    <w:p>
      <w:pPr>
        <w:spacing w:before="180" w:after="60"/>
      </w:pPr>
      <w:r>
        <w:rPr>
          <w:rFonts w:ascii="Arial" w:cs="Arial" w:eastAsia="Arial" w:hAnsi="Arial"/>
          <w:b/>
          <w:bCs/>
          <w:color w:val="333333"/>
          <w:sz w:val="23"/>
          <w:szCs w:val="23"/>
        </w:rPr>
        <w:t xml:space="preserve">Difference-in-Differences (DiD) and Event Study</w:t>
      </w:r>
    </w:p>
    <w:p>
      <w:pPr>
        <w:spacing w:after="60"/>
        <w:ind w:left="360"/>
      </w:pPr>
      <w:r>
        <w:rPr>
          <w:rFonts w:ascii="Arial" w:cs="Arial" w:eastAsia="Arial" w:hAnsi="Arial"/>
          <w:color w:val="666666"/>
          <w:sz w:val="20"/>
          <w:szCs w:val="20"/>
        </w:rPr>
        <w:t xml:space="preserve">Roth, J., Sant’Anna, P. H. C., Bilinski, A., &amp; Poe, J. (2023). “What’s Trending in Difference-in-Differences? A Synthesis of the Recent Econometrics Literature.” Journal of Econometrics, 235(2), 2218–2244.</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The best current overview of the DiD landscape, including what went wrong with two-way fixed effects and how newer methods fix it. Read this before diving into any specific panel estimator.</w:t>
      </w:r>
    </w:p>
    <w:p>
      <w:pPr>
        <w:spacing w:before="180" w:after="60"/>
      </w:pPr>
      <w:r>
        <w:rPr>
          <w:rFonts w:ascii="Arial" w:cs="Arial" w:eastAsia="Arial" w:hAnsi="Arial"/>
          <w:b/>
          <w:bCs/>
          <w:color w:val="333333"/>
          <w:sz w:val="23"/>
          <w:szCs w:val="23"/>
        </w:rPr>
        <w:t xml:space="preserve">Augmented/Doubly Robust DiD</w:t>
      </w:r>
    </w:p>
    <w:p>
      <w:pPr>
        <w:spacing w:after="60"/>
        <w:ind w:left="360"/>
      </w:pPr>
      <w:r>
        <w:rPr>
          <w:rFonts w:ascii="Arial" w:cs="Arial" w:eastAsia="Arial" w:hAnsi="Arial"/>
          <w:color w:val="666666"/>
          <w:sz w:val="20"/>
          <w:szCs w:val="20"/>
        </w:rPr>
        <w:t xml:space="preserve">Sant’Anna, P. H. C. &amp; Zhao, J. (2020). “Doubly Robust Difference-in-Differences Estimators.” Journal of Econometrics, 219(1), 101–122.</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Extends the doubly robust idea to DiD settings. Protects against misspecification of either the outcome model or the propensity score for treatment timing.</w:t>
      </w:r>
    </w:p>
    <w:p>
      <w:pPr>
        <w:spacing w:before="180" w:after="60"/>
      </w:pPr>
      <w:r>
        <w:rPr>
          <w:rFonts w:ascii="Arial" w:cs="Arial" w:eastAsia="Arial" w:hAnsi="Arial"/>
          <w:b/>
          <w:bCs/>
          <w:color w:val="333333"/>
          <w:sz w:val="23"/>
          <w:szCs w:val="23"/>
        </w:rPr>
        <w:t xml:space="preserve">Group-Time ATT</w:t>
      </w:r>
    </w:p>
    <w:p>
      <w:pPr>
        <w:spacing w:after="60"/>
        <w:ind w:left="360"/>
      </w:pPr>
      <w:r>
        <w:rPr>
          <w:rFonts w:ascii="Arial" w:cs="Arial" w:eastAsia="Arial" w:hAnsi="Arial"/>
          <w:color w:val="666666"/>
          <w:sz w:val="20"/>
          <w:szCs w:val="20"/>
        </w:rPr>
        <w:t xml:space="preserve">Callaway, B. &amp; Sant’Anna, P. H. C. (2021). “Difference-in-Differences with Multiple Time Periods.” Journal of Econometrics, 225(2), 200–230.</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The go-to paper for staggered adoption designs. Shows how to properly disaggregate treatment effects by cohort and time period before aggregating. Well-written with clear notation.</w:t>
      </w:r>
    </w:p>
    <w:p>
      <w:pPr>
        <w:spacing w:before="180" w:after="60"/>
      </w:pPr>
      <w:r>
        <w:rPr>
          <w:rFonts w:ascii="Arial" w:cs="Arial" w:eastAsia="Arial" w:hAnsi="Arial"/>
          <w:b/>
          <w:bCs/>
          <w:color w:val="333333"/>
          <w:sz w:val="23"/>
          <w:szCs w:val="23"/>
        </w:rPr>
        <w:t xml:space="preserve">Imputation DiD</w:t>
      </w:r>
    </w:p>
    <w:p>
      <w:pPr>
        <w:spacing w:after="60"/>
        <w:ind w:left="360"/>
      </w:pPr>
      <w:r>
        <w:rPr>
          <w:rFonts w:ascii="Arial" w:cs="Arial" w:eastAsia="Arial" w:hAnsi="Arial"/>
          <w:color w:val="666666"/>
          <w:sz w:val="20"/>
          <w:szCs w:val="20"/>
        </w:rPr>
        <w:t xml:space="preserve">Liu, L., Wang, Y., &amp; Xu, Y. (2024). “A Practical Guide to Counterfactual Estimators for Causal Inference with Time-Series Cross-Sectional Data.” American Journal of Political Science, 68(1), 160–176.</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Unifies several panel estimators under the counterfactual imputation framework. Especially useful for the staggered timing + heterogeneous effects problem demonstrated in the Excel exercise.</w:t>
      </w:r>
    </w:p>
    <w:p>
      <w:pPr>
        <w:spacing w:before="300" w:after="160"/>
      </w:pPr>
      <w:r>
        <w:rPr>
          <w:rFonts w:ascii="Arial" w:cs="Arial" w:eastAsia="Arial" w:hAnsi="Arial"/>
          <w:b/>
          <w:bCs/>
          <w:color w:val="0051BA"/>
          <w:sz w:val="26"/>
          <w:szCs w:val="26"/>
        </w:rPr>
        <w:t xml:space="preserve">Panel Methods — Structure-Based Imputation (“Reconstructability” Required)</w:t>
      </w:r>
    </w:p>
    <w:p>
      <w:pPr>
        <w:spacing w:before="180" w:after="60"/>
      </w:pPr>
      <w:r>
        <w:rPr>
          <w:rFonts w:ascii="Arial" w:cs="Arial" w:eastAsia="Arial" w:hAnsi="Arial"/>
          <w:b/>
          <w:bCs/>
          <w:color w:val="333333"/>
          <w:sz w:val="23"/>
          <w:szCs w:val="23"/>
        </w:rPr>
        <w:t xml:space="preserve">Synthetic Control</w:t>
      </w:r>
    </w:p>
    <w:p>
      <w:pPr>
        <w:spacing w:after="60"/>
        <w:ind w:left="360"/>
      </w:pPr>
      <w:r>
        <w:rPr>
          <w:rFonts w:ascii="Arial" w:cs="Arial" w:eastAsia="Arial" w:hAnsi="Arial"/>
          <w:color w:val="666666"/>
          <w:sz w:val="20"/>
          <w:szCs w:val="20"/>
        </w:rPr>
        <w:t xml:space="preserve">Abadie, A., Diamond, A., &amp; Hainmueller, J. (2010). “Synthetic Control Methods for Comparative Case Studies: Estimating the Effect of California’s Tobacco Control Program.” Journal of the American Statistical Association, 105(490), 493–505.</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The classic application paper. Builds a “synthetic California” from weighted donor states to estimate what would have happened without the policy. Start here for the core intuition.</w:t>
      </w:r>
    </w:p>
    <w:p>
      <w:pPr>
        <w:spacing w:before="180" w:after="60"/>
      </w:pPr>
      <w:r>
        <w:rPr>
          <w:rFonts w:ascii="Arial" w:cs="Arial" w:eastAsia="Arial" w:hAnsi="Arial"/>
          <w:b/>
          <w:bCs/>
          <w:color w:val="333333"/>
          <w:sz w:val="23"/>
          <w:szCs w:val="23"/>
        </w:rPr>
        <w:t xml:space="preserve">Augmented Synthetic Control</w:t>
      </w:r>
    </w:p>
    <w:p>
      <w:pPr>
        <w:spacing w:after="60"/>
        <w:ind w:left="360"/>
      </w:pPr>
      <w:r>
        <w:rPr>
          <w:rFonts w:ascii="Arial" w:cs="Arial" w:eastAsia="Arial" w:hAnsi="Arial"/>
          <w:color w:val="666666"/>
          <w:sz w:val="20"/>
          <w:szCs w:val="20"/>
        </w:rPr>
        <w:t xml:space="preserve">Ben-Michael, E., Feller, A., &amp; Rothstein, J. (2021). “The Augmented Synthetic Control Method.” Journal of the American Statistical Association, 116(536), 1789–1803.</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Adds a bias-correction step to synthetic control using outcome modeling. Helps when the standard synthetic control fit is imperfect in the pre-treatment period.</w:t>
      </w:r>
    </w:p>
    <w:p>
      <w:pPr>
        <w:spacing w:before="180" w:after="60"/>
      </w:pPr>
      <w:r>
        <w:rPr>
          <w:rFonts w:ascii="Arial" w:cs="Arial" w:eastAsia="Arial" w:hAnsi="Arial"/>
          <w:b/>
          <w:bCs/>
          <w:color w:val="333333"/>
          <w:sz w:val="23"/>
          <w:szCs w:val="23"/>
        </w:rPr>
        <w:t xml:space="preserve">Interactive Fixed Effects</w:t>
      </w:r>
    </w:p>
    <w:p>
      <w:pPr>
        <w:spacing w:after="60"/>
        <w:ind w:left="360"/>
      </w:pPr>
      <w:r>
        <w:rPr>
          <w:rFonts w:ascii="Arial" w:cs="Arial" w:eastAsia="Arial" w:hAnsi="Arial"/>
          <w:color w:val="666666"/>
          <w:sz w:val="20"/>
          <w:szCs w:val="20"/>
        </w:rPr>
        <w:t xml:space="preserve">Xu, Y. (2017). “Generalized Synthetic Control Method: Causal Inference with Interactive Fixed Effects Models.” Political Analysis, 25(1), 57–76.</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Bridges synthetic control and factor models. Useful when you have multiple treated units and want to relax the parallel trends assumption using latent factors.</w:t>
      </w:r>
    </w:p>
    <w:p>
      <w:pPr>
        <w:spacing w:before="300" w:after="160"/>
      </w:pPr>
      <w:r>
        <w:rPr>
          <w:rFonts w:ascii="Arial" w:cs="Arial" w:eastAsia="Arial" w:hAnsi="Arial"/>
          <w:b/>
          <w:bCs/>
          <w:color w:val="0051BA"/>
          <w:sz w:val="26"/>
          <w:szCs w:val="26"/>
        </w:rPr>
        <w:t xml:space="preserve">Foundational References</w:t>
      </w:r>
    </w:p>
    <w:p>
      <w:pPr>
        <w:spacing w:before="180" w:after="60"/>
      </w:pPr>
      <w:r>
        <w:rPr>
          <w:rFonts w:ascii="Arial" w:cs="Arial" w:eastAsia="Arial" w:hAnsi="Arial"/>
          <w:b/>
          <w:bCs/>
          <w:color w:val="333333"/>
          <w:sz w:val="23"/>
          <w:szCs w:val="23"/>
        </w:rPr>
        <w:t xml:space="preserve">Potential Outcomes Framework</w:t>
      </w:r>
    </w:p>
    <w:p>
      <w:pPr>
        <w:spacing w:after="60"/>
        <w:ind w:left="360"/>
      </w:pPr>
      <w:r>
        <w:rPr>
          <w:rFonts w:ascii="Arial" w:cs="Arial" w:eastAsia="Arial" w:hAnsi="Arial"/>
          <w:color w:val="666666"/>
          <w:sz w:val="20"/>
          <w:szCs w:val="20"/>
        </w:rPr>
        <w:t xml:space="preserve">Ding, P. &amp; Li, F. (2018). “Causal Inference: A Missing Data Perspective.” Statistical Science, 33(2), 214–237.</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Already cited in your slides. The best single paper linking the potential outcomes framework to missing data—the conceptual thread running through the entire presentation.</w:t>
      </w:r>
    </w:p>
    <w:p>
      <w:pPr>
        <w:spacing w:before="180" w:after="60"/>
      </w:pPr>
      <w:r>
        <w:rPr>
          <w:rFonts w:ascii="Arial" w:cs="Arial" w:eastAsia="Arial" w:hAnsi="Arial"/>
          <w:b/>
          <w:bCs/>
          <w:color w:val="333333"/>
          <w:sz w:val="23"/>
          <w:szCs w:val="23"/>
        </w:rPr>
        <w:t xml:space="preserve">Textbook Reference</w:t>
      </w:r>
    </w:p>
    <w:p>
      <w:pPr>
        <w:spacing w:after="60"/>
        <w:ind w:left="360"/>
      </w:pPr>
      <w:r>
        <w:rPr>
          <w:rFonts w:ascii="Arial" w:cs="Arial" w:eastAsia="Arial" w:hAnsi="Arial"/>
          <w:color w:val="666666"/>
          <w:sz w:val="20"/>
          <w:szCs w:val="20"/>
        </w:rPr>
        <w:t xml:space="preserve">Cunningham, S. (2021). Causal Inference: The Mixtape. Yale University Press. (Free online: mixtape.scunning.com)</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Already cited in your slides. Accessible, example-driven textbook covering most methods in your deck. Free online version makes it an easy recommendation for the audience.</w:t>
      </w:r>
    </w:p>
    <w:p>
      <w:pPr>
        <w:spacing w:before="180" w:after="60"/>
      </w:pPr>
      <w:r>
        <w:rPr>
          <w:rFonts w:ascii="Arial" w:cs="Arial" w:eastAsia="Arial" w:hAnsi="Arial"/>
          <w:b/>
          <w:bCs/>
          <w:color w:val="333333"/>
          <w:sz w:val="23"/>
          <w:szCs w:val="23"/>
        </w:rPr>
        <w:t xml:space="preserve">SUTVA and the Rubin Causal Model</w:t>
      </w:r>
    </w:p>
    <w:p>
      <w:pPr>
        <w:spacing w:after="60"/>
        <w:ind w:left="360"/>
      </w:pPr>
      <w:r>
        <w:rPr>
          <w:rFonts w:ascii="Arial" w:cs="Arial" w:eastAsia="Arial" w:hAnsi="Arial"/>
          <w:color w:val="666666"/>
          <w:sz w:val="20"/>
          <w:szCs w:val="20"/>
        </w:rPr>
        <w:t xml:space="preserve">Rubin, D. B. (1980). “Randomization Analysis of Experimental and Observational Causal Studies.” Journal of the American Statistical Association, 75(371), 591–593.</w:t>
      </w:r>
    </w:p>
    <w:p>
      <w:pPr>
        <w:spacing w:after="120"/>
        <w:ind w:left="360"/>
      </w:pPr>
      <w:r>
        <w:rPr>
          <w:rFonts w:ascii="Arial" w:cs="Arial" w:eastAsia="Arial" w:hAnsi="Arial"/>
          <w:b/>
          <w:bCs/>
          <w:color w:val="E8000D"/>
          <w:sz w:val="20"/>
          <w:szCs w:val="20"/>
        </w:rPr>
        <w:t xml:space="preserve">▶ </w:t>
      </w:r>
      <w:r>
        <w:rPr>
          <w:rFonts w:ascii="Arial" w:cs="Arial" w:eastAsia="Arial" w:hAnsi="Arial"/>
          <w:color w:val="333333"/>
          <w:sz w:val="20"/>
          <w:szCs w:val="20"/>
        </w:rPr>
        <w:t xml:space="preserve">Short and foundational. Formalizes the assumptions (stable unit treatment value) that make the potential outcomes framework work. Worth reading for historical context.</w:t>
      </w:r>
    </w:p>
    <w:p>
      <w:pPr>
        <w:pBdr>
          <w:top w:val="single" w:color="0051BA" w:sz="6"/>
        </w:pBdr>
        <w:spacing w:before="400"/>
      </w:pPr>
    </w:p>
    <w:p>
      <w:pPr>
        <w:spacing w:before="200"/>
      </w:pPr>
      <w:r>
        <w:rPr>
          <w:rFonts w:ascii="Arial" w:cs="Arial" w:eastAsia="Arial" w:hAnsi="Arial"/>
          <w:b/>
          <w:bCs/>
          <w:color w:val="333333"/>
          <w:sz w:val="20"/>
          <w:szCs w:val="20"/>
        </w:rPr>
        <w:t xml:space="preserve">Suggested reading order: </w:t>
      </w:r>
      <w:r>
        <w:rPr>
          <w:rFonts w:ascii="Arial" w:cs="Arial" w:eastAsia="Arial" w:hAnsi="Arial"/>
          <w:color w:val="666666"/>
          <w:sz w:val="20"/>
          <w:szCs w:val="20"/>
        </w:rPr>
        <w:t xml:space="preserve">Begin with Ding &amp; Li (2018) and Cunningham (2021) for the conceptual foundations. Then read Künzel et al. (2019) for cross-sectional heterogeneous effects, Roth et al. (2023) for the panel methods landscape, and Abadie et al. (2010) for synthetic control. From there, follow your research needs into specific methods.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Causal Inference Reading 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2026-02-06T21:55:09.336Z</dcterms:created>
  <dcterms:modified xsi:type="dcterms:W3CDTF">2026-02-06T21:55:09.337Z</dcterms:modified>
</cp:coreProperties>
</file>

<file path=docProps/custom.xml><?xml version="1.0" encoding="utf-8"?>
<Properties xmlns="http://schemas.openxmlformats.org/officeDocument/2006/custom-properties" xmlns:vt="http://schemas.openxmlformats.org/officeDocument/2006/docPropsVTypes"/>
</file>