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9173" w14:textId="77777777" w:rsidR="00E73242" w:rsidRPr="009869FF" w:rsidRDefault="00E73242" w:rsidP="009869FF">
      <w:pPr>
        <w:pStyle w:val="Heading1"/>
        <w:rPr>
          <w:lang w:val="en-GB"/>
        </w:rPr>
      </w:pPr>
      <w:r w:rsidRPr="009869FF">
        <w:rPr>
          <w:lang w:val="en-GB"/>
        </w:rPr>
        <w:t>Copyright Notice</w:t>
      </w:r>
    </w:p>
    <w:p w14:paraId="25149B22" w14:textId="63262016" w:rsidR="00E73242" w:rsidRPr="009869FF" w:rsidRDefault="00E73242" w:rsidP="009869FF">
      <w:pPr>
        <w:pStyle w:val="NoSpacing"/>
        <w:rPr>
          <w:lang w:val="en-GB"/>
        </w:rPr>
      </w:pPr>
      <w:r w:rsidRPr="009869FF">
        <w:rPr>
          <w:lang w:val="en-GB"/>
        </w:rPr>
        <w:t xml:space="preserve">This template is </w:t>
      </w:r>
      <w:r w:rsidR="009869FF">
        <w:rPr>
          <w:lang w:val="en-GB"/>
        </w:rPr>
        <w:t>IQN's intellectual property</w:t>
      </w:r>
      <w:r w:rsidRPr="009869FF">
        <w:rPr>
          <w:lang w:val="en-GB"/>
        </w:rPr>
        <w:t>. It is strictly for use by providers submitting online applications to IQN. Any unauthorised copying, saving, or usage of this document is strictly prohibited and constitutes a punishable offence under applicable laws.</w:t>
      </w:r>
    </w:p>
    <w:p w14:paraId="109284BB" w14:textId="77777777" w:rsidR="009869FF" w:rsidRPr="009869FF" w:rsidRDefault="009869FF" w:rsidP="009869FF">
      <w:pPr>
        <w:pStyle w:val="NoSpacing"/>
        <w:rPr>
          <w:lang w:val="en-GB"/>
        </w:rPr>
      </w:pPr>
    </w:p>
    <w:p w14:paraId="22901D3A" w14:textId="77777777" w:rsidR="00E73242" w:rsidRPr="009869FF" w:rsidRDefault="00E73242" w:rsidP="009869FF">
      <w:pPr>
        <w:pStyle w:val="Heading1"/>
        <w:rPr>
          <w:lang w:val="en-GB"/>
        </w:rPr>
      </w:pPr>
      <w:r w:rsidRPr="009869FF">
        <w:rPr>
          <w:lang w:val="en-GB"/>
        </w:rPr>
        <w:t>Important Note</w:t>
      </w:r>
    </w:p>
    <w:p w14:paraId="0EBB342D" w14:textId="043CF1DA" w:rsidR="00AD0762" w:rsidRPr="009869FF" w:rsidRDefault="00AD0762" w:rsidP="009869FF">
      <w:pPr>
        <w:pStyle w:val="NoSpacing"/>
        <w:rPr>
          <w:lang w:val="en-GB"/>
        </w:rPr>
      </w:pPr>
      <w:r w:rsidRPr="009869FF">
        <w:rPr>
          <w:lang w:val="en-GB"/>
        </w:rPr>
        <w:t xml:space="preserve">This is a sample </w:t>
      </w:r>
      <w:r w:rsidRPr="00383FB7">
        <w:rPr>
          <w:lang w:val="en-GB"/>
        </w:rPr>
        <w:t>Appeal &amp; Complaint Policy &amp; Procedure</w:t>
      </w:r>
      <w:r w:rsidRPr="009869FF">
        <w:rPr>
          <w:lang w:val="en-GB"/>
        </w:rPr>
        <w:t xml:space="preserve"> provided as a reference. Providers with established practices do not need to adopt this template. However, new providers may use this template as a guide, customising it by incorporating, expanding, modifying, or removing sections to suit their specific learning programmes.</w:t>
      </w:r>
    </w:p>
    <w:p w14:paraId="6B5A86F3" w14:textId="77777777" w:rsidR="009869FF" w:rsidRPr="009869FF" w:rsidRDefault="009869FF" w:rsidP="009869FF">
      <w:pPr>
        <w:pStyle w:val="NoSpacing"/>
        <w:rPr>
          <w:lang w:val="en-GB"/>
        </w:rPr>
      </w:pPr>
    </w:p>
    <w:p w14:paraId="6EF278A4" w14:textId="2DC3C7F5" w:rsidR="009869FF" w:rsidRPr="009869FF" w:rsidRDefault="00000000" w:rsidP="009869FF">
      <w:pPr>
        <w:pStyle w:val="NoSpacing"/>
        <w:rPr>
          <w:lang w:val="en-GB"/>
        </w:rPr>
      </w:pPr>
      <w:r>
        <w:rPr>
          <w:lang w:val="en-GB"/>
        </w:rPr>
        <w:pict w14:anchorId="4ADACE35">
          <v:rect id="_x0000_i1025" style="width:0;height:1.5pt" o:hralign="center" o:hrstd="t" o:hr="t" fillcolor="#a0a0a0" stroked="f"/>
        </w:pict>
      </w:r>
    </w:p>
    <w:p w14:paraId="32A40917" w14:textId="77777777" w:rsidR="009869FF" w:rsidRPr="009869FF" w:rsidRDefault="009869FF" w:rsidP="009869FF">
      <w:pPr>
        <w:pStyle w:val="NoSpacing"/>
        <w:rPr>
          <w:lang w:val="en-GB"/>
        </w:rPr>
      </w:pPr>
    </w:p>
    <w:p w14:paraId="3068A7F2" w14:textId="62D6F3F9" w:rsidR="003A3E49" w:rsidRPr="009869FF" w:rsidRDefault="009869FF" w:rsidP="009869FF">
      <w:pPr>
        <w:pStyle w:val="Title"/>
        <w:rPr>
          <w:lang w:val="en-GB"/>
        </w:rPr>
      </w:pPr>
      <w:r w:rsidRPr="009869FF">
        <w:rPr>
          <w:lang w:val="en-GB"/>
        </w:rPr>
        <w:t>A</w:t>
      </w:r>
      <w:r w:rsidR="003A3E49" w:rsidRPr="009869FF">
        <w:rPr>
          <w:lang w:val="en-GB"/>
        </w:rPr>
        <w:t>ppeal and Complaint Policy and Procedure</w:t>
      </w:r>
    </w:p>
    <w:p w14:paraId="59C6343F" w14:textId="77777777" w:rsidR="0020096E" w:rsidRDefault="0020096E" w:rsidP="009869FF">
      <w:pPr>
        <w:jc w:val="left"/>
        <w:rPr>
          <w:rFonts w:ascii="Verdana" w:hAnsi="Verdana"/>
          <w:b/>
          <w:bCs/>
          <w:lang w:val="en-GB"/>
        </w:rPr>
      </w:pPr>
    </w:p>
    <w:p w14:paraId="3AC4875C" w14:textId="77777777" w:rsidR="009869FF" w:rsidRPr="009869FF" w:rsidRDefault="009869FF" w:rsidP="009869FF">
      <w:pPr>
        <w:jc w:val="left"/>
        <w:rPr>
          <w:rFonts w:ascii="Verdana" w:hAnsi="Verdana"/>
          <w:b/>
          <w:bCs/>
          <w:lang w:val="en-GB"/>
        </w:rPr>
      </w:pPr>
    </w:p>
    <w:p w14:paraId="331B54EB" w14:textId="1F75F17D" w:rsidR="0020096E" w:rsidRPr="009869FF" w:rsidRDefault="0020096E" w:rsidP="009869FF">
      <w:pPr>
        <w:rPr>
          <w:lang w:val="en-GB"/>
        </w:rPr>
      </w:pPr>
      <w:r w:rsidRPr="009869FF">
        <w:rPr>
          <w:lang w:val="en-GB"/>
        </w:rPr>
        <w:t xml:space="preserve">Provider Name: </w:t>
      </w:r>
      <w:r w:rsidR="0009356B" w:rsidRPr="009869FF">
        <w:rPr>
          <w:lang w:val="en-GB"/>
        </w:rPr>
        <w:t>___________</w:t>
      </w:r>
      <w:r w:rsidR="009869FF" w:rsidRPr="009869FF">
        <w:rPr>
          <w:lang w:val="en-GB"/>
        </w:rPr>
        <w:t>______________________________</w:t>
      </w:r>
      <w:r w:rsidR="0009356B" w:rsidRPr="009869FF">
        <w:rPr>
          <w:lang w:val="en-GB"/>
        </w:rPr>
        <w:t>_________________</w:t>
      </w:r>
    </w:p>
    <w:p w14:paraId="148D6CB1" w14:textId="77777777" w:rsidR="0020096E" w:rsidRPr="009869FF" w:rsidRDefault="0020096E" w:rsidP="009869FF">
      <w:pPr>
        <w:pStyle w:val="NoSpacing"/>
        <w:rPr>
          <w:lang w:val="en-GB"/>
        </w:rPr>
      </w:pPr>
    </w:p>
    <w:p w14:paraId="3A51863D" w14:textId="11847213" w:rsidR="00C42D3A" w:rsidRPr="009869FF" w:rsidRDefault="003A3E49" w:rsidP="009869FF">
      <w:pPr>
        <w:pStyle w:val="Heading1"/>
        <w:rPr>
          <w:szCs w:val="20"/>
          <w:lang w:val="en-GB"/>
        </w:rPr>
      </w:pPr>
      <w:r w:rsidRPr="009869FF">
        <w:rPr>
          <w:lang w:val="en-GB"/>
        </w:rPr>
        <w:t>1. Purpose</w:t>
      </w:r>
    </w:p>
    <w:p w14:paraId="23529678" w14:textId="0670F5EE" w:rsidR="003A3E49" w:rsidRPr="009869FF" w:rsidRDefault="003A3E49" w:rsidP="009869FF">
      <w:pPr>
        <w:rPr>
          <w:rFonts w:ascii="Verdana" w:hAnsi="Verdana"/>
          <w:lang w:val="en-GB"/>
        </w:rPr>
      </w:pPr>
      <w:r w:rsidRPr="009869FF">
        <w:rPr>
          <w:rFonts w:ascii="Verdana" w:hAnsi="Verdana"/>
          <w:lang w:val="en-GB"/>
        </w:rPr>
        <w:t>This document outlines the policy and procedure for handling appeals and complaints by learners in a fair, transparent, and efficient manner. It ensures all grievances are</w:t>
      </w:r>
      <w:r w:rsidR="009869FF" w:rsidRPr="009869FF">
        <w:rPr>
          <w:rFonts w:ascii="Verdana" w:hAnsi="Verdana"/>
          <w:lang w:val="en-GB"/>
        </w:rPr>
        <w:t>a a</w:t>
      </w:r>
      <w:r w:rsidRPr="009869FF">
        <w:rPr>
          <w:rFonts w:ascii="Verdana" w:hAnsi="Verdana"/>
          <w:lang w:val="en-GB"/>
        </w:rPr>
        <w:t>ddressed promptly while maintaining confidentiality and respect for all parties involved.</w:t>
      </w:r>
    </w:p>
    <w:p w14:paraId="791C7E5D" w14:textId="77777777" w:rsidR="00C42D3A" w:rsidRPr="009869FF" w:rsidRDefault="00C42D3A" w:rsidP="009869FF">
      <w:pPr>
        <w:pStyle w:val="NoSpacing"/>
        <w:rPr>
          <w:lang w:val="en-GB"/>
        </w:rPr>
      </w:pPr>
    </w:p>
    <w:p w14:paraId="4EF8F126" w14:textId="77777777" w:rsidR="007A3351" w:rsidRPr="009869FF" w:rsidRDefault="003A3E49" w:rsidP="009869FF">
      <w:pPr>
        <w:pStyle w:val="Heading1"/>
        <w:rPr>
          <w:lang w:val="en-GB"/>
        </w:rPr>
      </w:pPr>
      <w:r w:rsidRPr="009869FF">
        <w:rPr>
          <w:lang w:val="en-GB"/>
        </w:rPr>
        <w:t>2. Scope</w:t>
      </w:r>
    </w:p>
    <w:p w14:paraId="32634D84" w14:textId="79567A04" w:rsidR="003A3E49" w:rsidRPr="009869FF" w:rsidRDefault="003A3E49" w:rsidP="009869FF">
      <w:pPr>
        <w:rPr>
          <w:lang w:val="en-GB"/>
        </w:rPr>
      </w:pPr>
      <w:r w:rsidRPr="009869FF">
        <w:rPr>
          <w:lang w:val="en-GB"/>
        </w:rPr>
        <w:t>This policy and procedure apply to:</w:t>
      </w:r>
    </w:p>
    <w:p w14:paraId="4AC34008" w14:textId="77777777" w:rsidR="00D77267" w:rsidRPr="009869FF" w:rsidRDefault="003A3E49" w:rsidP="009869FF">
      <w:pPr>
        <w:pStyle w:val="ListParagraph"/>
        <w:numPr>
          <w:ilvl w:val="0"/>
          <w:numId w:val="24"/>
        </w:numPr>
        <w:rPr>
          <w:lang w:val="en-GB"/>
        </w:rPr>
      </w:pPr>
      <w:r w:rsidRPr="009869FF">
        <w:rPr>
          <w:lang w:val="en-GB"/>
        </w:rPr>
        <w:t>All learners enrolled in programmes provided by the organisation.</w:t>
      </w:r>
    </w:p>
    <w:p w14:paraId="5F3CD4BF" w14:textId="7324BFB8" w:rsidR="003A3E49" w:rsidRPr="009869FF" w:rsidRDefault="003A3E49" w:rsidP="009869FF">
      <w:pPr>
        <w:pStyle w:val="ListParagraph"/>
        <w:numPr>
          <w:ilvl w:val="0"/>
          <w:numId w:val="24"/>
        </w:numPr>
        <w:rPr>
          <w:lang w:val="en-GB"/>
        </w:rPr>
      </w:pPr>
      <w:r w:rsidRPr="009869FF">
        <w:rPr>
          <w:lang w:val="en-GB"/>
        </w:rPr>
        <w:t xml:space="preserve">Grievances related to </w:t>
      </w:r>
      <w:r w:rsidR="00D77267" w:rsidRPr="009869FF">
        <w:rPr>
          <w:lang w:val="en-GB"/>
        </w:rPr>
        <w:t>educational</w:t>
      </w:r>
      <w:r w:rsidRPr="009869FF">
        <w:rPr>
          <w:lang w:val="en-GB"/>
        </w:rPr>
        <w:t xml:space="preserve"> matters (e.g., assessment decisions) and non-academic matters (e.g., facilities, services, or staff behaviour).</w:t>
      </w:r>
    </w:p>
    <w:p w14:paraId="0DF164CE" w14:textId="77777777" w:rsidR="007A3351" w:rsidRPr="009869FF" w:rsidRDefault="007A3351" w:rsidP="009869FF">
      <w:pPr>
        <w:pStyle w:val="NoSpacing"/>
        <w:rPr>
          <w:lang w:val="en-GB"/>
        </w:rPr>
      </w:pPr>
    </w:p>
    <w:p w14:paraId="3BBA9F2B" w14:textId="77777777" w:rsidR="003A3E49" w:rsidRPr="009869FF" w:rsidRDefault="003A3E49" w:rsidP="009869FF">
      <w:pPr>
        <w:pStyle w:val="Heading1"/>
        <w:rPr>
          <w:lang w:val="en-GB"/>
        </w:rPr>
      </w:pPr>
      <w:r w:rsidRPr="009869FF">
        <w:rPr>
          <w:lang w:val="en-GB"/>
        </w:rPr>
        <w:t>3. Key Principles</w:t>
      </w:r>
    </w:p>
    <w:p w14:paraId="01791129" w14:textId="77777777" w:rsidR="003A3E49" w:rsidRPr="009869FF" w:rsidRDefault="003A3E49" w:rsidP="009869FF">
      <w:pPr>
        <w:rPr>
          <w:lang w:val="en-GB"/>
        </w:rPr>
      </w:pPr>
      <w:r w:rsidRPr="009869FF">
        <w:rPr>
          <w:b/>
          <w:bCs/>
          <w:lang w:val="en-GB"/>
        </w:rPr>
        <w:t>Fairness</w:t>
      </w:r>
      <w:r w:rsidRPr="009869FF">
        <w:rPr>
          <w:lang w:val="en-GB"/>
        </w:rPr>
        <w:t>: Appeals and complaints are addressed impartially, ensuring no bias or favouritism.</w:t>
      </w:r>
    </w:p>
    <w:p w14:paraId="1C9411E3" w14:textId="77777777" w:rsidR="003A3E49" w:rsidRPr="009869FF" w:rsidRDefault="003A3E49" w:rsidP="009869FF">
      <w:pPr>
        <w:rPr>
          <w:lang w:val="en-GB"/>
        </w:rPr>
      </w:pPr>
      <w:r w:rsidRPr="009869FF">
        <w:rPr>
          <w:b/>
          <w:bCs/>
          <w:lang w:val="en-GB"/>
        </w:rPr>
        <w:t>Confidentiality</w:t>
      </w:r>
      <w:r w:rsidRPr="009869FF">
        <w:rPr>
          <w:lang w:val="en-GB"/>
        </w:rPr>
        <w:t>: All information shared is kept confidential and used only for resolving the grievance.</w:t>
      </w:r>
    </w:p>
    <w:p w14:paraId="777EE996" w14:textId="77777777" w:rsidR="003A3E49" w:rsidRPr="009869FF" w:rsidRDefault="003A3E49" w:rsidP="009869FF">
      <w:pPr>
        <w:rPr>
          <w:lang w:val="en-GB"/>
        </w:rPr>
      </w:pPr>
      <w:r w:rsidRPr="009869FF">
        <w:rPr>
          <w:b/>
          <w:bCs/>
          <w:lang w:val="en-GB"/>
        </w:rPr>
        <w:t>Accessibility</w:t>
      </w:r>
      <w:r w:rsidRPr="009869FF">
        <w:rPr>
          <w:lang w:val="en-GB"/>
        </w:rPr>
        <w:t>: Learners can easily access the process through clear guidance and forms.</w:t>
      </w:r>
    </w:p>
    <w:p w14:paraId="5AD406B4" w14:textId="77777777" w:rsidR="003A3E49" w:rsidRPr="009869FF" w:rsidRDefault="003A3E49" w:rsidP="009869FF">
      <w:pPr>
        <w:rPr>
          <w:lang w:val="en-GB"/>
        </w:rPr>
      </w:pPr>
      <w:r w:rsidRPr="009869FF">
        <w:rPr>
          <w:b/>
          <w:bCs/>
          <w:lang w:val="en-GB"/>
        </w:rPr>
        <w:t>Timeliness</w:t>
      </w:r>
      <w:r w:rsidRPr="009869FF">
        <w:rPr>
          <w:lang w:val="en-GB"/>
        </w:rPr>
        <w:t>: Resolutions are provided promptly, with timelines defined for each stage.</w:t>
      </w:r>
    </w:p>
    <w:p w14:paraId="13121C82" w14:textId="77777777" w:rsidR="003A3E49" w:rsidRPr="009869FF" w:rsidRDefault="003A3E49" w:rsidP="009869FF">
      <w:pPr>
        <w:rPr>
          <w:lang w:val="en-GB"/>
        </w:rPr>
      </w:pPr>
      <w:r w:rsidRPr="009869FF">
        <w:rPr>
          <w:b/>
          <w:bCs/>
          <w:lang w:val="en-GB"/>
        </w:rPr>
        <w:t>Continuous Improvement</w:t>
      </w:r>
      <w:r w:rsidRPr="009869FF">
        <w:rPr>
          <w:lang w:val="en-GB"/>
        </w:rPr>
        <w:t>: Feedback from appeals and complaints is used to improve services and learning outcomes.</w:t>
      </w:r>
    </w:p>
    <w:p w14:paraId="453CE707" w14:textId="77777777" w:rsidR="007A3351" w:rsidRPr="009869FF" w:rsidRDefault="007A3351" w:rsidP="009869FF">
      <w:pPr>
        <w:pStyle w:val="NoSpacing"/>
        <w:rPr>
          <w:lang w:val="en-GB"/>
        </w:rPr>
      </w:pPr>
    </w:p>
    <w:p w14:paraId="3A7AE808" w14:textId="418D4B48" w:rsidR="007A3351" w:rsidRPr="009869FF" w:rsidRDefault="007A3351" w:rsidP="009869FF">
      <w:pPr>
        <w:pStyle w:val="Heading1"/>
        <w:rPr>
          <w:lang w:val="en-GB"/>
        </w:rPr>
      </w:pPr>
      <w:r w:rsidRPr="009869FF">
        <w:rPr>
          <w:lang w:val="en-GB"/>
        </w:rPr>
        <w:t>4</w:t>
      </w:r>
      <w:r w:rsidRPr="009869FF">
        <w:rPr>
          <w:lang w:val="en-GB"/>
        </w:rPr>
        <w:tab/>
      </w:r>
      <w:r w:rsidR="003A3E49" w:rsidRPr="009869FF">
        <w:rPr>
          <w:lang w:val="en-GB"/>
        </w:rPr>
        <w:t>Appeals</w:t>
      </w:r>
    </w:p>
    <w:p w14:paraId="3EA0638F" w14:textId="4D2E01C4" w:rsidR="003A3E49" w:rsidRPr="009869FF" w:rsidRDefault="003A3E49" w:rsidP="009869FF">
      <w:pPr>
        <w:rPr>
          <w:lang w:val="en-GB"/>
        </w:rPr>
      </w:pPr>
      <w:r w:rsidRPr="009869FF">
        <w:rPr>
          <w:lang w:val="en-GB"/>
        </w:rPr>
        <w:t>An appeal is a formal request to review a decision related to assessments, grading, or academic matters.</w:t>
      </w:r>
      <w:r w:rsidR="007A3351" w:rsidRPr="009869FF">
        <w:rPr>
          <w:lang w:val="en-GB"/>
        </w:rPr>
        <w:t xml:space="preserve"> Appeals process is outlined below:</w:t>
      </w:r>
    </w:p>
    <w:p w14:paraId="59B33742" w14:textId="77777777" w:rsidR="009869FF" w:rsidRDefault="009869FF" w:rsidP="009869FF">
      <w:pPr>
        <w:rPr>
          <w:b/>
          <w:bCs/>
          <w:i/>
          <w:iCs/>
          <w:lang w:val="en-GB"/>
        </w:rPr>
      </w:pPr>
    </w:p>
    <w:p w14:paraId="1860C084" w14:textId="77777777" w:rsidR="009869FF" w:rsidRDefault="009869FF" w:rsidP="009869FF">
      <w:pPr>
        <w:rPr>
          <w:b/>
          <w:bCs/>
          <w:i/>
          <w:iCs/>
          <w:lang w:val="en-GB"/>
        </w:rPr>
      </w:pPr>
    </w:p>
    <w:p w14:paraId="006F8E93" w14:textId="4B5BB5F8" w:rsidR="003A3E49" w:rsidRPr="009869FF" w:rsidRDefault="003A3E49" w:rsidP="009869FF">
      <w:pPr>
        <w:rPr>
          <w:i/>
          <w:iCs/>
          <w:lang w:val="en-GB"/>
        </w:rPr>
      </w:pPr>
      <w:r w:rsidRPr="009869FF">
        <w:rPr>
          <w:b/>
          <w:bCs/>
          <w:i/>
          <w:iCs/>
          <w:lang w:val="en-GB"/>
        </w:rPr>
        <w:lastRenderedPageBreak/>
        <w:t>Submission:</w:t>
      </w:r>
    </w:p>
    <w:p w14:paraId="52BD4F3B" w14:textId="77777777" w:rsidR="003A3E49" w:rsidRPr="009869FF" w:rsidRDefault="003A3E49" w:rsidP="009869FF">
      <w:pPr>
        <w:rPr>
          <w:lang w:val="en-GB"/>
        </w:rPr>
      </w:pPr>
      <w:r w:rsidRPr="009869FF">
        <w:rPr>
          <w:lang w:val="en-GB"/>
        </w:rPr>
        <w:t xml:space="preserve">Learners must submit an appeal within </w:t>
      </w:r>
      <w:r w:rsidRPr="009869FF">
        <w:rPr>
          <w:b/>
          <w:bCs/>
          <w:lang w:val="en-GB"/>
        </w:rPr>
        <w:t>14 calendar days</w:t>
      </w:r>
      <w:r w:rsidRPr="009869FF">
        <w:rPr>
          <w:lang w:val="en-GB"/>
        </w:rPr>
        <w:t xml:space="preserve"> of receiving the decision.</w:t>
      </w:r>
    </w:p>
    <w:p w14:paraId="43955C42" w14:textId="77777777" w:rsidR="003A3E49" w:rsidRPr="009869FF" w:rsidRDefault="003A3E49" w:rsidP="009869FF">
      <w:pPr>
        <w:rPr>
          <w:lang w:val="en-GB"/>
        </w:rPr>
      </w:pPr>
      <w:r w:rsidRPr="009869FF">
        <w:rPr>
          <w:lang w:val="en-GB"/>
        </w:rPr>
        <w:t xml:space="preserve">Appeals must be made using the designated </w:t>
      </w:r>
      <w:r w:rsidRPr="009869FF">
        <w:rPr>
          <w:b/>
          <w:bCs/>
          <w:lang w:val="en-GB"/>
        </w:rPr>
        <w:t>Appeal Form</w:t>
      </w:r>
      <w:r w:rsidRPr="009869FF">
        <w:rPr>
          <w:lang w:val="en-GB"/>
        </w:rPr>
        <w:t>, including:</w:t>
      </w:r>
    </w:p>
    <w:p w14:paraId="54011C67" w14:textId="77777777" w:rsidR="003A3E49" w:rsidRPr="009869FF" w:rsidRDefault="003A3E49" w:rsidP="009869FF">
      <w:pPr>
        <w:pStyle w:val="ListParagraph"/>
        <w:numPr>
          <w:ilvl w:val="0"/>
          <w:numId w:val="25"/>
        </w:numPr>
        <w:rPr>
          <w:lang w:val="en-GB"/>
        </w:rPr>
      </w:pPr>
      <w:r w:rsidRPr="009869FF">
        <w:rPr>
          <w:lang w:val="en-GB"/>
        </w:rPr>
        <w:t>A clear description of the issue.</w:t>
      </w:r>
    </w:p>
    <w:p w14:paraId="49AB7FBF" w14:textId="77777777" w:rsidR="003A3E49" w:rsidRPr="009869FF" w:rsidRDefault="003A3E49" w:rsidP="009869FF">
      <w:pPr>
        <w:pStyle w:val="ListParagraph"/>
        <w:numPr>
          <w:ilvl w:val="0"/>
          <w:numId w:val="25"/>
        </w:numPr>
        <w:rPr>
          <w:lang w:val="en-GB"/>
        </w:rPr>
      </w:pPr>
      <w:r w:rsidRPr="009869FF">
        <w:rPr>
          <w:lang w:val="en-GB"/>
        </w:rPr>
        <w:t>Supporting evidence (e.g., assessment feedback, emails).</w:t>
      </w:r>
    </w:p>
    <w:p w14:paraId="5350A48B" w14:textId="77777777" w:rsidR="003A3E49" w:rsidRPr="009869FF" w:rsidRDefault="003A3E49" w:rsidP="009869FF">
      <w:pPr>
        <w:pStyle w:val="ListParagraph"/>
        <w:numPr>
          <w:ilvl w:val="0"/>
          <w:numId w:val="25"/>
        </w:numPr>
        <w:rPr>
          <w:lang w:val="en-GB"/>
        </w:rPr>
      </w:pPr>
      <w:r w:rsidRPr="009869FF">
        <w:rPr>
          <w:lang w:val="en-GB"/>
        </w:rPr>
        <w:t>The desired outcome.</w:t>
      </w:r>
    </w:p>
    <w:p w14:paraId="57C54063" w14:textId="77777777" w:rsidR="003A3E49" w:rsidRPr="009869FF" w:rsidRDefault="003A3E49" w:rsidP="009869FF">
      <w:pPr>
        <w:rPr>
          <w:i/>
          <w:iCs/>
          <w:lang w:val="en-GB"/>
        </w:rPr>
      </w:pPr>
      <w:r w:rsidRPr="009869FF">
        <w:rPr>
          <w:b/>
          <w:bCs/>
          <w:i/>
          <w:iCs/>
          <w:lang w:val="en-GB"/>
        </w:rPr>
        <w:t>Acknowledgement:</w:t>
      </w:r>
    </w:p>
    <w:p w14:paraId="4543F247" w14:textId="77777777" w:rsidR="003A3E49" w:rsidRPr="009869FF" w:rsidRDefault="003A3E49" w:rsidP="009869FF">
      <w:pPr>
        <w:pStyle w:val="ListParagraph"/>
        <w:numPr>
          <w:ilvl w:val="0"/>
          <w:numId w:val="26"/>
        </w:numPr>
        <w:rPr>
          <w:lang w:val="en-GB"/>
        </w:rPr>
      </w:pPr>
      <w:r w:rsidRPr="009869FF">
        <w:rPr>
          <w:lang w:val="en-GB"/>
        </w:rPr>
        <w:t xml:space="preserve">The appeal will be acknowledged within </w:t>
      </w:r>
      <w:r w:rsidRPr="009869FF">
        <w:rPr>
          <w:b/>
          <w:bCs/>
          <w:lang w:val="en-GB"/>
        </w:rPr>
        <w:t>5 working days</w:t>
      </w:r>
      <w:r w:rsidRPr="009869FF">
        <w:rPr>
          <w:lang w:val="en-GB"/>
        </w:rPr>
        <w:t>.</w:t>
      </w:r>
    </w:p>
    <w:p w14:paraId="5AB25F3D" w14:textId="77777777" w:rsidR="003A3E49" w:rsidRPr="009869FF" w:rsidRDefault="003A3E49" w:rsidP="009869FF">
      <w:pPr>
        <w:rPr>
          <w:i/>
          <w:iCs/>
          <w:lang w:val="en-GB"/>
        </w:rPr>
      </w:pPr>
      <w:r w:rsidRPr="009869FF">
        <w:rPr>
          <w:b/>
          <w:bCs/>
          <w:i/>
          <w:iCs/>
          <w:lang w:val="en-GB"/>
        </w:rPr>
        <w:t>Review:</w:t>
      </w:r>
    </w:p>
    <w:p w14:paraId="07FC9203" w14:textId="77777777" w:rsidR="003A3E49" w:rsidRPr="009869FF" w:rsidRDefault="003A3E49" w:rsidP="009869FF">
      <w:pPr>
        <w:pStyle w:val="ListParagraph"/>
        <w:numPr>
          <w:ilvl w:val="0"/>
          <w:numId w:val="26"/>
        </w:numPr>
        <w:rPr>
          <w:lang w:val="en-GB"/>
        </w:rPr>
      </w:pPr>
      <w:r w:rsidRPr="009869FF">
        <w:rPr>
          <w:lang w:val="en-GB"/>
        </w:rPr>
        <w:t xml:space="preserve">The appeal is reviewed by an </w:t>
      </w:r>
      <w:r w:rsidRPr="009869FF">
        <w:rPr>
          <w:b/>
          <w:bCs/>
          <w:lang w:val="en-GB"/>
        </w:rPr>
        <w:t>Appeals Panel</w:t>
      </w:r>
      <w:r w:rsidRPr="009869FF">
        <w:rPr>
          <w:lang w:val="en-GB"/>
        </w:rPr>
        <w:t>, which includes subject matter experts and relevant staff.</w:t>
      </w:r>
    </w:p>
    <w:p w14:paraId="7F7A3150" w14:textId="77777777" w:rsidR="003A3E49" w:rsidRPr="009869FF" w:rsidRDefault="003A3E49" w:rsidP="009869FF">
      <w:pPr>
        <w:pStyle w:val="ListParagraph"/>
        <w:numPr>
          <w:ilvl w:val="0"/>
          <w:numId w:val="26"/>
        </w:numPr>
        <w:rPr>
          <w:lang w:val="en-GB"/>
        </w:rPr>
      </w:pPr>
      <w:r w:rsidRPr="009869FF">
        <w:rPr>
          <w:lang w:val="en-GB"/>
        </w:rPr>
        <w:t>The panel investigates by reviewing evidence and consulting involved parties.</w:t>
      </w:r>
    </w:p>
    <w:p w14:paraId="0DC2BB0F" w14:textId="77777777" w:rsidR="003A3E49" w:rsidRPr="009869FF" w:rsidRDefault="003A3E49" w:rsidP="009869FF">
      <w:pPr>
        <w:rPr>
          <w:i/>
          <w:iCs/>
          <w:lang w:val="en-GB"/>
        </w:rPr>
      </w:pPr>
      <w:r w:rsidRPr="009869FF">
        <w:rPr>
          <w:b/>
          <w:bCs/>
          <w:i/>
          <w:iCs/>
          <w:lang w:val="en-GB"/>
        </w:rPr>
        <w:t>Outcome:</w:t>
      </w:r>
    </w:p>
    <w:p w14:paraId="028EDEA2" w14:textId="77777777" w:rsidR="003A3E49" w:rsidRPr="009869FF" w:rsidRDefault="003A3E49" w:rsidP="009869FF">
      <w:pPr>
        <w:pStyle w:val="ListParagraph"/>
        <w:numPr>
          <w:ilvl w:val="0"/>
          <w:numId w:val="27"/>
        </w:numPr>
        <w:rPr>
          <w:lang w:val="en-GB"/>
        </w:rPr>
      </w:pPr>
      <w:r w:rsidRPr="009869FF">
        <w:rPr>
          <w:lang w:val="en-GB"/>
        </w:rPr>
        <w:t xml:space="preserve">A written response is provided within </w:t>
      </w:r>
      <w:r w:rsidRPr="009869FF">
        <w:rPr>
          <w:b/>
          <w:bCs/>
          <w:lang w:val="en-GB"/>
        </w:rPr>
        <w:t>21 calendar days</w:t>
      </w:r>
      <w:r w:rsidRPr="009869FF">
        <w:rPr>
          <w:lang w:val="en-GB"/>
        </w:rPr>
        <w:t>, detailing:</w:t>
      </w:r>
    </w:p>
    <w:p w14:paraId="3DFF9876" w14:textId="77777777" w:rsidR="003A3E49" w:rsidRPr="009869FF" w:rsidRDefault="003A3E49" w:rsidP="009869FF">
      <w:pPr>
        <w:pStyle w:val="ListParagraph"/>
        <w:numPr>
          <w:ilvl w:val="0"/>
          <w:numId w:val="27"/>
        </w:numPr>
        <w:rPr>
          <w:lang w:val="en-GB"/>
        </w:rPr>
      </w:pPr>
      <w:r w:rsidRPr="009869FF">
        <w:rPr>
          <w:lang w:val="en-GB"/>
        </w:rPr>
        <w:t>The panel’s decision (e.g., upheld, modified, or dismissed).</w:t>
      </w:r>
    </w:p>
    <w:p w14:paraId="44B21B4F" w14:textId="23308D94" w:rsidR="003A3E49" w:rsidRPr="009869FF" w:rsidRDefault="003A3E49" w:rsidP="009869FF">
      <w:pPr>
        <w:pStyle w:val="ListParagraph"/>
        <w:numPr>
          <w:ilvl w:val="0"/>
          <w:numId w:val="27"/>
        </w:numPr>
        <w:rPr>
          <w:lang w:val="en-GB"/>
        </w:rPr>
      </w:pPr>
      <w:r w:rsidRPr="009869FF">
        <w:rPr>
          <w:lang w:val="en-GB"/>
        </w:rPr>
        <w:t>Reasons for the decision and corrective actions, if applicable.</w:t>
      </w:r>
    </w:p>
    <w:p w14:paraId="6280817A" w14:textId="77777777" w:rsidR="007A3351" w:rsidRPr="009869FF" w:rsidRDefault="007A3351" w:rsidP="003A3E49">
      <w:pPr>
        <w:rPr>
          <w:rFonts w:ascii="Verdana" w:hAnsi="Verdana"/>
          <w:b/>
          <w:bCs/>
          <w:lang w:val="en-GB"/>
        </w:rPr>
      </w:pPr>
    </w:p>
    <w:p w14:paraId="7FCE903E" w14:textId="2E7553DD" w:rsidR="003A3E49" w:rsidRPr="009869FF" w:rsidRDefault="007A3351" w:rsidP="009869FF">
      <w:pPr>
        <w:pStyle w:val="Heading1"/>
        <w:rPr>
          <w:lang w:val="en-GB"/>
        </w:rPr>
      </w:pPr>
      <w:r w:rsidRPr="009869FF">
        <w:rPr>
          <w:lang w:val="en-GB"/>
        </w:rPr>
        <w:t>5</w:t>
      </w:r>
      <w:r w:rsidRPr="009869FF">
        <w:rPr>
          <w:lang w:val="en-GB"/>
        </w:rPr>
        <w:tab/>
      </w:r>
      <w:r w:rsidR="003A3E49" w:rsidRPr="009869FF">
        <w:rPr>
          <w:lang w:val="en-GB"/>
        </w:rPr>
        <w:t>Complaints</w:t>
      </w:r>
    </w:p>
    <w:p w14:paraId="0C6BCFEC" w14:textId="117C5C1D" w:rsidR="003A3E49" w:rsidRPr="009869FF" w:rsidRDefault="003A3E49" w:rsidP="009869FF">
      <w:pPr>
        <w:rPr>
          <w:lang w:val="en-GB"/>
        </w:rPr>
      </w:pPr>
      <w:r w:rsidRPr="009869FF">
        <w:rPr>
          <w:lang w:val="en-GB"/>
        </w:rPr>
        <w:t>A complaint is an expression of dissatisfaction about non-academic matters, such as services, facilities, or staff behaviour.</w:t>
      </w:r>
      <w:r w:rsidR="003F3826" w:rsidRPr="009869FF">
        <w:rPr>
          <w:lang w:val="en-GB"/>
        </w:rPr>
        <w:t xml:space="preserve"> Complaints process is outlined below:</w:t>
      </w:r>
    </w:p>
    <w:p w14:paraId="1F144663" w14:textId="77777777" w:rsidR="003A3E49" w:rsidRPr="009869FF" w:rsidRDefault="003A3E49" w:rsidP="009869FF">
      <w:pPr>
        <w:rPr>
          <w:i/>
          <w:iCs/>
          <w:lang w:val="en-GB"/>
        </w:rPr>
      </w:pPr>
      <w:r w:rsidRPr="009869FF">
        <w:rPr>
          <w:b/>
          <w:bCs/>
          <w:i/>
          <w:iCs/>
          <w:lang w:val="en-GB"/>
        </w:rPr>
        <w:t>Submission:</w:t>
      </w:r>
    </w:p>
    <w:p w14:paraId="67DCF989" w14:textId="77777777" w:rsidR="003A3E49" w:rsidRPr="009869FF" w:rsidRDefault="003A3E49" w:rsidP="009869FF">
      <w:pPr>
        <w:pStyle w:val="ListParagraph"/>
        <w:numPr>
          <w:ilvl w:val="0"/>
          <w:numId w:val="28"/>
        </w:numPr>
        <w:rPr>
          <w:lang w:val="en-GB"/>
        </w:rPr>
      </w:pPr>
      <w:r w:rsidRPr="009869FF">
        <w:rPr>
          <w:lang w:val="en-GB"/>
        </w:rPr>
        <w:t xml:space="preserve">Learners must submit complaints using the designated </w:t>
      </w:r>
      <w:r w:rsidRPr="009869FF">
        <w:rPr>
          <w:b/>
          <w:bCs/>
          <w:lang w:val="en-GB"/>
        </w:rPr>
        <w:t>Complaint Form</w:t>
      </w:r>
      <w:r w:rsidRPr="009869FF">
        <w:rPr>
          <w:lang w:val="en-GB"/>
        </w:rPr>
        <w:t xml:space="preserve"> within </w:t>
      </w:r>
      <w:r w:rsidRPr="009869FF">
        <w:rPr>
          <w:b/>
          <w:bCs/>
          <w:lang w:val="en-GB"/>
        </w:rPr>
        <w:t>30 calendar days</w:t>
      </w:r>
      <w:r w:rsidRPr="009869FF">
        <w:rPr>
          <w:lang w:val="en-GB"/>
        </w:rPr>
        <w:t xml:space="preserve"> of the incident.</w:t>
      </w:r>
    </w:p>
    <w:p w14:paraId="4A8777F2" w14:textId="6AE69215" w:rsidR="00C42D3A" w:rsidRPr="009869FF" w:rsidRDefault="003A3E49" w:rsidP="009869FF">
      <w:pPr>
        <w:pStyle w:val="ListParagraph"/>
        <w:numPr>
          <w:ilvl w:val="0"/>
          <w:numId w:val="28"/>
        </w:numPr>
        <w:rPr>
          <w:lang w:val="en-GB"/>
        </w:rPr>
      </w:pPr>
      <w:r w:rsidRPr="009869FF">
        <w:rPr>
          <w:lang w:val="en-GB"/>
        </w:rPr>
        <w:t>The complaint should include:</w:t>
      </w:r>
      <w:r w:rsidR="00C42D3A" w:rsidRPr="009869FF">
        <w:rPr>
          <w:lang w:val="en-GB"/>
        </w:rPr>
        <w:t xml:space="preserve"> </w:t>
      </w:r>
      <w:r w:rsidRPr="009869FF">
        <w:rPr>
          <w:lang w:val="en-GB"/>
        </w:rPr>
        <w:t>A detailed description of the issue</w:t>
      </w:r>
      <w:r w:rsidR="00C42D3A" w:rsidRPr="009869FF">
        <w:rPr>
          <w:lang w:val="en-GB"/>
        </w:rPr>
        <w:t xml:space="preserve"> and r</w:t>
      </w:r>
      <w:r w:rsidRPr="009869FF">
        <w:rPr>
          <w:lang w:val="en-GB"/>
        </w:rPr>
        <w:t>elevant dates and supporting evidence (e.g., emails, photos).</w:t>
      </w:r>
    </w:p>
    <w:p w14:paraId="4B805749" w14:textId="77777777" w:rsidR="003A3E49" w:rsidRPr="009869FF" w:rsidRDefault="003A3E49" w:rsidP="009869FF">
      <w:pPr>
        <w:rPr>
          <w:i/>
          <w:iCs/>
          <w:lang w:val="en-GB"/>
        </w:rPr>
      </w:pPr>
      <w:r w:rsidRPr="009869FF">
        <w:rPr>
          <w:b/>
          <w:bCs/>
          <w:i/>
          <w:iCs/>
          <w:lang w:val="en-GB"/>
        </w:rPr>
        <w:t>Acknowledgement:</w:t>
      </w:r>
    </w:p>
    <w:p w14:paraId="15A15600" w14:textId="77777777" w:rsidR="003A3E49" w:rsidRPr="009869FF" w:rsidRDefault="003A3E49" w:rsidP="009869FF">
      <w:pPr>
        <w:pStyle w:val="ListParagraph"/>
        <w:numPr>
          <w:ilvl w:val="0"/>
          <w:numId w:val="29"/>
        </w:numPr>
        <w:rPr>
          <w:lang w:val="en-GB"/>
        </w:rPr>
      </w:pPr>
      <w:r w:rsidRPr="009869FF">
        <w:rPr>
          <w:lang w:val="en-GB"/>
        </w:rPr>
        <w:t xml:space="preserve">Complaints are acknowledged within </w:t>
      </w:r>
      <w:r w:rsidRPr="009869FF">
        <w:rPr>
          <w:b/>
          <w:bCs/>
          <w:lang w:val="en-GB"/>
        </w:rPr>
        <w:t>5 working days</w:t>
      </w:r>
      <w:r w:rsidRPr="009869FF">
        <w:rPr>
          <w:lang w:val="en-GB"/>
        </w:rPr>
        <w:t>.</w:t>
      </w:r>
    </w:p>
    <w:p w14:paraId="696D069A" w14:textId="77777777" w:rsidR="003A3E49" w:rsidRPr="009869FF" w:rsidRDefault="003A3E49" w:rsidP="009869FF">
      <w:pPr>
        <w:rPr>
          <w:i/>
          <w:iCs/>
          <w:lang w:val="en-GB"/>
        </w:rPr>
      </w:pPr>
      <w:r w:rsidRPr="009869FF">
        <w:rPr>
          <w:b/>
          <w:bCs/>
          <w:i/>
          <w:iCs/>
          <w:lang w:val="en-GB"/>
        </w:rPr>
        <w:t>Resolution:</w:t>
      </w:r>
    </w:p>
    <w:p w14:paraId="16A34286" w14:textId="77777777" w:rsidR="003A3E49" w:rsidRPr="009869FF" w:rsidRDefault="003A3E49" w:rsidP="009869FF">
      <w:pPr>
        <w:rPr>
          <w:lang w:val="en-GB"/>
        </w:rPr>
      </w:pPr>
      <w:r w:rsidRPr="009869FF">
        <w:rPr>
          <w:lang w:val="en-GB"/>
        </w:rPr>
        <w:t>The issue is referred to the relevant department for resolution, which may involve:</w:t>
      </w:r>
    </w:p>
    <w:p w14:paraId="103BDCD5" w14:textId="77777777" w:rsidR="003A3E49" w:rsidRPr="009869FF" w:rsidRDefault="003A3E49" w:rsidP="009869FF">
      <w:pPr>
        <w:pStyle w:val="ListParagraph"/>
        <w:numPr>
          <w:ilvl w:val="0"/>
          <w:numId w:val="29"/>
        </w:numPr>
        <w:rPr>
          <w:lang w:val="en-GB"/>
        </w:rPr>
      </w:pPr>
      <w:r w:rsidRPr="009869FF">
        <w:rPr>
          <w:lang w:val="en-GB"/>
        </w:rPr>
        <w:t>Reviewing the complaint.</w:t>
      </w:r>
    </w:p>
    <w:p w14:paraId="63939C29" w14:textId="77777777" w:rsidR="003A3E49" w:rsidRPr="009869FF" w:rsidRDefault="003A3E49" w:rsidP="009869FF">
      <w:pPr>
        <w:pStyle w:val="ListParagraph"/>
        <w:numPr>
          <w:ilvl w:val="0"/>
          <w:numId w:val="29"/>
        </w:numPr>
        <w:rPr>
          <w:lang w:val="en-GB"/>
        </w:rPr>
      </w:pPr>
      <w:r w:rsidRPr="009869FF">
        <w:rPr>
          <w:lang w:val="en-GB"/>
        </w:rPr>
        <w:t>Consulting involved parties.</w:t>
      </w:r>
    </w:p>
    <w:p w14:paraId="30DAC75B" w14:textId="77777777" w:rsidR="003A3E49" w:rsidRPr="009869FF" w:rsidRDefault="003A3E49" w:rsidP="009869FF">
      <w:pPr>
        <w:pStyle w:val="ListParagraph"/>
        <w:numPr>
          <w:ilvl w:val="0"/>
          <w:numId w:val="29"/>
        </w:numPr>
        <w:rPr>
          <w:lang w:val="en-GB"/>
        </w:rPr>
      </w:pPr>
      <w:r w:rsidRPr="009869FF">
        <w:rPr>
          <w:lang w:val="en-GB"/>
        </w:rPr>
        <w:t xml:space="preserve">An informal resolution is provided within </w:t>
      </w:r>
      <w:r w:rsidRPr="009869FF">
        <w:rPr>
          <w:b/>
          <w:bCs/>
          <w:lang w:val="en-GB"/>
        </w:rPr>
        <w:t>10 working days</w:t>
      </w:r>
      <w:r w:rsidRPr="009869FF">
        <w:rPr>
          <w:lang w:val="en-GB"/>
        </w:rPr>
        <w:t>.</w:t>
      </w:r>
    </w:p>
    <w:p w14:paraId="541ECE91" w14:textId="77777777" w:rsidR="003A3E49" w:rsidRPr="009869FF" w:rsidRDefault="003A3E49" w:rsidP="009869FF">
      <w:pPr>
        <w:rPr>
          <w:i/>
          <w:iCs/>
          <w:lang w:val="en-GB"/>
        </w:rPr>
      </w:pPr>
      <w:r w:rsidRPr="009869FF">
        <w:rPr>
          <w:b/>
          <w:bCs/>
          <w:i/>
          <w:iCs/>
          <w:lang w:val="en-GB"/>
        </w:rPr>
        <w:t>Escalation (if unresolved):</w:t>
      </w:r>
    </w:p>
    <w:p w14:paraId="3CE768B8" w14:textId="77777777" w:rsidR="003A3E49" w:rsidRPr="009869FF" w:rsidRDefault="003A3E49" w:rsidP="009869FF">
      <w:pPr>
        <w:pStyle w:val="ListParagraph"/>
        <w:numPr>
          <w:ilvl w:val="0"/>
          <w:numId w:val="30"/>
        </w:numPr>
        <w:rPr>
          <w:lang w:val="en-GB"/>
        </w:rPr>
      </w:pPr>
      <w:r w:rsidRPr="009869FF">
        <w:rPr>
          <w:lang w:val="en-GB"/>
        </w:rPr>
        <w:t xml:space="preserve">Unresolved complaints are escalated to a </w:t>
      </w:r>
      <w:r w:rsidRPr="009869FF">
        <w:rPr>
          <w:b/>
          <w:bCs/>
          <w:lang w:val="en-GB"/>
        </w:rPr>
        <w:t>Complaints Panel</w:t>
      </w:r>
      <w:r w:rsidRPr="009869FF">
        <w:rPr>
          <w:lang w:val="en-GB"/>
        </w:rPr>
        <w:t xml:space="preserve">, which reviews the case and provides a formal resolution within </w:t>
      </w:r>
      <w:r w:rsidRPr="009869FF">
        <w:rPr>
          <w:b/>
          <w:bCs/>
          <w:lang w:val="en-GB"/>
        </w:rPr>
        <w:t>15 working days</w:t>
      </w:r>
      <w:r w:rsidRPr="009869FF">
        <w:rPr>
          <w:lang w:val="en-GB"/>
        </w:rPr>
        <w:t>.</w:t>
      </w:r>
    </w:p>
    <w:p w14:paraId="14A91EBB" w14:textId="77777777" w:rsidR="003A3E49" w:rsidRPr="009869FF" w:rsidRDefault="003A3E49" w:rsidP="009869FF">
      <w:pPr>
        <w:rPr>
          <w:i/>
          <w:iCs/>
          <w:lang w:val="en-GB"/>
        </w:rPr>
      </w:pPr>
      <w:r w:rsidRPr="009869FF">
        <w:rPr>
          <w:b/>
          <w:bCs/>
          <w:i/>
          <w:iCs/>
          <w:lang w:val="en-GB"/>
        </w:rPr>
        <w:t>Outcome:</w:t>
      </w:r>
    </w:p>
    <w:p w14:paraId="370CB524" w14:textId="77777777" w:rsidR="003A3E49" w:rsidRPr="009869FF" w:rsidRDefault="003A3E49" w:rsidP="009869FF">
      <w:pPr>
        <w:rPr>
          <w:lang w:val="en-GB"/>
        </w:rPr>
      </w:pPr>
      <w:r w:rsidRPr="009869FF">
        <w:rPr>
          <w:lang w:val="en-GB"/>
        </w:rPr>
        <w:t>A written response is shared, summarising findings and actions taken.</w:t>
      </w:r>
    </w:p>
    <w:p w14:paraId="7D8DEB4F" w14:textId="3CB2B752" w:rsidR="003A3E49" w:rsidRDefault="003A3E49" w:rsidP="009869FF">
      <w:pPr>
        <w:rPr>
          <w:lang w:val="en-GB"/>
        </w:rPr>
      </w:pPr>
    </w:p>
    <w:p w14:paraId="1937362F" w14:textId="77777777" w:rsidR="009869FF" w:rsidRPr="009869FF" w:rsidRDefault="009869FF" w:rsidP="009869FF">
      <w:pPr>
        <w:rPr>
          <w:lang w:val="en-GB"/>
        </w:rPr>
      </w:pPr>
    </w:p>
    <w:p w14:paraId="48892F9B" w14:textId="05AA8658" w:rsidR="003A3E49" w:rsidRPr="009869FF" w:rsidRDefault="003F3826" w:rsidP="009869FF">
      <w:pPr>
        <w:pStyle w:val="Heading1"/>
        <w:rPr>
          <w:lang w:val="en-GB"/>
        </w:rPr>
      </w:pPr>
      <w:r w:rsidRPr="009869FF">
        <w:rPr>
          <w:lang w:val="en-GB"/>
        </w:rPr>
        <w:lastRenderedPageBreak/>
        <w:t>6</w:t>
      </w:r>
      <w:r w:rsidR="003A3E49" w:rsidRPr="009869FF">
        <w:rPr>
          <w:lang w:val="en-GB"/>
        </w:rPr>
        <w:t>. Monitoring and Record-Keeping</w:t>
      </w:r>
    </w:p>
    <w:p w14:paraId="51F43B87" w14:textId="77777777" w:rsidR="003A3E49" w:rsidRPr="009869FF" w:rsidRDefault="003A3E49" w:rsidP="009869FF">
      <w:pPr>
        <w:pStyle w:val="ListParagraph"/>
        <w:numPr>
          <w:ilvl w:val="0"/>
          <w:numId w:val="30"/>
        </w:numPr>
        <w:rPr>
          <w:lang w:val="en-GB"/>
        </w:rPr>
      </w:pPr>
      <w:r w:rsidRPr="009869FF">
        <w:rPr>
          <w:lang w:val="en-GB"/>
        </w:rPr>
        <w:t xml:space="preserve">All appeals and complaints are documented and retained for </w:t>
      </w:r>
      <w:r w:rsidRPr="009869FF">
        <w:rPr>
          <w:b/>
          <w:bCs/>
          <w:lang w:val="en-GB"/>
        </w:rPr>
        <w:t>three years</w:t>
      </w:r>
      <w:r w:rsidRPr="009869FF">
        <w:rPr>
          <w:lang w:val="en-GB"/>
        </w:rPr>
        <w:t>.</w:t>
      </w:r>
    </w:p>
    <w:p w14:paraId="6C57F054" w14:textId="72FF8B3D" w:rsidR="003F3826" w:rsidRPr="009869FF" w:rsidRDefault="003A3E49" w:rsidP="009869FF">
      <w:pPr>
        <w:pStyle w:val="ListParagraph"/>
        <w:numPr>
          <w:ilvl w:val="0"/>
          <w:numId w:val="30"/>
        </w:numPr>
        <w:rPr>
          <w:lang w:val="en-GB"/>
        </w:rPr>
      </w:pPr>
      <w:r w:rsidRPr="009869FF">
        <w:rPr>
          <w:lang w:val="en-GB"/>
        </w:rPr>
        <w:t>Anonymised data is analysed annually to identify trends and improve services.</w:t>
      </w:r>
    </w:p>
    <w:p w14:paraId="6550B210" w14:textId="77777777" w:rsidR="003F3826" w:rsidRPr="009869FF" w:rsidRDefault="003F3826" w:rsidP="009869FF">
      <w:pPr>
        <w:rPr>
          <w:lang w:val="en-GB"/>
        </w:rPr>
      </w:pPr>
    </w:p>
    <w:p w14:paraId="3BEEE67F" w14:textId="573C4612" w:rsidR="003A3E49" w:rsidRPr="009869FF" w:rsidRDefault="003F3826" w:rsidP="009869FF">
      <w:pPr>
        <w:pStyle w:val="Heading1"/>
        <w:rPr>
          <w:lang w:val="en-GB"/>
        </w:rPr>
      </w:pPr>
      <w:r w:rsidRPr="009869FF">
        <w:rPr>
          <w:lang w:val="en-GB"/>
        </w:rPr>
        <w:t>7</w:t>
      </w:r>
      <w:r w:rsidR="003A3E49" w:rsidRPr="009869FF">
        <w:rPr>
          <w:lang w:val="en-GB"/>
        </w:rPr>
        <w:t>. Communication</w:t>
      </w:r>
    </w:p>
    <w:p w14:paraId="570D6316" w14:textId="77777777" w:rsidR="003A3E49" w:rsidRPr="009869FF" w:rsidRDefault="003A3E49" w:rsidP="009869FF">
      <w:pPr>
        <w:pStyle w:val="ListParagraph"/>
        <w:numPr>
          <w:ilvl w:val="0"/>
          <w:numId w:val="31"/>
        </w:numPr>
        <w:rPr>
          <w:lang w:val="en-GB"/>
        </w:rPr>
      </w:pPr>
      <w:r w:rsidRPr="009869FF">
        <w:rPr>
          <w:lang w:val="en-GB"/>
        </w:rPr>
        <w:t>The policy and procedure are accessible to learners through:</w:t>
      </w:r>
    </w:p>
    <w:p w14:paraId="379F31BD" w14:textId="77777777" w:rsidR="003A3E49" w:rsidRPr="009869FF" w:rsidRDefault="003A3E49" w:rsidP="009869FF">
      <w:pPr>
        <w:pStyle w:val="ListParagraph"/>
        <w:numPr>
          <w:ilvl w:val="0"/>
          <w:numId w:val="31"/>
        </w:numPr>
        <w:rPr>
          <w:lang w:val="en-GB"/>
        </w:rPr>
      </w:pPr>
      <w:r w:rsidRPr="009869FF">
        <w:rPr>
          <w:lang w:val="en-GB"/>
        </w:rPr>
        <w:t>The Learning Management System (LMS).</w:t>
      </w:r>
    </w:p>
    <w:p w14:paraId="7143E4F7" w14:textId="77777777" w:rsidR="003A3E49" w:rsidRPr="009869FF" w:rsidRDefault="003A3E49" w:rsidP="009869FF">
      <w:pPr>
        <w:pStyle w:val="ListParagraph"/>
        <w:numPr>
          <w:ilvl w:val="0"/>
          <w:numId w:val="31"/>
        </w:numPr>
        <w:rPr>
          <w:lang w:val="en-GB"/>
        </w:rPr>
      </w:pPr>
      <w:r w:rsidRPr="009869FF">
        <w:rPr>
          <w:lang w:val="en-GB"/>
        </w:rPr>
        <w:t>Orientation sessions.</w:t>
      </w:r>
    </w:p>
    <w:p w14:paraId="3301BD1D" w14:textId="00065475" w:rsidR="009037C2" w:rsidRPr="009869FF" w:rsidRDefault="003A3E49" w:rsidP="009869FF">
      <w:pPr>
        <w:pStyle w:val="ListParagraph"/>
        <w:numPr>
          <w:ilvl w:val="0"/>
          <w:numId w:val="31"/>
        </w:numPr>
        <w:rPr>
          <w:lang w:val="en-GB"/>
        </w:rPr>
      </w:pPr>
      <w:r w:rsidRPr="009869FF">
        <w:rPr>
          <w:lang w:val="en-GB"/>
        </w:rPr>
        <w:t>Student handbooks.</w:t>
      </w:r>
    </w:p>
    <w:p w14:paraId="18837EE6" w14:textId="382A5005" w:rsidR="00C42D3A" w:rsidRPr="009869FF" w:rsidRDefault="00C42D3A" w:rsidP="009869FF">
      <w:pPr>
        <w:pStyle w:val="ListParagraph"/>
        <w:numPr>
          <w:ilvl w:val="0"/>
          <w:numId w:val="31"/>
        </w:numPr>
        <w:rPr>
          <w:lang w:val="en-GB"/>
        </w:rPr>
      </w:pPr>
      <w:r w:rsidRPr="009869FF">
        <w:rPr>
          <w:lang w:val="en-GB"/>
        </w:rPr>
        <w:t>Website</w:t>
      </w:r>
    </w:p>
    <w:sectPr w:rsidR="00C42D3A" w:rsidRPr="009869FF" w:rsidSect="00C42D3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0C5F"/>
    <w:multiLevelType w:val="multilevel"/>
    <w:tmpl w:val="B85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A2E6A"/>
    <w:multiLevelType w:val="multilevel"/>
    <w:tmpl w:val="9B7A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A45A3"/>
    <w:multiLevelType w:val="multilevel"/>
    <w:tmpl w:val="772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86C89"/>
    <w:multiLevelType w:val="multilevel"/>
    <w:tmpl w:val="02D4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E2517"/>
    <w:multiLevelType w:val="multilevel"/>
    <w:tmpl w:val="1966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9796D"/>
    <w:multiLevelType w:val="multilevel"/>
    <w:tmpl w:val="60CC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A1980"/>
    <w:multiLevelType w:val="hybridMultilevel"/>
    <w:tmpl w:val="725E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132"/>
    <w:multiLevelType w:val="hybridMultilevel"/>
    <w:tmpl w:val="CC24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6692"/>
    <w:multiLevelType w:val="hybridMultilevel"/>
    <w:tmpl w:val="471A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71D9C"/>
    <w:multiLevelType w:val="multilevel"/>
    <w:tmpl w:val="670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42DF6"/>
    <w:multiLevelType w:val="multilevel"/>
    <w:tmpl w:val="CB20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5279C"/>
    <w:multiLevelType w:val="multilevel"/>
    <w:tmpl w:val="7A5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92A48"/>
    <w:multiLevelType w:val="hybridMultilevel"/>
    <w:tmpl w:val="8632D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95914"/>
    <w:multiLevelType w:val="hybridMultilevel"/>
    <w:tmpl w:val="4AC8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133B2"/>
    <w:multiLevelType w:val="multilevel"/>
    <w:tmpl w:val="E7B8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14E2D"/>
    <w:multiLevelType w:val="multilevel"/>
    <w:tmpl w:val="AD60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A2102"/>
    <w:multiLevelType w:val="hybridMultilevel"/>
    <w:tmpl w:val="3A3C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A710E"/>
    <w:multiLevelType w:val="multilevel"/>
    <w:tmpl w:val="E4B2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A31E8"/>
    <w:multiLevelType w:val="multilevel"/>
    <w:tmpl w:val="A158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D5A1A"/>
    <w:multiLevelType w:val="multilevel"/>
    <w:tmpl w:val="C57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314C9"/>
    <w:multiLevelType w:val="multilevel"/>
    <w:tmpl w:val="414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7020B"/>
    <w:multiLevelType w:val="multilevel"/>
    <w:tmpl w:val="0ECA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B553E"/>
    <w:multiLevelType w:val="multilevel"/>
    <w:tmpl w:val="F6B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30EF0"/>
    <w:multiLevelType w:val="hybridMultilevel"/>
    <w:tmpl w:val="6006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3388"/>
    <w:multiLevelType w:val="multilevel"/>
    <w:tmpl w:val="3200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9B0D74"/>
    <w:multiLevelType w:val="hybridMultilevel"/>
    <w:tmpl w:val="9824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B5F36"/>
    <w:multiLevelType w:val="hybridMultilevel"/>
    <w:tmpl w:val="F4EA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32FD0"/>
    <w:multiLevelType w:val="multilevel"/>
    <w:tmpl w:val="D47C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56B28"/>
    <w:multiLevelType w:val="hybridMultilevel"/>
    <w:tmpl w:val="70FE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F157B"/>
    <w:multiLevelType w:val="multilevel"/>
    <w:tmpl w:val="6FF2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BE48A6"/>
    <w:multiLevelType w:val="multilevel"/>
    <w:tmpl w:val="BA4E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71310">
    <w:abstractNumId w:val="29"/>
  </w:num>
  <w:num w:numId="2" w16cid:durableId="900751606">
    <w:abstractNumId w:val="14"/>
  </w:num>
  <w:num w:numId="3" w16cid:durableId="341590619">
    <w:abstractNumId w:val="30"/>
  </w:num>
  <w:num w:numId="4" w16cid:durableId="546574309">
    <w:abstractNumId w:val="21"/>
  </w:num>
  <w:num w:numId="5" w16cid:durableId="1916545930">
    <w:abstractNumId w:val="1"/>
  </w:num>
  <w:num w:numId="6" w16cid:durableId="2073193161">
    <w:abstractNumId w:val="4"/>
  </w:num>
  <w:num w:numId="7" w16cid:durableId="418257269">
    <w:abstractNumId w:val="15"/>
  </w:num>
  <w:num w:numId="8" w16cid:durableId="1226919494">
    <w:abstractNumId w:val="19"/>
  </w:num>
  <w:num w:numId="9" w16cid:durableId="1163659924">
    <w:abstractNumId w:val="11"/>
  </w:num>
  <w:num w:numId="10" w16cid:durableId="299649984">
    <w:abstractNumId w:val="5"/>
  </w:num>
  <w:num w:numId="11" w16cid:durableId="1694962014">
    <w:abstractNumId w:val="17"/>
  </w:num>
  <w:num w:numId="12" w16cid:durableId="1925337767">
    <w:abstractNumId w:val="27"/>
  </w:num>
  <w:num w:numId="13" w16cid:durableId="1586766139">
    <w:abstractNumId w:val="3"/>
  </w:num>
  <w:num w:numId="14" w16cid:durableId="781339762">
    <w:abstractNumId w:val="0"/>
  </w:num>
  <w:num w:numId="15" w16cid:durableId="2077124096">
    <w:abstractNumId w:val="2"/>
  </w:num>
  <w:num w:numId="16" w16cid:durableId="1400901998">
    <w:abstractNumId w:val="20"/>
  </w:num>
  <w:num w:numId="17" w16cid:durableId="529336885">
    <w:abstractNumId w:val="22"/>
  </w:num>
  <w:num w:numId="18" w16cid:durableId="528110454">
    <w:abstractNumId w:val="18"/>
  </w:num>
  <w:num w:numId="19" w16cid:durableId="18552041">
    <w:abstractNumId w:val="10"/>
  </w:num>
  <w:num w:numId="20" w16cid:durableId="616255256">
    <w:abstractNumId w:val="24"/>
  </w:num>
  <w:num w:numId="21" w16cid:durableId="216628909">
    <w:abstractNumId w:val="9"/>
  </w:num>
  <w:num w:numId="22" w16cid:durableId="815299224">
    <w:abstractNumId w:val="26"/>
  </w:num>
  <w:num w:numId="23" w16cid:durableId="1149053967">
    <w:abstractNumId w:val="28"/>
  </w:num>
  <w:num w:numId="24" w16cid:durableId="218396807">
    <w:abstractNumId w:val="13"/>
  </w:num>
  <w:num w:numId="25" w16cid:durableId="192770471">
    <w:abstractNumId w:val="25"/>
  </w:num>
  <w:num w:numId="26" w16cid:durableId="1115758297">
    <w:abstractNumId w:val="6"/>
  </w:num>
  <w:num w:numId="27" w16cid:durableId="605889887">
    <w:abstractNumId w:val="23"/>
  </w:num>
  <w:num w:numId="28" w16cid:durableId="1960869303">
    <w:abstractNumId w:val="7"/>
  </w:num>
  <w:num w:numId="29" w16cid:durableId="316687154">
    <w:abstractNumId w:val="8"/>
  </w:num>
  <w:num w:numId="30" w16cid:durableId="54354077">
    <w:abstractNumId w:val="16"/>
  </w:num>
  <w:num w:numId="31" w16cid:durableId="315496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yNDA2MLe0sDQztDRU0lEKTi0uzszPAykwrAUAAeZomiwAAAA="/>
  </w:docVars>
  <w:rsids>
    <w:rsidRoot w:val="00220688"/>
    <w:rsid w:val="0009356B"/>
    <w:rsid w:val="0020096E"/>
    <w:rsid w:val="00220688"/>
    <w:rsid w:val="002E45F0"/>
    <w:rsid w:val="00383FB7"/>
    <w:rsid w:val="003A3E49"/>
    <w:rsid w:val="003B1509"/>
    <w:rsid w:val="003F3826"/>
    <w:rsid w:val="00635A5E"/>
    <w:rsid w:val="007A3351"/>
    <w:rsid w:val="009037C2"/>
    <w:rsid w:val="009869FF"/>
    <w:rsid w:val="00AD0762"/>
    <w:rsid w:val="00AD2306"/>
    <w:rsid w:val="00C4127D"/>
    <w:rsid w:val="00C42D3A"/>
    <w:rsid w:val="00D77267"/>
    <w:rsid w:val="00E73242"/>
    <w:rsid w:val="00EE0B60"/>
    <w:rsid w:val="00F14FA8"/>
    <w:rsid w:val="00F6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5F544"/>
  <w15:chartTrackingRefBased/>
  <w15:docId w15:val="{D816A1F0-A33D-4632-B062-36C9DA6A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FF"/>
    <w:pPr>
      <w:spacing w:after="0" w:line="300" w:lineRule="auto"/>
      <w:jc w:val="both"/>
    </w:pPr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9FF"/>
    <w:pPr>
      <w:keepNext/>
      <w:keepLines/>
      <w:jc w:val="center"/>
      <w:outlineLvl w:val="0"/>
    </w:pPr>
    <w:rPr>
      <w:rFonts w:eastAsiaTheme="majorEastAsia" w:cstheme="majorBidi"/>
      <w:b/>
      <w:color w:val="0F4761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2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9FF"/>
    <w:rPr>
      <w:rFonts w:ascii="Open Sans" w:eastAsiaTheme="majorEastAsia" w:hAnsi="Open Sans" w:cstheme="majorBidi"/>
      <w:b/>
      <w:color w:val="0F4761" w:themeColor="accent1" w:themeShade="B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869FF"/>
    <w:pPr>
      <w:spacing w:line="240" w:lineRule="auto"/>
      <w:contextualSpacing/>
      <w:jc w:val="center"/>
    </w:pPr>
    <w:rPr>
      <w:rFonts w:ascii="Segoe UI" w:eastAsiaTheme="majorEastAsia" w:hAnsi="Segoe UI" w:cstheme="majorBidi"/>
      <w:b/>
      <w:i/>
      <w:color w:val="074F6A" w:themeColor="accent4" w:themeShade="80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9FF"/>
    <w:rPr>
      <w:rFonts w:ascii="Segoe UI" w:eastAsiaTheme="majorEastAsia" w:hAnsi="Segoe UI" w:cstheme="majorBidi"/>
      <w:b/>
      <w:i/>
      <w:color w:val="074F6A" w:themeColor="accent4" w:themeShade="80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unhideWhenUsed/>
    <w:rsid w:val="00AD076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69FF"/>
    <w:pPr>
      <w:spacing w:after="0" w:line="240" w:lineRule="auto"/>
      <w:jc w:val="both"/>
    </w:pPr>
    <w:rPr>
      <w:rFonts w:ascii="Open Sans" w:hAnsi="Open Sans"/>
      <w:color w:val="7F7F7F" w:themeColor="text1" w:themeTint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7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0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5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6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87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585</Words>
  <Characters>3392</Characters>
  <Application>Microsoft Office Word</Application>
  <DocSecurity>0</DocSecurity>
  <Lines>113</Lines>
  <Paragraphs>55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- 3.2</dc:title>
  <dc:subject/>
  <dc:creator>IQN</dc:creator>
  <cp:keywords/>
  <dc:description/>
  <dcterms:created xsi:type="dcterms:W3CDTF">2024-12-03T11:05:00Z</dcterms:created>
  <dcterms:modified xsi:type="dcterms:W3CDTF">2024-12-26T05:43:00Z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d148a4fe62357a49fd35593a0e365b382426b57dff3f1b872b028b11c2315c2c</vt:lpwstr>
  </property>
</Properties>
</file>