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A244" w14:textId="5BCB17E9" w:rsidR="00834B00" w:rsidRPr="00DE0932" w:rsidRDefault="00834B00" w:rsidP="0053124D">
      <w:pPr>
        <w:spacing w:line="280" w:lineRule="exact"/>
        <w:jc w:val="right"/>
        <w:rPr>
          <w:rFonts w:ascii="Arial" w:hAnsi="Arial" w:cs="Arial"/>
          <w:b/>
          <w:bCs/>
          <w:sz w:val="24"/>
          <w:szCs w:val="22"/>
        </w:rPr>
      </w:pPr>
    </w:p>
    <w:p w14:paraId="46F6FD91" w14:textId="77777777" w:rsidR="00A03133" w:rsidRPr="00DE0932" w:rsidRDefault="00A03133" w:rsidP="00CD7E54">
      <w:pPr>
        <w:spacing w:line="280" w:lineRule="exact"/>
        <w:jc w:val="both"/>
        <w:rPr>
          <w:rFonts w:ascii="Arial" w:hAnsi="Arial" w:cs="Arial"/>
          <w:b/>
          <w:bCs/>
          <w:sz w:val="24"/>
          <w:szCs w:val="22"/>
        </w:rPr>
      </w:pPr>
    </w:p>
    <w:p w14:paraId="0C6A8EFA" w14:textId="77777777" w:rsidR="00CA3C16" w:rsidRPr="00DE0932" w:rsidRDefault="00CA3C16" w:rsidP="00CD7E54">
      <w:pPr>
        <w:spacing w:line="280" w:lineRule="exact"/>
        <w:jc w:val="both"/>
        <w:rPr>
          <w:rFonts w:ascii="Arial" w:hAnsi="Arial" w:cs="Arial"/>
          <w:b/>
          <w:bCs/>
          <w:sz w:val="24"/>
          <w:szCs w:val="22"/>
        </w:rPr>
      </w:pPr>
    </w:p>
    <w:p w14:paraId="6EFBC47D" w14:textId="77777777" w:rsidR="00CA3C16" w:rsidRPr="00DE0932" w:rsidRDefault="00CA3C16" w:rsidP="00CD7E54">
      <w:pPr>
        <w:spacing w:line="280" w:lineRule="exact"/>
        <w:jc w:val="both"/>
        <w:rPr>
          <w:rFonts w:ascii="Arial" w:hAnsi="Arial" w:cs="Arial"/>
          <w:b/>
          <w:bCs/>
          <w:sz w:val="24"/>
          <w:szCs w:val="22"/>
        </w:rPr>
      </w:pPr>
    </w:p>
    <w:p w14:paraId="4BADEE0A" w14:textId="77777777" w:rsidR="00CA3C16" w:rsidRPr="00DE0932" w:rsidRDefault="00CA3C16" w:rsidP="00CD7E54">
      <w:pPr>
        <w:spacing w:line="280" w:lineRule="exact"/>
        <w:jc w:val="both"/>
        <w:rPr>
          <w:rFonts w:ascii="Arial" w:hAnsi="Arial" w:cs="Arial"/>
          <w:b/>
          <w:bCs/>
          <w:sz w:val="24"/>
          <w:szCs w:val="22"/>
        </w:rPr>
      </w:pPr>
    </w:p>
    <w:p w14:paraId="6A91CE92" w14:textId="77777777" w:rsidR="00A113D8" w:rsidRPr="00DE0932" w:rsidRDefault="00A113D8" w:rsidP="00CD7E54">
      <w:pPr>
        <w:pStyle w:val="fstitle1"/>
        <w:ind w:left="1440"/>
        <w:rPr>
          <w:rFonts w:cs="Arial"/>
          <w:sz w:val="26"/>
          <w:szCs w:val="26"/>
        </w:rPr>
      </w:pPr>
    </w:p>
    <w:p w14:paraId="76AEA82E" w14:textId="77777777" w:rsidR="00A113D8" w:rsidRPr="00DE0932" w:rsidRDefault="00A113D8" w:rsidP="00CD7E54">
      <w:pPr>
        <w:pStyle w:val="fstitle1"/>
        <w:ind w:left="1440"/>
        <w:rPr>
          <w:rFonts w:cs="Arial"/>
          <w:sz w:val="26"/>
          <w:szCs w:val="26"/>
        </w:rPr>
      </w:pPr>
    </w:p>
    <w:p w14:paraId="2576D131" w14:textId="77777777" w:rsidR="00A113D8" w:rsidRPr="00DE0932" w:rsidRDefault="00A113D8" w:rsidP="00CD7E54">
      <w:pPr>
        <w:pStyle w:val="fstitle1"/>
        <w:ind w:left="1440"/>
        <w:rPr>
          <w:rFonts w:cs="Arial"/>
          <w:sz w:val="26"/>
          <w:szCs w:val="26"/>
        </w:rPr>
      </w:pPr>
    </w:p>
    <w:p w14:paraId="5A440E9B" w14:textId="77777777" w:rsidR="00A113D8" w:rsidRPr="00DE0932" w:rsidRDefault="00A113D8" w:rsidP="00CD7E54">
      <w:pPr>
        <w:pStyle w:val="fstitle1"/>
        <w:ind w:left="1440"/>
        <w:rPr>
          <w:rFonts w:cs="Arial"/>
          <w:sz w:val="26"/>
          <w:szCs w:val="26"/>
        </w:rPr>
      </w:pPr>
    </w:p>
    <w:p w14:paraId="7FF126EC" w14:textId="77777777" w:rsidR="00A113D8" w:rsidRPr="00DE0932" w:rsidRDefault="00A113D8" w:rsidP="00CD7E54">
      <w:pPr>
        <w:pStyle w:val="fstitle1"/>
        <w:ind w:left="1440"/>
        <w:rPr>
          <w:rFonts w:cs="Arial"/>
          <w:sz w:val="26"/>
          <w:szCs w:val="26"/>
        </w:rPr>
      </w:pPr>
    </w:p>
    <w:p w14:paraId="616F2B09" w14:textId="7B66BF08" w:rsidR="000246CA" w:rsidRPr="00DE0932" w:rsidRDefault="00CA3C16" w:rsidP="00CD7E54">
      <w:pPr>
        <w:pStyle w:val="fstitle1"/>
        <w:ind w:left="1440"/>
        <w:rPr>
          <w:rFonts w:cs="Arial"/>
          <w:sz w:val="26"/>
          <w:szCs w:val="26"/>
          <w:lang w:val="en-CA"/>
        </w:rPr>
      </w:pPr>
      <w:r w:rsidRPr="00DE0932">
        <w:rPr>
          <w:rFonts w:cs="Arial"/>
          <w:sz w:val="26"/>
          <w:szCs w:val="26"/>
        </w:rPr>
        <w:t xml:space="preserve">Management’s </w:t>
      </w:r>
      <w:r w:rsidR="003A7E64">
        <w:rPr>
          <w:rFonts w:cs="Arial"/>
          <w:sz w:val="26"/>
          <w:szCs w:val="26"/>
        </w:rPr>
        <w:t>d</w:t>
      </w:r>
      <w:r w:rsidRPr="00DE0932">
        <w:rPr>
          <w:rFonts w:cs="Arial"/>
          <w:sz w:val="26"/>
          <w:szCs w:val="26"/>
        </w:rPr>
        <w:t xml:space="preserve">iscussion and </w:t>
      </w:r>
      <w:r w:rsidR="003A7E64">
        <w:rPr>
          <w:rFonts w:cs="Arial"/>
          <w:sz w:val="26"/>
          <w:szCs w:val="26"/>
        </w:rPr>
        <w:t>a</w:t>
      </w:r>
      <w:r w:rsidR="000E1644" w:rsidRPr="00DE0932">
        <w:rPr>
          <w:rFonts w:cs="Arial"/>
          <w:sz w:val="26"/>
          <w:szCs w:val="26"/>
        </w:rPr>
        <w:t>n</w:t>
      </w:r>
      <w:r w:rsidRPr="00DE0932">
        <w:rPr>
          <w:rFonts w:cs="Arial"/>
          <w:sz w:val="26"/>
          <w:szCs w:val="26"/>
        </w:rPr>
        <w:t>alysis of</w:t>
      </w:r>
      <w:r w:rsidR="000246CA" w:rsidRPr="00DE0932">
        <w:rPr>
          <w:rFonts w:cs="Arial"/>
          <w:sz w:val="26"/>
          <w:szCs w:val="26"/>
        </w:rPr>
        <w:t xml:space="preserve"> </w:t>
      </w:r>
      <w:r w:rsidR="00EB466D">
        <w:rPr>
          <w:rFonts w:cs="Arial"/>
          <w:sz w:val="26"/>
          <w:szCs w:val="26"/>
        </w:rPr>
        <w:t xml:space="preserve">the </w:t>
      </w:r>
      <w:r w:rsidR="003A7E64">
        <w:rPr>
          <w:rFonts w:cs="Arial"/>
          <w:sz w:val="26"/>
          <w:szCs w:val="26"/>
          <w:lang w:val="en-CA"/>
        </w:rPr>
        <w:t>f</w:t>
      </w:r>
      <w:r w:rsidR="00FC6A01" w:rsidRPr="00DE0932">
        <w:rPr>
          <w:rFonts w:cs="Arial"/>
          <w:sz w:val="26"/>
          <w:szCs w:val="26"/>
          <w:lang w:val="en-CA"/>
        </w:rPr>
        <w:t xml:space="preserve">inancial </w:t>
      </w:r>
      <w:r w:rsidR="003A7E64">
        <w:rPr>
          <w:rFonts w:cs="Arial"/>
          <w:sz w:val="26"/>
          <w:szCs w:val="26"/>
          <w:lang w:val="en-CA"/>
        </w:rPr>
        <w:t>c</w:t>
      </w:r>
      <w:r w:rsidR="00FC6A01" w:rsidRPr="00DE0932">
        <w:rPr>
          <w:rFonts w:cs="Arial"/>
          <w:sz w:val="26"/>
          <w:szCs w:val="26"/>
          <w:lang w:val="en-CA"/>
        </w:rPr>
        <w:t>ondition</w:t>
      </w:r>
    </w:p>
    <w:p w14:paraId="00D2E97E" w14:textId="2CBC503A" w:rsidR="000246CA" w:rsidRPr="00DE0932" w:rsidRDefault="000246CA" w:rsidP="00CD7E54">
      <w:pPr>
        <w:pStyle w:val="fstitle1"/>
        <w:ind w:left="1440"/>
        <w:rPr>
          <w:rFonts w:cs="Arial"/>
          <w:sz w:val="26"/>
          <w:szCs w:val="26"/>
          <w:lang w:val="en-CA"/>
        </w:rPr>
      </w:pPr>
      <w:r w:rsidRPr="00DE0932">
        <w:rPr>
          <w:rFonts w:cs="Arial"/>
          <w:sz w:val="26"/>
          <w:szCs w:val="26"/>
          <w:lang w:val="en-CA"/>
        </w:rPr>
        <w:t xml:space="preserve">and </w:t>
      </w:r>
      <w:r w:rsidR="003A7E64">
        <w:rPr>
          <w:rFonts w:cs="Arial"/>
          <w:sz w:val="26"/>
          <w:szCs w:val="26"/>
          <w:lang w:val="en-CA"/>
        </w:rPr>
        <w:t>r</w:t>
      </w:r>
      <w:r w:rsidRPr="00DE0932">
        <w:rPr>
          <w:rFonts w:cs="Arial"/>
          <w:sz w:val="26"/>
          <w:szCs w:val="26"/>
          <w:lang w:val="en-CA"/>
        </w:rPr>
        <w:t xml:space="preserve">esults of </w:t>
      </w:r>
      <w:r w:rsidR="003A7E64">
        <w:rPr>
          <w:rFonts w:cs="Arial"/>
          <w:sz w:val="26"/>
          <w:szCs w:val="26"/>
          <w:lang w:val="en-CA"/>
        </w:rPr>
        <w:t>o</w:t>
      </w:r>
      <w:r w:rsidRPr="00DE0932">
        <w:rPr>
          <w:rFonts w:cs="Arial"/>
          <w:sz w:val="26"/>
          <w:szCs w:val="26"/>
          <w:lang w:val="en-CA"/>
        </w:rPr>
        <w:t>perations of</w:t>
      </w:r>
    </w:p>
    <w:p w14:paraId="3654257F" w14:textId="77777777" w:rsidR="00CA3C16" w:rsidRPr="00DE0932" w:rsidRDefault="00CA3C16" w:rsidP="00CD7E54">
      <w:pPr>
        <w:pStyle w:val="fstitle1"/>
        <w:ind w:left="1440"/>
        <w:rPr>
          <w:rFonts w:cs="Arial"/>
          <w:sz w:val="26"/>
          <w:szCs w:val="26"/>
        </w:rPr>
      </w:pPr>
    </w:p>
    <w:p w14:paraId="552F3EBF" w14:textId="77777777" w:rsidR="00614E89" w:rsidRPr="00DE0932" w:rsidRDefault="00614E89" w:rsidP="00CD7E54">
      <w:pPr>
        <w:pStyle w:val="fstitle1"/>
        <w:rPr>
          <w:rFonts w:cs="Arial"/>
        </w:rPr>
      </w:pPr>
    </w:p>
    <w:p w14:paraId="108700E1" w14:textId="1F7A98E3" w:rsidR="00CA3C16" w:rsidRPr="00DE0932" w:rsidRDefault="00B90AE0" w:rsidP="00CD7E54">
      <w:pPr>
        <w:pStyle w:val="fstitle2"/>
        <w:ind w:left="1440" w:right="0"/>
        <w:rPr>
          <w:rFonts w:cs="Arial"/>
        </w:rPr>
      </w:pPr>
      <w:r>
        <w:rPr>
          <w:rFonts w:cs="Arial"/>
        </w:rPr>
        <w:t>KURE TECHNOLOGIES,</w:t>
      </w:r>
      <w:r w:rsidR="00CA3C16" w:rsidRPr="00DE0932">
        <w:rPr>
          <w:rFonts w:cs="Arial"/>
        </w:rPr>
        <w:t xml:space="preserve"> INC</w:t>
      </w:r>
      <w:r w:rsidR="0007423E" w:rsidRPr="00DE0932">
        <w:rPr>
          <w:rFonts w:cs="Arial"/>
        </w:rPr>
        <w:t>.</w:t>
      </w:r>
    </w:p>
    <w:p w14:paraId="263962E6" w14:textId="77777777" w:rsidR="00CA3C16" w:rsidRPr="00DE0932" w:rsidRDefault="00CA3C16" w:rsidP="00CD7E54">
      <w:pPr>
        <w:pStyle w:val="fstitle3"/>
        <w:ind w:hanging="360"/>
        <w:rPr>
          <w:rFonts w:cs="Arial"/>
          <w:b/>
          <w:bCs/>
          <w:sz w:val="24"/>
        </w:rPr>
      </w:pPr>
    </w:p>
    <w:p w14:paraId="0293DD03" w14:textId="77777777" w:rsidR="00CA3C16" w:rsidRPr="00DE0932" w:rsidRDefault="00CA3C16" w:rsidP="00CD7E54">
      <w:pPr>
        <w:pStyle w:val="fstitle1"/>
        <w:ind w:hanging="360"/>
        <w:rPr>
          <w:rFonts w:cs="Arial"/>
          <w:sz w:val="24"/>
        </w:rPr>
      </w:pPr>
    </w:p>
    <w:p w14:paraId="40909A5F" w14:textId="7B9CA7E3" w:rsidR="00B04BF6" w:rsidRPr="00DE0932" w:rsidRDefault="00BA2A2C" w:rsidP="00CD7E54">
      <w:pPr>
        <w:pStyle w:val="fstitle1"/>
        <w:ind w:left="1440"/>
        <w:rPr>
          <w:rFonts w:cs="Arial"/>
          <w:sz w:val="26"/>
          <w:szCs w:val="26"/>
        </w:rPr>
      </w:pPr>
      <w:r>
        <w:rPr>
          <w:rFonts w:cs="Arial"/>
          <w:sz w:val="26"/>
          <w:szCs w:val="26"/>
        </w:rPr>
        <w:t>Three months</w:t>
      </w:r>
      <w:r w:rsidR="00B55BAE">
        <w:rPr>
          <w:rFonts w:cs="Arial"/>
          <w:sz w:val="26"/>
          <w:szCs w:val="26"/>
        </w:rPr>
        <w:t xml:space="preserve"> ended</w:t>
      </w:r>
      <w:r>
        <w:rPr>
          <w:rFonts w:cs="Arial"/>
          <w:sz w:val="26"/>
          <w:szCs w:val="26"/>
        </w:rPr>
        <w:t xml:space="preserve"> November 30</w:t>
      </w:r>
      <w:r w:rsidR="00B73A8D">
        <w:rPr>
          <w:rFonts w:cs="Arial"/>
          <w:sz w:val="26"/>
          <w:szCs w:val="26"/>
        </w:rPr>
        <w:t>,</w:t>
      </w:r>
      <w:r w:rsidR="00AA5DB2">
        <w:rPr>
          <w:rFonts w:cs="Arial"/>
          <w:sz w:val="26"/>
          <w:szCs w:val="26"/>
        </w:rPr>
        <w:t xml:space="preserve"> </w:t>
      </w:r>
      <w:r w:rsidR="00B73A8D">
        <w:rPr>
          <w:rFonts w:cs="Arial"/>
          <w:sz w:val="26"/>
          <w:szCs w:val="26"/>
        </w:rPr>
        <w:t>2022 and 2021</w:t>
      </w:r>
    </w:p>
    <w:p w14:paraId="754D852B" w14:textId="77777777" w:rsidR="00CC5524" w:rsidRPr="00DE0932" w:rsidRDefault="00CC5524" w:rsidP="00CD7E54">
      <w:pPr>
        <w:pStyle w:val="fstitle1"/>
        <w:ind w:left="1440"/>
        <w:rPr>
          <w:rFonts w:cs="Arial"/>
          <w:sz w:val="26"/>
          <w:szCs w:val="26"/>
        </w:rPr>
      </w:pPr>
    </w:p>
    <w:p w14:paraId="7692BBC6" w14:textId="77777777" w:rsidR="00CA3C16" w:rsidRPr="00DE0932" w:rsidRDefault="00CA3C16" w:rsidP="00CD7E54">
      <w:pPr>
        <w:spacing w:line="280" w:lineRule="exact"/>
        <w:jc w:val="both"/>
        <w:rPr>
          <w:rFonts w:ascii="Arial" w:hAnsi="Arial" w:cs="Arial"/>
          <w:b/>
          <w:bCs/>
          <w:sz w:val="24"/>
          <w:szCs w:val="22"/>
        </w:rPr>
      </w:pPr>
    </w:p>
    <w:p w14:paraId="763A8F97" w14:textId="77777777" w:rsidR="005458B4" w:rsidRPr="00DE0932" w:rsidRDefault="005458B4" w:rsidP="00CD7E54">
      <w:pPr>
        <w:spacing w:line="280" w:lineRule="exact"/>
        <w:jc w:val="both"/>
        <w:rPr>
          <w:rFonts w:ascii="Arial" w:hAnsi="Arial" w:cs="Arial"/>
          <w:b/>
          <w:bCs/>
          <w:sz w:val="24"/>
          <w:szCs w:val="22"/>
        </w:rPr>
        <w:sectPr w:rsidR="005458B4" w:rsidRPr="00DE0932" w:rsidSect="005458B4">
          <w:headerReference w:type="default" r:id="rId9"/>
          <w:footerReference w:type="default" r:id="rId10"/>
          <w:footerReference w:type="first" r:id="rId11"/>
          <w:type w:val="continuous"/>
          <w:pgSz w:w="12240" w:h="15840" w:code="1"/>
          <w:pgMar w:top="1440" w:right="1440" w:bottom="720" w:left="1440" w:header="1440" w:footer="504" w:gutter="0"/>
          <w:cols w:space="720"/>
          <w:titlePg/>
        </w:sectPr>
      </w:pPr>
    </w:p>
    <w:p w14:paraId="3FA38D04" w14:textId="77777777" w:rsidR="00CA3C16" w:rsidRPr="00DE0932" w:rsidRDefault="00CA3C16" w:rsidP="00CD7E54">
      <w:pPr>
        <w:spacing w:line="280" w:lineRule="exact"/>
        <w:jc w:val="both"/>
        <w:rPr>
          <w:rFonts w:ascii="Arial" w:hAnsi="Arial" w:cs="Arial"/>
          <w:b/>
          <w:bCs/>
          <w:sz w:val="24"/>
          <w:szCs w:val="22"/>
        </w:rPr>
      </w:pPr>
    </w:p>
    <w:p w14:paraId="0065A15B" w14:textId="77777777" w:rsidR="00CA3C16" w:rsidRPr="00DE0932" w:rsidRDefault="00CA3C16" w:rsidP="00CD7E54">
      <w:pPr>
        <w:spacing w:line="280" w:lineRule="exact"/>
        <w:jc w:val="both"/>
        <w:rPr>
          <w:rFonts w:ascii="Arial" w:hAnsi="Arial" w:cs="Arial"/>
          <w:b/>
          <w:bCs/>
          <w:sz w:val="24"/>
          <w:szCs w:val="22"/>
        </w:rPr>
      </w:pPr>
    </w:p>
    <w:p w14:paraId="4978D83C" w14:textId="74C6C06A" w:rsidR="00CA3C16" w:rsidRPr="00DE0932" w:rsidRDefault="00CA3C16" w:rsidP="00CD7E54">
      <w:pPr>
        <w:pStyle w:val="NormalWeb"/>
        <w:spacing w:before="0" w:beforeAutospacing="0" w:after="0" w:afterAutospacing="0"/>
        <w:jc w:val="both"/>
        <w:rPr>
          <w:rFonts w:cs="Arial"/>
          <w:b/>
          <w:sz w:val="24"/>
          <w:szCs w:val="24"/>
        </w:rPr>
      </w:pPr>
      <w:r w:rsidRPr="00DE0932">
        <w:rPr>
          <w:rFonts w:eastAsia="Times New Roman" w:cs="Arial"/>
        </w:rPr>
        <w:br w:type="page"/>
      </w:r>
      <w:r w:rsidR="00B90AE0">
        <w:rPr>
          <w:rFonts w:cs="Arial"/>
          <w:b/>
          <w:sz w:val="24"/>
          <w:szCs w:val="24"/>
        </w:rPr>
        <w:lastRenderedPageBreak/>
        <w:t>KURE TECHNOLOGIES,</w:t>
      </w:r>
      <w:r w:rsidRPr="00DE0932">
        <w:rPr>
          <w:rFonts w:cs="Arial"/>
          <w:b/>
          <w:sz w:val="24"/>
          <w:szCs w:val="24"/>
        </w:rPr>
        <w:t xml:space="preserve"> INC</w:t>
      </w:r>
      <w:r w:rsidR="0007423E" w:rsidRPr="00DE0932">
        <w:rPr>
          <w:rFonts w:cs="Arial"/>
          <w:b/>
          <w:sz w:val="24"/>
          <w:szCs w:val="24"/>
        </w:rPr>
        <w:t>.</w:t>
      </w:r>
    </w:p>
    <w:p w14:paraId="3C0C4C90" w14:textId="77777777" w:rsidR="005F6A32" w:rsidRPr="00DE0932" w:rsidRDefault="005F6A32" w:rsidP="00CD7E54">
      <w:pPr>
        <w:spacing w:line="280" w:lineRule="exact"/>
        <w:jc w:val="both"/>
        <w:rPr>
          <w:rFonts w:ascii="Arial" w:hAnsi="Arial" w:cs="Arial"/>
          <w:b/>
          <w:sz w:val="20"/>
        </w:rPr>
      </w:pPr>
    </w:p>
    <w:p w14:paraId="3EE21730" w14:textId="77777777" w:rsidR="00CA3C16" w:rsidRPr="00DE0932" w:rsidRDefault="00CA3C16" w:rsidP="00CD7E54">
      <w:pPr>
        <w:spacing w:line="280" w:lineRule="exact"/>
        <w:jc w:val="both"/>
        <w:rPr>
          <w:rFonts w:ascii="Arial" w:hAnsi="Arial" w:cs="Arial"/>
          <w:b/>
          <w:sz w:val="20"/>
        </w:rPr>
      </w:pPr>
      <w:r w:rsidRPr="00DE0932">
        <w:rPr>
          <w:rFonts w:ascii="Arial" w:hAnsi="Arial" w:cs="Arial"/>
          <w:b/>
          <w:sz w:val="20"/>
        </w:rPr>
        <w:t>MANAGEMENT’S DISCUSSION AND ANALYSIS</w:t>
      </w:r>
    </w:p>
    <w:p w14:paraId="02A07557" w14:textId="09E398C6" w:rsidR="00C94382" w:rsidRPr="00DE0932" w:rsidRDefault="00C94382" w:rsidP="00CD7E54">
      <w:pPr>
        <w:pStyle w:val="bn"/>
        <w:overflowPunct/>
        <w:autoSpaceDE/>
        <w:autoSpaceDN/>
        <w:adjustRightInd/>
        <w:spacing w:before="0" w:line="280" w:lineRule="exact"/>
        <w:textAlignment w:val="auto"/>
        <w:rPr>
          <w:rFonts w:cs="Arial"/>
          <w:b/>
          <w:lang w:val="en-US"/>
        </w:rPr>
      </w:pPr>
      <w:r w:rsidRPr="00DE0932">
        <w:rPr>
          <w:rFonts w:cs="Arial"/>
          <w:b/>
          <w:lang w:val="en-US"/>
        </w:rPr>
        <w:t xml:space="preserve">of </w:t>
      </w:r>
      <w:r w:rsidR="00583ADE" w:rsidRPr="00DE0932">
        <w:rPr>
          <w:rFonts w:cs="Arial"/>
          <w:b/>
          <w:lang w:val="en-US"/>
        </w:rPr>
        <w:t xml:space="preserve">the </w:t>
      </w:r>
      <w:r w:rsidR="00D96025">
        <w:rPr>
          <w:rFonts w:cs="Arial"/>
          <w:b/>
          <w:lang w:val="en-US"/>
        </w:rPr>
        <w:t>f</w:t>
      </w:r>
      <w:r w:rsidRPr="00DE0932">
        <w:rPr>
          <w:rFonts w:cs="Arial"/>
          <w:b/>
          <w:lang w:val="en-US"/>
        </w:rPr>
        <w:t xml:space="preserve">inancial </w:t>
      </w:r>
      <w:r w:rsidR="00D96025">
        <w:rPr>
          <w:rFonts w:cs="Arial"/>
          <w:b/>
          <w:lang w:val="en-US"/>
        </w:rPr>
        <w:t>c</w:t>
      </w:r>
      <w:r w:rsidRPr="00DE0932">
        <w:rPr>
          <w:rFonts w:cs="Arial"/>
          <w:b/>
          <w:lang w:val="en-US"/>
        </w:rPr>
        <w:t xml:space="preserve">ondition and </w:t>
      </w:r>
      <w:r w:rsidR="00D96025">
        <w:rPr>
          <w:rFonts w:cs="Arial"/>
          <w:b/>
          <w:lang w:val="en-US"/>
        </w:rPr>
        <w:t>r</w:t>
      </w:r>
      <w:r w:rsidRPr="00DE0932">
        <w:rPr>
          <w:rFonts w:cs="Arial"/>
          <w:b/>
          <w:lang w:val="en-US"/>
        </w:rPr>
        <w:t xml:space="preserve">esults of </w:t>
      </w:r>
      <w:r w:rsidR="00D96025">
        <w:rPr>
          <w:rFonts w:cs="Arial"/>
          <w:b/>
          <w:lang w:val="en-US"/>
        </w:rPr>
        <w:t>o</w:t>
      </w:r>
      <w:r w:rsidRPr="00DE0932">
        <w:rPr>
          <w:rFonts w:cs="Arial"/>
          <w:b/>
          <w:lang w:val="en-US"/>
        </w:rPr>
        <w:t>perations</w:t>
      </w:r>
    </w:p>
    <w:p w14:paraId="60C24978" w14:textId="77777777" w:rsidR="00CA3C16" w:rsidRPr="00DE0932" w:rsidRDefault="000B0B8F" w:rsidP="00CD7E54">
      <w:pPr>
        <w:pStyle w:val="bn"/>
        <w:overflowPunct/>
        <w:autoSpaceDE/>
        <w:autoSpaceDN/>
        <w:adjustRightInd/>
        <w:spacing w:before="0" w:line="280" w:lineRule="exact"/>
        <w:textAlignment w:val="auto"/>
        <w:rPr>
          <w:rFonts w:cs="Arial"/>
          <w:lang w:val="en-US"/>
        </w:rPr>
      </w:pPr>
      <w:r w:rsidRPr="00DE0932">
        <w:rPr>
          <w:rFonts w:cs="Arial"/>
          <w:lang w:val="en-US"/>
        </w:rPr>
        <w:t>(I</w:t>
      </w:r>
      <w:r w:rsidR="00CA3C16" w:rsidRPr="00DE0932">
        <w:rPr>
          <w:rFonts w:cs="Arial"/>
          <w:lang w:val="en-US"/>
        </w:rPr>
        <w:t>n thousands</w:t>
      </w:r>
      <w:r w:rsidR="001B02A0" w:rsidRPr="00DE0932">
        <w:rPr>
          <w:rFonts w:cs="Arial"/>
          <w:lang w:val="en-US"/>
        </w:rPr>
        <w:t>, except</w:t>
      </w:r>
      <w:r w:rsidR="009737EA" w:rsidRPr="00DE0932">
        <w:rPr>
          <w:rFonts w:cs="Arial"/>
          <w:lang w:val="en-US"/>
        </w:rPr>
        <w:t xml:space="preserve"> </w:t>
      </w:r>
      <w:r w:rsidR="000973A6">
        <w:rPr>
          <w:rFonts w:cs="Arial"/>
          <w:lang w:val="en-US"/>
        </w:rPr>
        <w:t xml:space="preserve">shares and </w:t>
      </w:r>
      <w:r w:rsidR="00CA3C16" w:rsidRPr="00DE0932">
        <w:rPr>
          <w:rFonts w:cs="Arial"/>
          <w:lang w:val="en-US"/>
        </w:rPr>
        <w:t xml:space="preserve">per share </w:t>
      </w:r>
      <w:r w:rsidR="009737EA" w:rsidRPr="00DE0932">
        <w:rPr>
          <w:rFonts w:cs="Arial"/>
          <w:lang w:val="en-US"/>
        </w:rPr>
        <w:t>amounts)</w:t>
      </w:r>
    </w:p>
    <w:p w14:paraId="188969A6" w14:textId="43201040" w:rsidR="002F51B0" w:rsidRPr="00DE0932" w:rsidRDefault="008F390E" w:rsidP="00CD7E54">
      <w:pPr>
        <w:pStyle w:val="bn"/>
        <w:overflowPunct/>
        <w:autoSpaceDE/>
        <w:autoSpaceDN/>
        <w:adjustRightInd/>
        <w:spacing w:before="0" w:line="280" w:lineRule="exact"/>
        <w:textAlignment w:val="auto"/>
        <w:rPr>
          <w:rFonts w:cs="Arial"/>
          <w:szCs w:val="24"/>
          <w:lang w:val="en-US"/>
        </w:rPr>
      </w:pPr>
      <w:r>
        <w:rPr>
          <w:rFonts w:cs="Arial"/>
          <w:szCs w:val="24"/>
          <w:lang w:val="en-US"/>
        </w:rPr>
        <w:t xml:space="preserve">For the </w:t>
      </w:r>
      <w:r w:rsidR="00BA2A2C">
        <w:rPr>
          <w:rFonts w:cs="Arial"/>
          <w:szCs w:val="24"/>
          <w:lang w:val="en-US"/>
        </w:rPr>
        <w:t>three months ended November 30</w:t>
      </w:r>
      <w:r w:rsidR="00B73A8D">
        <w:rPr>
          <w:rFonts w:cs="Arial"/>
          <w:szCs w:val="24"/>
          <w:lang w:val="en-US"/>
        </w:rPr>
        <w:t>,</w:t>
      </w:r>
      <w:r w:rsidR="00B14D59">
        <w:rPr>
          <w:rFonts w:cs="Arial"/>
          <w:szCs w:val="24"/>
          <w:lang w:val="en-US"/>
        </w:rPr>
        <w:t xml:space="preserve"> </w:t>
      </w:r>
      <w:r w:rsidR="00B73A8D">
        <w:rPr>
          <w:rFonts w:cs="Arial"/>
          <w:szCs w:val="24"/>
          <w:lang w:val="en-US"/>
        </w:rPr>
        <w:t>2022 and 2021</w:t>
      </w:r>
    </w:p>
    <w:p w14:paraId="6AA6C2BE" w14:textId="30DDB3BF" w:rsidR="00CA3C16" w:rsidRDefault="00CA3C16" w:rsidP="00CD7E54">
      <w:pPr>
        <w:pStyle w:val="bn"/>
        <w:overflowPunct/>
        <w:autoSpaceDE/>
        <w:autoSpaceDN/>
        <w:adjustRightInd/>
        <w:spacing w:before="0" w:line="280" w:lineRule="exact"/>
        <w:textAlignment w:val="auto"/>
        <w:rPr>
          <w:rFonts w:cs="Arial"/>
          <w:lang w:val="en-US"/>
        </w:rPr>
      </w:pPr>
    </w:p>
    <w:p w14:paraId="7061B679" w14:textId="77777777" w:rsidR="00464A59" w:rsidRDefault="00464A59" w:rsidP="00CD7E54">
      <w:pPr>
        <w:pStyle w:val="bn"/>
        <w:overflowPunct/>
        <w:autoSpaceDE/>
        <w:autoSpaceDN/>
        <w:adjustRightInd/>
        <w:spacing w:before="0" w:line="280" w:lineRule="exact"/>
        <w:textAlignment w:val="auto"/>
        <w:rPr>
          <w:rFonts w:cs="Arial"/>
          <w:lang w:val="en-US"/>
        </w:rPr>
      </w:pPr>
    </w:p>
    <w:p w14:paraId="1A89F121" w14:textId="47B0ADC0" w:rsidR="00CA3C16" w:rsidRPr="00DE0932" w:rsidRDefault="00DA54E0" w:rsidP="00CD7E54">
      <w:pPr>
        <w:pStyle w:val="bn"/>
        <w:overflowPunct/>
        <w:autoSpaceDE/>
        <w:autoSpaceDN/>
        <w:adjustRightInd/>
        <w:spacing w:before="0" w:line="280" w:lineRule="exact"/>
        <w:textAlignment w:val="auto"/>
        <w:rPr>
          <w:rFonts w:cs="Arial"/>
          <w:lang w:val="en-US"/>
        </w:rPr>
      </w:pPr>
      <w:r>
        <w:rPr>
          <w:rFonts w:cs="Arial"/>
          <w:lang w:val="en-US"/>
        </w:rPr>
        <w:t>January</w:t>
      </w:r>
      <w:r w:rsidR="00B55BAE">
        <w:rPr>
          <w:rFonts w:cs="Arial"/>
          <w:lang w:val="en-US"/>
        </w:rPr>
        <w:t xml:space="preserve"> </w:t>
      </w:r>
      <w:r w:rsidR="00964EB3">
        <w:rPr>
          <w:rFonts w:cs="Arial"/>
          <w:lang w:val="en-US"/>
        </w:rPr>
        <w:t>31</w:t>
      </w:r>
      <w:r w:rsidR="00065165">
        <w:rPr>
          <w:rFonts w:cs="Arial"/>
          <w:lang w:val="en-US"/>
        </w:rPr>
        <w:t>, 202</w:t>
      </w:r>
      <w:r>
        <w:rPr>
          <w:rFonts w:cs="Arial"/>
          <w:lang w:val="en-US"/>
        </w:rPr>
        <w:t>3</w:t>
      </w:r>
    </w:p>
    <w:p w14:paraId="38F44D5D" w14:textId="77777777" w:rsidR="00FF3C62" w:rsidRPr="00DE0932" w:rsidRDefault="00FF3C62" w:rsidP="00CD7E54">
      <w:pPr>
        <w:pStyle w:val="bn"/>
        <w:overflowPunct/>
        <w:autoSpaceDE/>
        <w:autoSpaceDN/>
        <w:adjustRightInd/>
        <w:spacing w:before="0" w:line="280" w:lineRule="exact"/>
        <w:textAlignment w:val="auto"/>
        <w:rPr>
          <w:rFonts w:cs="Arial"/>
          <w:lang w:val="en-US"/>
        </w:rPr>
      </w:pPr>
    </w:p>
    <w:p w14:paraId="0F48C27A" w14:textId="77777777" w:rsidR="00CA3C16" w:rsidRPr="00DE0932" w:rsidRDefault="00CA3C16" w:rsidP="00CD7E54">
      <w:pPr>
        <w:numPr>
          <w:ilvl w:val="0"/>
          <w:numId w:val="1"/>
        </w:numPr>
        <w:tabs>
          <w:tab w:val="clear" w:pos="900"/>
          <w:tab w:val="num" w:pos="-3060"/>
        </w:tabs>
        <w:spacing w:line="276" w:lineRule="auto"/>
        <w:ind w:left="360" w:hanging="360"/>
        <w:jc w:val="both"/>
        <w:rPr>
          <w:rFonts w:ascii="Arial" w:hAnsi="Arial" w:cs="Arial"/>
          <w:b/>
          <w:sz w:val="20"/>
        </w:rPr>
      </w:pPr>
      <w:r w:rsidRPr="00DE0932">
        <w:rPr>
          <w:rFonts w:ascii="Arial" w:hAnsi="Arial" w:cs="Arial"/>
          <w:b/>
          <w:sz w:val="20"/>
        </w:rPr>
        <w:t>INTRODUCTION</w:t>
      </w:r>
    </w:p>
    <w:p w14:paraId="7559860D" w14:textId="77777777" w:rsidR="00C039AA" w:rsidRPr="00DE0932" w:rsidRDefault="00C039AA" w:rsidP="00CD7E54">
      <w:pPr>
        <w:spacing w:line="276" w:lineRule="auto"/>
        <w:jc w:val="both"/>
        <w:rPr>
          <w:rFonts w:ascii="Arial" w:hAnsi="Arial" w:cs="Arial"/>
          <w:b/>
          <w:sz w:val="20"/>
        </w:rPr>
      </w:pPr>
    </w:p>
    <w:p w14:paraId="0678A8B9" w14:textId="66DC1F64" w:rsidR="008608B6" w:rsidRPr="00DE0932" w:rsidRDefault="008608B6" w:rsidP="008608B6">
      <w:pPr>
        <w:pStyle w:val="BodyText"/>
        <w:spacing w:before="0" w:beforeAutospacing="0" w:after="0" w:afterAutospacing="0" w:line="276" w:lineRule="auto"/>
        <w:jc w:val="both"/>
        <w:rPr>
          <w:rFonts w:cs="Arial"/>
        </w:rPr>
      </w:pPr>
      <w:r w:rsidRPr="00DE0932">
        <w:rPr>
          <w:rFonts w:cs="Arial"/>
        </w:rPr>
        <w:t>This management’s discussion and analysis (“MD&amp;A”) of</w:t>
      </w:r>
      <w:r w:rsidR="00EB466D">
        <w:rPr>
          <w:rFonts w:cs="Arial"/>
        </w:rPr>
        <w:t xml:space="preserve"> the</w:t>
      </w:r>
      <w:r w:rsidRPr="00DE0932">
        <w:rPr>
          <w:rFonts w:cs="Arial"/>
        </w:rPr>
        <w:t xml:space="preserve"> financial condition and result of operations of </w:t>
      </w:r>
      <w:r w:rsidR="004236A9">
        <w:rPr>
          <w:rFonts w:cs="Arial"/>
        </w:rPr>
        <w:br/>
      </w:r>
      <w:r w:rsidR="00B90AE0">
        <w:rPr>
          <w:rFonts w:cs="Arial"/>
        </w:rPr>
        <w:t>Kure Technologies,</w:t>
      </w:r>
      <w:r w:rsidRPr="00DE0932">
        <w:rPr>
          <w:rFonts w:cs="Arial"/>
        </w:rPr>
        <w:t xml:space="preserve"> Inc. (“</w:t>
      </w:r>
      <w:r w:rsidR="00B90AE0">
        <w:rPr>
          <w:rFonts w:cs="Arial"/>
        </w:rPr>
        <w:t>Kure</w:t>
      </w:r>
      <w:r w:rsidRPr="00DE0932">
        <w:rPr>
          <w:rFonts w:cs="Arial"/>
        </w:rPr>
        <w:t>” or “the Company”) is supplementary to and should be read in conjunction with the Company’s</w:t>
      </w:r>
      <w:r w:rsidR="003B508F">
        <w:rPr>
          <w:rFonts w:cs="Arial"/>
        </w:rPr>
        <w:t xml:space="preserve"> </w:t>
      </w:r>
      <w:r w:rsidR="00964EB3">
        <w:rPr>
          <w:rFonts w:cs="Arial"/>
        </w:rPr>
        <w:t xml:space="preserve">unaudited condensed </w:t>
      </w:r>
      <w:r w:rsidR="00AE4A8A">
        <w:rPr>
          <w:rFonts w:cs="Arial"/>
        </w:rPr>
        <w:t>consolidated</w:t>
      </w:r>
      <w:r w:rsidR="008F7000">
        <w:rPr>
          <w:rFonts w:cs="Arial"/>
        </w:rPr>
        <w:t xml:space="preserve"> interim</w:t>
      </w:r>
      <w:r w:rsidR="00B66EDC">
        <w:rPr>
          <w:rFonts w:cs="Arial"/>
        </w:rPr>
        <w:t xml:space="preserve"> </w:t>
      </w:r>
      <w:r w:rsidRPr="00DE0932">
        <w:rPr>
          <w:rFonts w:cs="Arial"/>
        </w:rPr>
        <w:t xml:space="preserve">financial statements </w:t>
      </w:r>
      <w:r w:rsidR="008F390E">
        <w:rPr>
          <w:rFonts w:cs="Arial"/>
        </w:rPr>
        <w:t xml:space="preserve">for the </w:t>
      </w:r>
      <w:r w:rsidR="00BA2A2C">
        <w:rPr>
          <w:rFonts w:cs="Arial"/>
        </w:rPr>
        <w:t>three months ended November 30</w:t>
      </w:r>
      <w:r w:rsidR="00B73A8D">
        <w:rPr>
          <w:rFonts w:cs="Arial"/>
        </w:rPr>
        <w:t>,</w:t>
      </w:r>
      <w:r w:rsidR="00B14D59">
        <w:rPr>
          <w:rFonts w:cs="Arial"/>
        </w:rPr>
        <w:t xml:space="preserve"> </w:t>
      </w:r>
      <w:r w:rsidR="00B73A8D">
        <w:rPr>
          <w:rFonts w:cs="Arial"/>
        </w:rPr>
        <w:t>2022 and 2021</w:t>
      </w:r>
      <w:r w:rsidRPr="00DE0932">
        <w:rPr>
          <w:rFonts w:cs="Arial"/>
        </w:rPr>
        <w:t>.</w:t>
      </w:r>
    </w:p>
    <w:p w14:paraId="5DED6865" w14:textId="77777777" w:rsidR="008608B6" w:rsidRDefault="008608B6" w:rsidP="00CD7E54">
      <w:pPr>
        <w:autoSpaceDE w:val="0"/>
        <w:autoSpaceDN w:val="0"/>
        <w:adjustRightInd w:val="0"/>
        <w:spacing w:line="276" w:lineRule="auto"/>
        <w:jc w:val="both"/>
        <w:rPr>
          <w:rFonts w:ascii="Arial" w:hAnsi="Arial" w:cs="Arial"/>
          <w:sz w:val="20"/>
        </w:rPr>
      </w:pPr>
    </w:p>
    <w:p w14:paraId="77CAC474" w14:textId="63DD951C" w:rsidR="00B712BC" w:rsidRPr="00DE0932" w:rsidRDefault="00B712BC" w:rsidP="00CD7E54">
      <w:pPr>
        <w:autoSpaceDE w:val="0"/>
        <w:autoSpaceDN w:val="0"/>
        <w:adjustRightInd w:val="0"/>
        <w:spacing w:line="276" w:lineRule="auto"/>
        <w:jc w:val="both"/>
        <w:rPr>
          <w:rFonts w:ascii="Arial" w:hAnsi="Arial" w:cs="Arial"/>
          <w:sz w:val="20"/>
        </w:rPr>
      </w:pPr>
      <w:r w:rsidRPr="00DE0932">
        <w:rPr>
          <w:rFonts w:ascii="Arial" w:hAnsi="Arial" w:cs="Arial"/>
          <w:sz w:val="20"/>
        </w:rPr>
        <w:t xml:space="preserve">The Company’s </w:t>
      </w:r>
      <w:r w:rsidR="008F7000">
        <w:rPr>
          <w:rFonts w:ascii="Arial" w:hAnsi="Arial" w:cs="Arial"/>
          <w:sz w:val="20"/>
        </w:rPr>
        <w:t xml:space="preserve">unaudited condensed </w:t>
      </w:r>
      <w:r w:rsidR="00AE4A8A">
        <w:rPr>
          <w:rFonts w:ascii="Arial" w:hAnsi="Arial" w:cs="Arial"/>
          <w:sz w:val="20"/>
        </w:rPr>
        <w:t>consolidated</w:t>
      </w:r>
      <w:r w:rsidR="008F7000">
        <w:rPr>
          <w:rFonts w:ascii="Arial" w:hAnsi="Arial" w:cs="Arial"/>
          <w:sz w:val="20"/>
        </w:rPr>
        <w:t xml:space="preserve"> interim</w:t>
      </w:r>
      <w:r w:rsidR="00144353">
        <w:rPr>
          <w:rFonts w:ascii="Arial" w:hAnsi="Arial" w:cs="Arial"/>
          <w:sz w:val="20"/>
        </w:rPr>
        <w:t xml:space="preserve"> </w:t>
      </w:r>
      <w:r w:rsidR="00D84EF5" w:rsidRPr="00DE0932">
        <w:rPr>
          <w:rFonts w:ascii="Arial" w:hAnsi="Arial" w:cs="Arial"/>
          <w:sz w:val="20"/>
        </w:rPr>
        <w:t>financial</w:t>
      </w:r>
      <w:r w:rsidRPr="00DE0932">
        <w:rPr>
          <w:rFonts w:ascii="Arial" w:hAnsi="Arial" w:cs="Arial"/>
          <w:sz w:val="20"/>
        </w:rPr>
        <w:t xml:space="preserve"> statements and the notes thereto have been prepared </w:t>
      </w:r>
      <w:proofErr w:type="gramStart"/>
      <w:r w:rsidR="0069529A" w:rsidRPr="00DE0932">
        <w:rPr>
          <w:rFonts w:ascii="Arial" w:hAnsi="Arial" w:cs="Arial"/>
          <w:sz w:val="20"/>
        </w:rPr>
        <w:t>on the basis of</w:t>
      </w:r>
      <w:proofErr w:type="gramEnd"/>
      <w:r w:rsidR="0069529A" w:rsidRPr="00DE0932">
        <w:rPr>
          <w:rFonts w:ascii="Arial" w:hAnsi="Arial" w:cs="Arial"/>
          <w:sz w:val="20"/>
        </w:rPr>
        <w:t xml:space="preserve"> accounting principles applicable to a going concern. This assumes that the Company will operate for the foreseeable future and will be able to realize its assets and discharge its liabilities in the normal course of operations. Accordingly, they do not give effect to adjustments that would be necessary should the Company be unable to continue as a going concern and therefore be required to realize its assets and liquidate its liabilities, other than in the normal course of business and at amounts different from those in the financial statements</w:t>
      </w:r>
      <w:r w:rsidR="00145723" w:rsidRPr="00DE0932">
        <w:rPr>
          <w:rFonts w:ascii="Arial" w:hAnsi="Arial" w:cs="Arial"/>
          <w:sz w:val="20"/>
        </w:rPr>
        <w:t>.</w:t>
      </w:r>
    </w:p>
    <w:p w14:paraId="38DF8735" w14:textId="77777777" w:rsidR="004E0942" w:rsidRPr="00DE0932" w:rsidRDefault="004E0942" w:rsidP="00CD7E54">
      <w:pPr>
        <w:pStyle w:val="bn1"/>
        <w:spacing w:before="0" w:line="276" w:lineRule="auto"/>
        <w:ind w:left="900"/>
        <w:rPr>
          <w:rFonts w:cs="Arial"/>
          <w:color w:val="000000"/>
        </w:rPr>
      </w:pPr>
    </w:p>
    <w:p w14:paraId="7252D9D6" w14:textId="63B621AC" w:rsidR="00E64BA4" w:rsidRPr="00DE0932" w:rsidRDefault="00CA3C16" w:rsidP="00CD7E54">
      <w:pPr>
        <w:spacing w:line="276" w:lineRule="auto"/>
        <w:jc w:val="both"/>
        <w:rPr>
          <w:rFonts w:ascii="Arial" w:hAnsi="Arial" w:cs="Arial"/>
          <w:sz w:val="20"/>
        </w:rPr>
      </w:pPr>
      <w:r w:rsidRPr="00DE0932">
        <w:rPr>
          <w:rFonts w:ascii="Arial" w:hAnsi="Arial" w:cs="Arial"/>
          <w:sz w:val="20"/>
        </w:rPr>
        <w:t>Unless specifically stated, the references to “</w:t>
      </w:r>
      <w:r w:rsidR="00B90AE0">
        <w:rPr>
          <w:rFonts w:ascii="Arial" w:hAnsi="Arial" w:cs="Arial"/>
          <w:sz w:val="20"/>
        </w:rPr>
        <w:t>Kure</w:t>
      </w:r>
      <w:r w:rsidRPr="00DE0932">
        <w:rPr>
          <w:rFonts w:ascii="Arial" w:hAnsi="Arial" w:cs="Arial"/>
          <w:sz w:val="20"/>
        </w:rPr>
        <w:t>”</w:t>
      </w:r>
      <w:r w:rsidR="0069529A" w:rsidRPr="00DE0932">
        <w:rPr>
          <w:rFonts w:ascii="Arial" w:hAnsi="Arial" w:cs="Arial"/>
          <w:sz w:val="20"/>
        </w:rPr>
        <w:t xml:space="preserve"> or “the Company” </w:t>
      </w:r>
      <w:r w:rsidRPr="00DE0932">
        <w:rPr>
          <w:rFonts w:ascii="Arial" w:hAnsi="Arial" w:cs="Arial"/>
          <w:sz w:val="20"/>
        </w:rPr>
        <w:t xml:space="preserve">include </w:t>
      </w:r>
      <w:r w:rsidR="000E1644" w:rsidRPr="00DE0932">
        <w:rPr>
          <w:rFonts w:ascii="Arial" w:hAnsi="Arial" w:cs="Arial"/>
          <w:sz w:val="20"/>
        </w:rPr>
        <w:t xml:space="preserve">the legal entity </w:t>
      </w:r>
      <w:r w:rsidR="00B90AE0">
        <w:rPr>
          <w:rFonts w:ascii="Arial" w:hAnsi="Arial" w:cs="Arial"/>
          <w:sz w:val="20"/>
        </w:rPr>
        <w:t>Kure Technologies,</w:t>
      </w:r>
      <w:r w:rsidRPr="00DE0932">
        <w:rPr>
          <w:rFonts w:ascii="Arial" w:hAnsi="Arial" w:cs="Arial"/>
          <w:sz w:val="20"/>
        </w:rPr>
        <w:t xml:space="preserve"> Inc. and its wholly</w:t>
      </w:r>
      <w:r w:rsidR="0084312E" w:rsidRPr="00DE0932">
        <w:rPr>
          <w:rFonts w:ascii="Arial" w:hAnsi="Arial" w:cs="Arial"/>
          <w:sz w:val="20"/>
        </w:rPr>
        <w:t>-</w:t>
      </w:r>
      <w:r w:rsidR="00A03D82" w:rsidRPr="00DE0932">
        <w:rPr>
          <w:rFonts w:ascii="Arial" w:hAnsi="Arial" w:cs="Arial"/>
          <w:sz w:val="20"/>
        </w:rPr>
        <w:t xml:space="preserve">owned subsidiary, </w:t>
      </w:r>
      <w:r w:rsidR="00B90AE0">
        <w:rPr>
          <w:rFonts w:ascii="Arial" w:hAnsi="Arial" w:cs="Arial"/>
          <w:sz w:val="20"/>
        </w:rPr>
        <w:t>UBS</w:t>
      </w:r>
      <w:r w:rsidR="00A03D82" w:rsidRPr="00DE0932">
        <w:rPr>
          <w:rFonts w:ascii="Arial" w:hAnsi="Arial" w:cs="Arial"/>
          <w:sz w:val="20"/>
        </w:rPr>
        <w:t xml:space="preserve"> Wireless</w:t>
      </w:r>
      <w:r w:rsidR="0069529A" w:rsidRPr="00DE0932">
        <w:rPr>
          <w:rFonts w:ascii="Arial" w:hAnsi="Arial" w:cs="Arial"/>
          <w:sz w:val="20"/>
        </w:rPr>
        <w:t xml:space="preserve"> Services Inc. (“</w:t>
      </w:r>
      <w:r w:rsidR="00B90AE0">
        <w:rPr>
          <w:rFonts w:ascii="Arial" w:hAnsi="Arial" w:cs="Arial"/>
          <w:sz w:val="20"/>
        </w:rPr>
        <w:t>UBS Wireless</w:t>
      </w:r>
      <w:r w:rsidR="0069529A" w:rsidRPr="00DE0932">
        <w:rPr>
          <w:rFonts w:ascii="Arial" w:hAnsi="Arial" w:cs="Arial"/>
          <w:sz w:val="20"/>
        </w:rPr>
        <w:t>”)</w:t>
      </w:r>
      <w:r w:rsidRPr="00DE0932">
        <w:rPr>
          <w:rFonts w:ascii="Arial" w:hAnsi="Arial" w:cs="Arial"/>
          <w:sz w:val="20"/>
        </w:rPr>
        <w:t>.</w:t>
      </w:r>
    </w:p>
    <w:p w14:paraId="6F7BE1EC" w14:textId="77777777" w:rsidR="00E64BA4" w:rsidRPr="00DE0932" w:rsidRDefault="00E64BA4" w:rsidP="00CD7E54">
      <w:pPr>
        <w:spacing w:line="276" w:lineRule="auto"/>
        <w:jc w:val="both"/>
        <w:rPr>
          <w:rFonts w:ascii="Arial" w:hAnsi="Arial" w:cs="Arial"/>
          <w:sz w:val="20"/>
        </w:rPr>
      </w:pPr>
    </w:p>
    <w:p w14:paraId="1120113B" w14:textId="3A3C21CF" w:rsidR="00CA3C16" w:rsidRPr="00DE0932" w:rsidRDefault="00C72FE4" w:rsidP="00CD7E54">
      <w:pPr>
        <w:pStyle w:val="Heading4"/>
        <w:spacing w:line="276" w:lineRule="auto"/>
        <w:ind w:left="360" w:hanging="360"/>
        <w:jc w:val="both"/>
        <w:rPr>
          <w:lang w:val="en-US"/>
        </w:rPr>
      </w:pPr>
      <w:r>
        <w:rPr>
          <w:lang w:val="en-US"/>
        </w:rPr>
        <w:t>2</w:t>
      </w:r>
      <w:r w:rsidR="00CA5CC1" w:rsidRPr="00DE0932">
        <w:rPr>
          <w:lang w:val="en-US"/>
        </w:rPr>
        <w:t>.</w:t>
      </w:r>
      <w:r w:rsidR="00CA5CC1" w:rsidRPr="00DE0932">
        <w:rPr>
          <w:lang w:val="en-US"/>
        </w:rPr>
        <w:tab/>
      </w:r>
      <w:r w:rsidR="00CA3C16" w:rsidRPr="00DE0932">
        <w:rPr>
          <w:lang w:val="en-US"/>
        </w:rPr>
        <w:t>CAUTION REGARDING FORWARD</w:t>
      </w:r>
      <w:r w:rsidR="00326105" w:rsidRPr="00DE0932">
        <w:rPr>
          <w:lang w:val="en-US"/>
        </w:rPr>
        <w:t>-</w:t>
      </w:r>
      <w:r w:rsidR="00CA3C16" w:rsidRPr="00DE0932">
        <w:rPr>
          <w:lang w:val="en-US"/>
        </w:rPr>
        <w:t>LOOKING STATEMENTS</w:t>
      </w:r>
    </w:p>
    <w:p w14:paraId="1641B211" w14:textId="77777777" w:rsidR="00C039AA" w:rsidRPr="00DE0932" w:rsidRDefault="00C039AA" w:rsidP="00CD7E54">
      <w:pPr>
        <w:pStyle w:val="Style13"/>
        <w:spacing w:line="276" w:lineRule="auto"/>
        <w:ind w:right="0"/>
        <w:rPr>
          <w:rFonts w:ascii="Arial" w:hAnsi="Arial" w:cs="Arial"/>
          <w:sz w:val="20"/>
          <w:szCs w:val="20"/>
        </w:rPr>
      </w:pPr>
    </w:p>
    <w:p w14:paraId="71590167" w14:textId="77777777" w:rsidR="002B2663" w:rsidRPr="00DE0932" w:rsidRDefault="00976CE6" w:rsidP="00CD7E54">
      <w:pPr>
        <w:pStyle w:val="Style13"/>
        <w:spacing w:line="276" w:lineRule="auto"/>
        <w:ind w:right="0"/>
        <w:rPr>
          <w:rFonts w:ascii="Arial" w:hAnsi="Arial" w:cs="Arial"/>
          <w:sz w:val="20"/>
          <w:szCs w:val="20"/>
        </w:rPr>
      </w:pPr>
      <w:r w:rsidRPr="00DE0932">
        <w:rPr>
          <w:rFonts w:ascii="Arial" w:hAnsi="Arial" w:cs="Arial"/>
          <w:sz w:val="20"/>
          <w:szCs w:val="20"/>
        </w:rPr>
        <w:t xml:space="preserve">This MD&amp;A includes forward-looking statements and information concerning </w:t>
      </w:r>
      <w:r w:rsidR="00455B97" w:rsidRPr="00DE0932">
        <w:rPr>
          <w:rFonts w:ascii="Arial" w:hAnsi="Arial" w:cs="Arial"/>
          <w:sz w:val="20"/>
          <w:szCs w:val="20"/>
        </w:rPr>
        <w:t xml:space="preserve">expected future events, the </w:t>
      </w:r>
      <w:r w:rsidRPr="00DE0932">
        <w:rPr>
          <w:rFonts w:ascii="Arial" w:hAnsi="Arial" w:cs="Arial"/>
          <w:sz w:val="20"/>
          <w:szCs w:val="20"/>
        </w:rPr>
        <w:t xml:space="preserve">future performance of the Company, its operations, and its financial performance and condition. These forward-looking statements and information include, among others, statements with respect to </w:t>
      </w:r>
      <w:r w:rsidR="00583ADE" w:rsidRPr="00DE0932">
        <w:rPr>
          <w:rFonts w:ascii="Arial" w:hAnsi="Arial" w:cs="Arial"/>
          <w:sz w:val="20"/>
          <w:szCs w:val="20"/>
        </w:rPr>
        <w:t xml:space="preserve">the Company’s </w:t>
      </w:r>
      <w:r w:rsidRPr="00DE0932">
        <w:rPr>
          <w:rFonts w:ascii="Arial" w:hAnsi="Arial" w:cs="Arial"/>
          <w:sz w:val="20"/>
          <w:szCs w:val="20"/>
        </w:rPr>
        <w:t xml:space="preserve">objectives and strategies to achieve those objectives, as well as statements with respect to </w:t>
      </w:r>
      <w:r w:rsidR="00583ADE" w:rsidRPr="00DE0932">
        <w:rPr>
          <w:rFonts w:ascii="Arial" w:hAnsi="Arial" w:cs="Arial"/>
          <w:sz w:val="20"/>
          <w:szCs w:val="20"/>
        </w:rPr>
        <w:t xml:space="preserve">its </w:t>
      </w:r>
      <w:r w:rsidRPr="00DE0932">
        <w:rPr>
          <w:rFonts w:ascii="Arial" w:hAnsi="Arial" w:cs="Arial"/>
          <w:sz w:val="20"/>
          <w:szCs w:val="20"/>
        </w:rPr>
        <w:t xml:space="preserve">beliefs, plans, expectations, anticipations, estimates, and intentions. When used in this MD&amp;A, the words "believe", "anticipate", "may", "should", "intend", "estimate", "expect", "project", and similar expressions are intended to identify forward-looking statements, although not all forward-looking statements contain such words. </w:t>
      </w:r>
    </w:p>
    <w:p w14:paraId="00645CF0" w14:textId="77777777" w:rsidR="00D277CF" w:rsidRDefault="00D277CF" w:rsidP="00CD7E54">
      <w:pPr>
        <w:pStyle w:val="Style13"/>
        <w:spacing w:line="276" w:lineRule="auto"/>
        <w:ind w:right="0"/>
        <w:rPr>
          <w:rFonts w:ascii="Arial" w:hAnsi="Arial" w:cs="Arial"/>
          <w:sz w:val="20"/>
          <w:szCs w:val="20"/>
        </w:rPr>
      </w:pPr>
    </w:p>
    <w:p w14:paraId="1CEE6B6A" w14:textId="7A82A490" w:rsidR="004D02A7" w:rsidRPr="00DE0932" w:rsidRDefault="00976CE6" w:rsidP="00CD7E54">
      <w:pPr>
        <w:pStyle w:val="Style13"/>
        <w:spacing w:line="276" w:lineRule="auto"/>
        <w:ind w:right="0"/>
        <w:rPr>
          <w:rFonts w:ascii="Arial" w:hAnsi="Arial" w:cs="Arial"/>
          <w:sz w:val="20"/>
          <w:szCs w:val="20"/>
        </w:rPr>
      </w:pPr>
      <w:r w:rsidRPr="00DE0932">
        <w:rPr>
          <w:rFonts w:ascii="Arial" w:hAnsi="Arial" w:cs="Arial"/>
          <w:sz w:val="20"/>
          <w:szCs w:val="20"/>
        </w:rPr>
        <w:t>These forward-looking statements and information are</w:t>
      </w:r>
      <w:r w:rsidR="00DA1746" w:rsidRPr="00DE0932">
        <w:rPr>
          <w:rFonts w:ascii="Arial" w:hAnsi="Arial" w:cs="Arial"/>
          <w:sz w:val="20"/>
          <w:szCs w:val="20"/>
        </w:rPr>
        <w:t xml:space="preserve"> based on current expectations.</w:t>
      </w:r>
      <w:r w:rsidR="001B011C" w:rsidRPr="00DE0932">
        <w:rPr>
          <w:rFonts w:ascii="Arial" w:hAnsi="Arial" w:cs="Arial"/>
          <w:sz w:val="20"/>
          <w:szCs w:val="20"/>
        </w:rPr>
        <w:t xml:space="preserve"> </w:t>
      </w:r>
      <w:r w:rsidRPr="00DE0932">
        <w:rPr>
          <w:rFonts w:ascii="Arial" w:hAnsi="Arial" w:cs="Arial"/>
          <w:sz w:val="20"/>
          <w:szCs w:val="20"/>
        </w:rPr>
        <w:t xml:space="preserve">The Company cautions that all forward-looking statements and information are inherently uncertain and actual </w:t>
      </w:r>
      <w:r w:rsidR="00F81305" w:rsidRPr="00DE0932">
        <w:rPr>
          <w:rFonts w:ascii="Arial" w:hAnsi="Arial" w:cs="Arial"/>
          <w:sz w:val="20"/>
          <w:szCs w:val="20"/>
        </w:rPr>
        <w:t xml:space="preserve">future </w:t>
      </w:r>
      <w:r w:rsidRPr="00DE0932">
        <w:rPr>
          <w:rFonts w:ascii="Arial" w:hAnsi="Arial" w:cs="Arial"/>
          <w:sz w:val="20"/>
          <w:szCs w:val="20"/>
        </w:rPr>
        <w:t>results</w:t>
      </w:r>
      <w:r w:rsidR="00F81305" w:rsidRPr="00DE0932">
        <w:rPr>
          <w:rFonts w:ascii="Arial" w:hAnsi="Arial" w:cs="Arial"/>
          <w:sz w:val="20"/>
          <w:szCs w:val="20"/>
        </w:rPr>
        <w:t>, conditions, actions or events</w:t>
      </w:r>
      <w:r w:rsidRPr="00DE0932">
        <w:rPr>
          <w:rFonts w:ascii="Arial" w:hAnsi="Arial" w:cs="Arial"/>
          <w:sz w:val="20"/>
          <w:szCs w:val="20"/>
        </w:rPr>
        <w:t xml:space="preserve"> may differ materially from the </w:t>
      </w:r>
      <w:r w:rsidR="00F81305" w:rsidRPr="00DE0932">
        <w:rPr>
          <w:rFonts w:ascii="Arial" w:hAnsi="Arial" w:cs="Arial"/>
          <w:sz w:val="20"/>
          <w:szCs w:val="20"/>
        </w:rPr>
        <w:t xml:space="preserve">targets, </w:t>
      </w:r>
      <w:r w:rsidRPr="00DE0932">
        <w:rPr>
          <w:rFonts w:ascii="Arial" w:hAnsi="Arial" w:cs="Arial"/>
          <w:sz w:val="20"/>
          <w:szCs w:val="20"/>
        </w:rPr>
        <w:t xml:space="preserve">assumptions, estimates, or expectations reflected or contained in the forward-looking statements and information, and that actual future </w:t>
      </w:r>
      <w:r w:rsidR="00F81305" w:rsidRPr="00DE0932">
        <w:rPr>
          <w:rFonts w:ascii="Arial" w:hAnsi="Arial" w:cs="Arial"/>
          <w:sz w:val="20"/>
          <w:szCs w:val="20"/>
        </w:rPr>
        <w:t xml:space="preserve">results, conditions, actions, events, or </w:t>
      </w:r>
      <w:r w:rsidRPr="00DE0932">
        <w:rPr>
          <w:rFonts w:ascii="Arial" w:hAnsi="Arial" w:cs="Arial"/>
          <w:sz w:val="20"/>
          <w:szCs w:val="20"/>
        </w:rPr>
        <w:t xml:space="preserve">performance will be affected by a number of factors including economic conditions and competitive factors, many of which are beyond the Company’s control. </w:t>
      </w:r>
    </w:p>
    <w:p w14:paraId="019B7417" w14:textId="77777777" w:rsidR="005F6A32" w:rsidRPr="00DE0932" w:rsidRDefault="005F6A32" w:rsidP="00CD7E54">
      <w:pPr>
        <w:pStyle w:val="Style13"/>
        <w:spacing w:line="276" w:lineRule="auto"/>
        <w:ind w:right="0"/>
        <w:rPr>
          <w:rFonts w:ascii="Arial" w:hAnsi="Arial" w:cs="Arial"/>
          <w:sz w:val="20"/>
          <w:szCs w:val="20"/>
        </w:rPr>
      </w:pPr>
    </w:p>
    <w:p w14:paraId="43C13AC5" w14:textId="7A781FD3" w:rsidR="00940C2E" w:rsidRPr="00DE0932" w:rsidRDefault="00976CE6" w:rsidP="00CD7E54">
      <w:pPr>
        <w:pStyle w:val="Style13"/>
        <w:spacing w:line="276" w:lineRule="auto"/>
        <w:ind w:right="0"/>
        <w:rPr>
          <w:rFonts w:ascii="Arial" w:hAnsi="Arial" w:cs="Arial"/>
          <w:sz w:val="20"/>
          <w:szCs w:val="20"/>
        </w:rPr>
      </w:pPr>
      <w:r w:rsidRPr="00DE0932">
        <w:rPr>
          <w:rFonts w:ascii="Arial" w:hAnsi="Arial" w:cs="Arial"/>
          <w:sz w:val="20"/>
          <w:szCs w:val="20"/>
        </w:rPr>
        <w:t xml:space="preserve">New risks and uncertainties arise from time to time, and it is impossible for the Company to predict these events or the effect that they may have on the Company. Certain statements in this MD&amp;A, other than statements of historical fact, may include forward-looking information that involves various risks and </w:t>
      </w:r>
      <w:r w:rsidRPr="00DE0932">
        <w:rPr>
          <w:rFonts w:ascii="Arial" w:hAnsi="Arial" w:cs="Arial"/>
          <w:sz w:val="20"/>
          <w:szCs w:val="20"/>
        </w:rPr>
        <w:lastRenderedPageBreak/>
        <w:t xml:space="preserve">uncertainties. </w:t>
      </w:r>
      <w:r w:rsidR="00705A6C" w:rsidRPr="00DE0932">
        <w:rPr>
          <w:rFonts w:ascii="Arial" w:hAnsi="Arial" w:cs="Arial"/>
          <w:sz w:val="20"/>
          <w:szCs w:val="20"/>
        </w:rPr>
        <w:t xml:space="preserve">This may include, without limitation, statements based on current expectations involving a number of risks and uncertainties. </w:t>
      </w:r>
      <w:r w:rsidR="00B33080" w:rsidRPr="00DE0932">
        <w:rPr>
          <w:rFonts w:ascii="Arial" w:hAnsi="Arial" w:cs="Arial"/>
          <w:sz w:val="20"/>
          <w:szCs w:val="20"/>
        </w:rPr>
        <w:t xml:space="preserve"> </w:t>
      </w:r>
      <w:r w:rsidR="00705A6C" w:rsidRPr="00DE0932">
        <w:rPr>
          <w:rFonts w:ascii="Arial" w:hAnsi="Arial" w:cs="Arial"/>
          <w:sz w:val="20"/>
          <w:szCs w:val="20"/>
        </w:rPr>
        <w:t>These risks and uncertainties include, but are not restricted to: (</w:t>
      </w:r>
      <w:proofErr w:type="spellStart"/>
      <w:r w:rsidR="00705A6C" w:rsidRPr="00DE0932">
        <w:rPr>
          <w:rFonts w:ascii="Arial" w:hAnsi="Arial" w:cs="Arial"/>
          <w:sz w:val="20"/>
          <w:szCs w:val="20"/>
        </w:rPr>
        <w:t>i</w:t>
      </w:r>
      <w:proofErr w:type="spellEnd"/>
      <w:r w:rsidR="00705A6C" w:rsidRPr="00DE0932">
        <w:rPr>
          <w:rFonts w:ascii="Arial" w:hAnsi="Arial" w:cs="Arial"/>
          <w:sz w:val="20"/>
          <w:szCs w:val="20"/>
        </w:rPr>
        <w:t xml:space="preserve">) </w:t>
      </w:r>
      <w:r w:rsidR="009D7BAD" w:rsidRPr="00DE0932">
        <w:rPr>
          <w:rFonts w:ascii="Arial" w:hAnsi="Arial" w:cs="Arial"/>
          <w:sz w:val="20"/>
          <w:szCs w:val="20"/>
        </w:rPr>
        <w:t>tax-related matters</w:t>
      </w:r>
      <w:r w:rsidR="00455B97" w:rsidRPr="00DE0932">
        <w:rPr>
          <w:rFonts w:ascii="Arial" w:hAnsi="Arial" w:cs="Arial"/>
          <w:sz w:val="20"/>
          <w:szCs w:val="20"/>
        </w:rPr>
        <w:t>, (ii) financial risk related to short-term investments (including credit risks and reductions in interest rates), (iii) human resources developments, (iv) business integrations and internal reorganizations, (v) process risks, (vi) health</w:t>
      </w:r>
      <w:r w:rsidR="00453773" w:rsidRPr="00DE0932">
        <w:rPr>
          <w:rFonts w:ascii="Arial" w:hAnsi="Arial" w:cs="Arial"/>
          <w:sz w:val="20"/>
          <w:szCs w:val="20"/>
        </w:rPr>
        <w:t xml:space="preserve"> and </w:t>
      </w:r>
      <w:r w:rsidR="00455B97" w:rsidRPr="00DE0932">
        <w:rPr>
          <w:rFonts w:ascii="Arial" w:hAnsi="Arial" w:cs="Arial"/>
          <w:sz w:val="20"/>
          <w:szCs w:val="20"/>
        </w:rPr>
        <w:t>safety, (vii) the outcome of litigation and legal matters, (viii) any prospective acquisitions or divestitures, (ix) </w:t>
      </w:r>
      <w:r w:rsidR="00705A6C" w:rsidRPr="00DE0932">
        <w:rPr>
          <w:rFonts w:ascii="Arial" w:hAnsi="Arial" w:cs="Arial"/>
          <w:sz w:val="20"/>
          <w:szCs w:val="20"/>
        </w:rPr>
        <w:t>other risk factors related to the Company</w:t>
      </w:r>
      <w:r w:rsidR="00455B97" w:rsidRPr="00DE0932">
        <w:rPr>
          <w:rFonts w:ascii="Arial" w:hAnsi="Arial" w:cs="Arial"/>
          <w:sz w:val="20"/>
          <w:szCs w:val="20"/>
        </w:rPr>
        <w:t>’s historic business, and (x</w:t>
      </w:r>
      <w:r w:rsidR="00705A6C" w:rsidRPr="00DE0932">
        <w:rPr>
          <w:rFonts w:ascii="Arial" w:hAnsi="Arial" w:cs="Arial"/>
          <w:sz w:val="20"/>
          <w:szCs w:val="20"/>
        </w:rPr>
        <w:t>) risk factors related to the Company’s future operations.</w:t>
      </w:r>
      <w:r w:rsidR="00940C2E" w:rsidRPr="00DE0932">
        <w:rPr>
          <w:rFonts w:ascii="Arial" w:hAnsi="Arial" w:cs="Arial"/>
          <w:sz w:val="20"/>
          <w:szCs w:val="20"/>
        </w:rPr>
        <w:t xml:space="preserve"> </w:t>
      </w:r>
    </w:p>
    <w:p w14:paraId="66F87C0B" w14:textId="77777777" w:rsidR="00940C2E" w:rsidRPr="00DE0932" w:rsidRDefault="00940C2E" w:rsidP="00CD7E54">
      <w:pPr>
        <w:pStyle w:val="Style13"/>
        <w:spacing w:line="276" w:lineRule="auto"/>
        <w:ind w:right="0"/>
        <w:rPr>
          <w:rFonts w:ascii="Arial" w:hAnsi="Arial" w:cs="Arial"/>
          <w:sz w:val="20"/>
          <w:szCs w:val="20"/>
        </w:rPr>
      </w:pPr>
    </w:p>
    <w:p w14:paraId="06C278B3" w14:textId="6EA397E9" w:rsidR="00A373AB" w:rsidRPr="00DE0932" w:rsidRDefault="00A373AB" w:rsidP="00CD7E54">
      <w:pPr>
        <w:pStyle w:val="Style13"/>
        <w:spacing w:line="276" w:lineRule="auto"/>
        <w:ind w:right="0"/>
        <w:rPr>
          <w:rFonts w:ascii="Arial" w:hAnsi="Arial" w:cs="Arial"/>
          <w:sz w:val="20"/>
          <w:szCs w:val="20"/>
        </w:rPr>
      </w:pPr>
      <w:r w:rsidRPr="00DE0932">
        <w:rPr>
          <w:rFonts w:ascii="Arial" w:hAnsi="Arial" w:cs="Arial"/>
          <w:sz w:val="20"/>
          <w:szCs w:val="20"/>
        </w:rPr>
        <w:t>For a more detailed discussion of factors that may affect actual results or cause actual results to differ materially from any conclusion, forecast or projection in these forward-looking statements and information, see the section entitled</w:t>
      </w:r>
      <w:r w:rsidRPr="00DE0932">
        <w:rPr>
          <w:rFonts w:ascii="Arial" w:hAnsi="Arial" w:cs="Arial"/>
          <w:b/>
          <w:bCs/>
          <w:sz w:val="20"/>
          <w:szCs w:val="20"/>
        </w:rPr>
        <w:t xml:space="preserve"> </w:t>
      </w:r>
      <w:r w:rsidRPr="00DE0932">
        <w:rPr>
          <w:rFonts w:ascii="Arial" w:hAnsi="Arial" w:cs="Arial"/>
          <w:bCs/>
          <w:sz w:val="20"/>
          <w:szCs w:val="20"/>
        </w:rPr>
        <w:t>“Overvie</w:t>
      </w:r>
      <w:r w:rsidR="00945C07" w:rsidRPr="00DE0932">
        <w:rPr>
          <w:rFonts w:ascii="Arial" w:hAnsi="Arial" w:cs="Arial"/>
          <w:bCs/>
          <w:sz w:val="20"/>
          <w:szCs w:val="20"/>
        </w:rPr>
        <w:t xml:space="preserve">w – </w:t>
      </w:r>
      <w:r w:rsidR="00273AA3" w:rsidRPr="00DE0932">
        <w:rPr>
          <w:rFonts w:ascii="Arial" w:hAnsi="Arial" w:cs="Arial"/>
          <w:bCs/>
          <w:sz w:val="20"/>
          <w:szCs w:val="20"/>
        </w:rPr>
        <w:t>Significant current events</w:t>
      </w:r>
      <w:r w:rsidR="00945C07" w:rsidRPr="00DE0932">
        <w:rPr>
          <w:rFonts w:ascii="Arial" w:hAnsi="Arial" w:cs="Arial"/>
          <w:bCs/>
          <w:sz w:val="20"/>
          <w:szCs w:val="20"/>
        </w:rPr>
        <w:t>”</w:t>
      </w:r>
      <w:r w:rsidRPr="00DE0932">
        <w:rPr>
          <w:rFonts w:ascii="Arial" w:hAnsi="Arial" w:cs="Arial"/>
          <w:sz w:val="20"/>
          <w:szCs w:val="20"/>
        </w:rPr>
        <w:t xml:space="preserve"> below.</w:t>
      </w:r>
    </w:p>
    <w:p w14:paraId="6D9D2219" w14:textId="77777777" w:rsidR="00770D9E" w:rsidRPr="00DE0932" w:rsidRDefault="00770D9E" w:rsidP="00CD7E54">
      <w:pPr>
        <w:pStyle w:val="Style13"/>
        <w:spacing w:line="276" w:lineRule="auto"/>
        <w:ind w:right="0"/>
        <w:rPr>
          <w:rFonts w:ascii="Arial" w:hAnsi="Arial" w:cs="Arial"/>
          <w:sz w:val="20"/>
          <w:szCs w:val="20"/>
        </w:rPr>
      </w:pPr>
    </w:p>
    <w:p w14:paraId="40320654" w14:textId="77777777" w:rsidR="00976CE6" w:rsidRPr="00DE0932" w:rsidRDefault="00976CE6" w:rsidP="00CD7E54">
      <w:pPr>
        <w:spacing w:line="276" w:lineRule="auto"/>
        <w:jc w:val="both"/>
        <w:rPr>
          <w:rFonts w:ascii="Arial" w:hAnsi="Arial" w:cs="Arial"/>
          <w:sz w:val="20"/>
        </w:rPr>
      </w:pPr>
      <w:r w:rsidRPr="00DE0932">
        <w:rPr>
          <w:rFonts w:ascii="Arial" w:hAnsi="Arial" w:cs="Arial"/>
          <w:sz w:val="20"/>
        </w:rPr>
        <w:t>Therefore, future events and results may vary significantly from what the Company currently foresees. Readers are cautioned that the forward</w:t>
      </w:r>
      <w:r w:rsidRPr="00DE0932">
        <w:rPr>
          <w:rFonts w:ascii="Arial" w:hAnsi="Arial" w:cs="Arial"/>
          <w:sz w:val="20"/>
        </w:rPr>
        <w:noBreakHyphen/>
        <w:t>looking statements and information made by the Company in this MD&amp;A are stated as of the date of this MD&amp;A, are subject to change after that date, are provided for the purposes of this MD&amp;A and may not be appropriate for other purposes. We are under no obligation to update or alter the forward-looking statements</w:t>
      </w:r>
      <w:r w:rsidR="00DA1746" w:rsidRPr="00DE0932">
        <w:rPr>
          <w:rFonts w:ascii="Arial" w:hAnsi="Arial" w:cs="Arial"/>
          <w:sz w:val="20"/>
        </w:rPr>
        <w:t>,</w:t>
      </w:r>
      <w:r w:rsidRPr="00DE0932">
        <w:rPr>
          <w:rFonts w:ascii="Arial" w:hAnsi="Arial" w:cs="Arial"/>
          <w:sz w:val="20"/>
        </w:rPr>
        <w:t xml:space="preserve"> whether as a result of new information, future events, or otherwise, except as required by National Instrument 51-102, and we expressly disclaim any other such obligation. </w:t>
      </w:r>
    </w:p>
    <w:p w14:paraId="5A29980F" w14:textId="2ECBAA46" w:rsidR="00B930D2" w:rsidRPr="00DE0932" w:rsidRDefault="00B930D2" w:rsidP="00CD7E54">
      <w:pPr>
        <w:rPr>
          <w:rFonts w:ascii="Arial" w:hAnsi="Arial" w:cs="Arial"/>
          <w:b/>
          <w:bCs/>
          <w:sz w:val="20"/>
        </w:rPr>
      </w:pPr>
    </w:p>
    <w:p w14:paraId="08BB6599" w14:textId="2FE9D1ED" w:rsidR="00CA3C16" w:rsidRPr="00B90AE0" w:rsidRDefault="009C5764" w:rsidP="00B90AE0">
      <w:pPr>
        <w:pStyle w:val="Heading4"/>
        <w:spacing w:line="276" w:lineRule="auto"/>
        <w:ind w:left="360" w:hanging="360"/>
        <w:jc w:val="both"/>
        <w:rPr>
          <w:szCs w:val="20"/>
          <w:lang w:val="en-US"/>
        </w:rPr>
      </w:pPr>
      <w:r>
        <w:rPr>
          <w:szCs w:val="20"/>
          <w:lang w:val="en-US"/>
        </w:rPr>
        <w:t>3</w:t>
      </w:r>
      <w:r w:rsidR="00CA5CC1" w:rsidRPr="00B90AE0">
        <w:rPr>
          <w:szCs w:val="20"/>
          <w:lang w:val="en-US"/>
        </w:rPr>
        <w:t>.</w:t>
      </w:r>
      <w:r w:rsidR="00CA5CC1" w:rsidRPr="00B90AE0">
        <w:rPr>
          <w:szCs w:val="20"/>
          <w:lang w:val="en-US"/>
        </w:rPr>
        <w:tab/>
      </w:r>
      <w:r w:rsidR="00CA3C16" w:rsidRPr="00B90AE0">
        <w:rPr>
          <w:szCs w:val="20"/>
          <w:lang w:val="en-US"/>
        </w:rPr>
        <w:t>OVERVIEW</w:t>
      </w:r>
    </w:p>
    <w:p w14:paraId="18355283" w14:textId="77777777" w:rsidR="00976CE6" w:rsidRPr="00B90AE0" w:rsidRDefault="00976CE6" w:rsidP="00B90AE0">
      <w:pPr>
        <w:spacing w:line="276" w:lineRule="auto"/>
        <w:jc w:val="both"/>
        <w:rPr>
          <w:rFonts w:ascii="Arial" w:hAnsi="Arial" w:cs="Arial"/>
          <w:sz w:val="20"/>
        </w:rPr>
      </w:pPr>
    </w:p>
    <w:p w14:paraId="023DB863" w14:textId="77777777" w:rsidR="00B90AE0" w:rsidRPr="00B90AE0" w:rsidRDefault="00B90AE0" w:rsidP="00B90AE0">
      <w:pPr>
        <w:pStyle w:val="bn"/>
        <w:overflowPunct/>
        <w:autoSpaceDE/>
        <w:autoSpaceDN/>
        <w:adjustRightInd/>
        <w:spacing w:before="0" w:line="276" w:lineRule="auto"/>
        <w:ind w:left="360" w:hanging="360"/>
        <w:textAlignment w:val="auto"/>
        <w:rPr>
          <w:rFonts w:cs="Arial"/>
          <w:b/>
          <w:lang w:val="en-US"/>
        </w:rPr>
      </w:pPr>
      <w:r w:rsidRPr="00B90AE0">
        <w:rPr>
          <w:rFonts w:cs="Arial"/>
          <w:b/>
          <w:lang w:val="en-US"/>
        </w:rPr>
        <w:t>Significant current events</w:t>
      </w:r>
    </w:p>
    <w:p w14:paraId="1AA0AE51" w14:textId="77777777" w:rsidR="00C307AD" w:rsidRDefault="00C307AD" w:rsidP="00B042FA">
      <w:pPr>
        <w:overflowPunct w:val="0"/>
        <w:autoSpaceDE w:val="0"/>
        <w:autoSpaceDN w:val="0"/>
        <w:adjustRightInd w:val="0"/>
        <w:spacing w:line="276" w:lineRule="auto"/>
        <w:jc w:val="both"/>
        <w:textAlignment w:val="baseline"/>
        <w:rPr>
          <w:rFonts w:ascii="Arial" w:hAnsi="Arial" w:cs="Arial"/>
          <w:sz w:val="20"/>
          <w:u w:val="single"/>
          <w:lang w:val="en-CA"/>
        </w:rPr>
      </w:pPr>
    </w:p>
    <w:p w14:paraId="40B59319" w14:textId="77777777" w:rsidR="00C05824" w:rsidRPr="00C05824" w:rsidRDefault="00C05824" w:rsidP="00B042FA">
      <w:pPr>
        <w:overflowPunct w:val="0"/>
        <w:autoSpaceDE w:val="0"/>
        <w:autoSpaceDN w:val="0"/>
        <w:adjustRightInd w:val="0"/>
        <w:spacing w:line="276" w:lineRule="auto"/>
        <w:jc w:val="both"/>
        <w:textAlignment w:val="baseline"/>
        <w:rPr>
          <w:rFonts w:ascii="Arial" w:hAnsi="Arial" w:cs="Arial"/>
          <w:sz w:val="20"/>
          <w:u w:val="single"/>
          <w:lang w:val="en-CA"/>
        </w:rPr>
      </w:pPr>
      <w:r w:rsidRPr="00C05824">
        <w:rPr>
          <w:rFonts w:ascii="Arial" w:hAnsi="Arial" w:cs="Arial"/>
          <w:sz w:val="20"/>
          <w:u w:val="single"/>
          <w:lang w:val="en-CA"/>
        </w:rPr>
        <w:t>Trustee Receivable</w:t>
      </w:r>
    </w:p>
    <w:p w14:paraId="2E4574C6" w14:textId="04FBCB9B" w:rsidR="00C05824" w:rsidRPr="00C05824" w:rsidRDefault="00C05824" w:rsidP="00B042FA">
      <w:pPr>
        <w:overflowPunct w:val="0"/>
        <w:autoSpaceDE w:val="0"/>
        <w:autoSpaceDN w:val="0"/>
        <w:adjustRightInd w:val="0"/>
        <w:spacing w:line="276" w:lineRule="auto"/>
        <w:jc w:val="both"/>
        <w:textAlignment w:val="baseline"/>
        <w:rPr>
          <w:rFonts w:ascii="Arial" w:hAnsi="Arial" w:cs="Arial"/>
          <w:sz w:val="20"/>
          <w:lang w:val="en-CA"/>
        </w:rPr>
      </w:pPr>
      <w:r w:rsidRPr="00C05824">
        <w:rPr>
          <w:rFonts w:ascii="Arial" w:hAnsi="Arial" w:cs="Arial"/>
          <w:sz w:val="20"/>
          <w:lang w:val="en-CA"/>
        </w:rPr>
        <w:t>On December 2, 2022, the Company received the final payment totaling $3 from a bankruptcy trustee in Ontario in which the Company was a claimant</w:t>
      </w:r>
      <w:r w:rsidR="00516376">
        <w:rPr>
          <w:rFonts w:ascii="Arial" w:hAnsi="Arial" w:cs="Arial"/>
          <w:sz w:val="20"/>
          <w:lang w:val="en-CA"/>
        </w:rPr>
        <w:t>.</w:t>
      </w:r>
    </w:p>
    <w:p w14:paraId="7DE0EFD1" w14:textId="77777777" w:rsidR="00C05824" w:rsidRDefault="00C05824" w:rsidP="00B042FA">
      <w:pPr>
        <w:overflowPunct w:val="0"/>
        <w:autoSpaceDE w:val="0"/>
        <w:autoSpaceDN w:val="0"/>
        <w:adjustRightInd w:val="0"/>
        <w:spacing w:line="276" w:lineRule="auto"/>
        <w:jc w:val="both"/>
        <w:textAlignment w:val="baseline"/>
        <w:rPr>
          <w:rFonts w:ascii="Arial" w:hAnsi="Arial" w:cs="Arial"/>
          <w:sz w:val="20"/>
          <w:lang w:val="en-CA"/>
        </w:rPr>
      </w:pPr>
    </w:p>
    <w:p w14:paraId="56F39428" w14:textId="77777777" w:rsidR="00EF3B57" w:rsidRPr="00EF3B57" w:rsidRDefault="00EF3B57" w:rsidP="00EF3B57">
      <w:pPr>
        <w:spacing w:line="276" w:lineRule="auto"/>
        <w:ind w:left="540" w:hanging="540"/>
        <w:jc w:val="both"/>
        <w:rPr>
          <w:rFonts w:ascii="Arial" w:hAnsi="Arial" w:cs="Arial"/>
          <w:bCs/>
          <w:sz w:val="20"/>
          <w:u w:val="single"/>
          <w:lang w:val="en-CA"/>
        </w:rPr>
      </w:pPr>
      <w:r w:rsidRPr="00EF3B57">
        <w:rPr>
          <w:rFonts w:ascii="Arial" w:hAnsi="Arial" w:cs="Arial"/>
          <w:bCs/>
          <w:sz w:val="20"/>
          <w:u w:val="single"/>
          <w:lang w:val="en-CA"/>
        </w:rPr>
        <w:t>Convertible Debentures</w:t>
      </w:r>
    </w:p>
    <w:p w14:paraId="5987B4F2" w14:textId="77777777" w:rsidR="00EF3B57" w:rsidRPr="00EF3B57" w:rsidRDefault="00EF3B57" w:rsidP="00EF3B57">
      <w:pPr>
        <w:spacing w:line="276" w:lineRule="auto"/>
        <w:jc w:val="both"/>
        <w:rPr>
          <w:rFonts w:ascii="Arial" w:hAnsi="Arial" w:cs="Arial"/>
          <w:bCs/>
          <w:sz w:val="20"/>
          <w:lang w:val="en-CA"/>
        </w:rPr>
      </w:pPr>
      <w:r w:rsidRPr="00EF3B57">
        <w:rPr>
          <w:rFonts w:ascii="Arial" w:hAnsi="Arial" w:cs="Arial"/>
          <w:bCs/>
          <w:sz w:val="20"/>
          <w:lang w:val="en-CA"/>
        </w:rPr>
        <w:t>On December 19, 2022, the Debentures valued at $150 and accrued interest totaling $14 were converted to shares at a value of $0.15 per share.  A total of 1,092,659 shares and 546,329 warrants were issued, and the Company’s outstanding shares as at December 19, 2022 was 16,190,458.</w:t>
      </w:r>
    </w:p>
    <w:p w14:paraId="1647BAC5" w14:textId="77777777" w:rsidR="00EF3B57" w:rsidRPr="00C05824" w:rsidRDefault="00EF3B57" w:rsidP="00B042FA">
      <w:pPr>
        <w:overflowPunct w:val="0"/>
        <w:autoSpaceDE w:val="0"/>
        <w:autoSpaceDN w:val="0"/>
        <w:adjustRightInd w:val="0"/>
        <w:spacing w:line="276" w:lineRule="auto"/>
        <w:jc w:val="both"/>
        <w:textAlignment w:val="baseline"/>
        <w:rPr>
          <w:rFonts w:ascii="Arial" w:hAnsi="Arial" w:cs="Arial"/>
          <w:sz w:val="20"/>
          <w:lang w:val="en-CA"/>
        </w:rPr>
      </w:pPr>
    </w:p>
    <w:p w14:paraId="6C9AD04F" w14:textId="77777777" w:rsidR="00DD0196" w:rsidRPr="00DD0196" w:rsidRDefault="00DD0196" w:rsidP="00EF3B57">
      <w:pPr>
        <w:spacing w:line="276" w:lineRule="auto"/>
        <w:jc w:val="both"/>
        <w:rPr>
          <w:rFonts w:ascii="Arial" w:hAnsi="Arial" w:cs="Arial"/>
          <w:bCs/>
          <w:sz w:val="20"/>
          <w:u w:val="single"/>
          <w:lang w:val="en-CA"/>
        </w:rPr>
      </w:pPr>
      <w:r w:rsidRPr="00DD0196">
        <w:rPr>
          <w:rFonts w:ascii="Arial" w:hAnsi="Arial" w:cs="Arial"/>
          <w:bCs/>
          <w:sz w:val="20"/>
          <w:u w:val="single"/>
          <w:lang w:val="en-CA"/>
        </w:rPr>
        <w:t>Short-term loans</w:t>
      </w:r>
    </w:p>
    <w:p w14:paraId="0A366628" w14:textId="77777777" w:rsidR="00DD0196" w:rsidRPr="00DD0196" w:rsidRDefault="00DD0196" w:rsidP="00EF3B57">
      <w:pPr>
        <w:spacing w:line="276" w:lineRule="auto"/>
        <w:jc w:val="both"/>
        <w:rPr>
          <w:rFonts w:ascii="Arial" w:hAnsi="Arial" w:cs="Arial"/>
          <w:bCs/>
          <w:sz w:val="20"/>
          <w:lang w:val="en-CA"/>
        </w:rPr>
      </w:pPr>
      <w:r w:rsidRPr="00DD0196">
        <w:rPr>
          <w:rFonts w:ascii="Arial" w:hAnsi="Arial" w:cs="Arial"/>
          <w:bCs/>
          <w:sz w:val="20"/>
          <w:lang w:val="en-CA"/>
        </w:rPr>
        <w:t xml:space="preserve">During the second quarter of fiscal 2023, unsecured demand loans totaling $75 were extended to the Company at an effective annual interest rate of 12%, of which $50 was received from related parties.  </w:t>
      </w:r>
    </w:p>
    <w:p w14:paraId="32BECAF7" w14:textId="3AF9E161" w:rsidR="00AE2A11" w:rsidRPr="00051DCD" w:rsidRDefault="00AE2A11" w:rsidP="009C5764">
      <w:pPr>
        <w:rPr>
          <w:rFonts w:ascii="Arial" w:eastAsiaTheme="minorHAnsi" w:hAnsi="Arial" w:cs="Arial"/>
          <w:bCs/>
          <w:spacing w:val="-2"/>
          <w:sz w:val="20"/>
          <w:u w:val="single"/>
          <w:lang w:val="en-CA"/>
        </w:rPr>
      </w:pPr>
    </w:p>
    <w:p w14:paraId="00BBE1DF" w14:textId="4F1E5EE6" w:rsidR="00CA3C16" w:rsidRPr="00A100BF" w:rsidRDefault="0091200C" w:rsidP="008C4A4F">
      <w:pPr>
        <w:spacing w:line="276" w:lineRule="auto"/>
        <w:rPr>
          <w:rFonts w:ascii="Arial" w:hAnsi="Arial" w:cs="Arial"/>
          <w:b/>
          <w:sz w:val="20"/>
        </w:rPr>
      </w:pPr>
      <w:r w:rsidRPr="00A100BF">
        <w:rPr>
          <w:rFonts w:ascii="Arial" w:hAnsi="Arial" w:cs="Arial"/>
          <w:b/>
          <w:sz w:val="20"/>
        </w:rPr>
        <w:t>The Company</w:t>
      </w:r>
    </w:p>
    <w:p w14:paraId="5E8AB805" w14:textId="214C2302" w:rsidR="00411B3E" w:rsidRDefault="00B90AE0" w:rsidP="00883DFA">
      <w:pPr>
        <w:pStyle w:val="bn"/>
        <w:spacing w:before="0" w:line="276" w:lineRule="auto"/>
        <w:rPr>
          <w:rFonts w:cs="Arial"/>
          <w:color w:val="000000"/>
          <w:u w:val="single"/>
        </w:rPr>
      </w:pPr>
      <w:r w:rsidRPr="00934073">
        <w:rPr>
          <w:rFonts w:cs="Arial"/>
        </w:rPr>
        <w:t>Kure Technologies,</w:t>
      </w:r>
      <w:r w:rsidR="00240A49" w:rsidRPr="00934073">
        <w:rPr>
          <w:rFonts w:cs="Arial"/>
        </w:rPr>
        <w:t xml:space="preserve"> Inc. is a publicly listed Canadian company, trading </w:t>
      </w:r>
      <w:r w:rsidR="002B7883" w:rsidRPr="00934073">
        <w:rPr>
          <w:rFonts w:cs="Arial"/>
        </w:rPr>
        <w:t xml:space="preserve">on the NEX, which is a separate board of the TSX Venture Exchange, under the symbol </w:t>
      </w:r>
      <w:r w:rsidRPr="00934073">
        <w:rPr>
          <w:rFonts w:cs="Arial"/>
        </w:rPr>
        <w:t>KUR</w:t>
      </w:r>
      <w:r w:rsidR="002B7883" w:rsidRPr="00934073">
        <w:rPr>
          <w:rFonts w:cs="Arial"/>
        </w:rPr>
        <w:t>.H.</w:t>
      </w:r>
      <w:r w:rsidR="00F84349" w:rsidRPr="00934073">
        <w:rPr>
          <w:rFonts w:cs="Arial"/>
        </w:rPr>
        <w:t xml:space="preserve"> </w:t>
      </w:r>
      <w:r w:rsidRPr="00934073">
        <w:rPr>
          <w:rFonts w:cs="Arial"/>
          <w:lang w:val="en-US"/>
        </w:rPr>
        <w:t>Kure’s</w:t>
      </w:r>
      <w:r w:rsidR="008E2E4C" w:rsidRPr="00934073">
        <w:rPr>
          <w:rFonts w:cs="Arial"/>
          <w:lang w:val="en-US"/>
        </w:rPr>
        <w:t xml:space="preserve"> head office is located in</w:t>
      </w:r>
      <w:r w:rsidR="008D7EFB" w:rsidRPr="00934073">
        <w:rPr>
          <w:rFonts w:cs="Arial"/>
          <w:lang w:val="en-US"/>
        </w:rPr>
        <w:t xml:space="preserve"> </w:t>
      </w:r>
      <w:r w:rsidR="00322EE7">
        <w:rPr>
          <w:rFonts w:cs="Arial"/>
          <w:lang w:val="en-US"/>
        </w:rPr>
        <w:t>Toronto</w:t>
      </w:r>
      <w:r w:rsidRPr="00934073">
        <w:rPr>
          <w:rFonts w:cs="Arial"/>
          <w:lang w:val="en-US"/>
        </w:rPr>
        <w:t>, Ontario.</w:t>
      </w:r>
    </w:p>
    <w:p w14:paraId="37D45DAD" w14:textId="1E87BF09" w:rsidR="00606214" w:rsidRDefault="00606214">
      <w:pPr>
        <w:rPr>
          <w:rFonts w:ascii="Arial" w:hAnsi="Arial" w:cs="Arial"/>
          <w:color w:val="000000"/>
          <w:sz w:val="20"/>
          <w:u w:val="single"/>
          <w:lang w:val="en-CA"/>
        </w:rPr>
      </w:pPr>
    </w:p>
    <w:p w14:paraId="3176387B" w14:textId="71D49A5F" w:rsidR="005108EE" w:rsidRPr="00934073" w:rsidRDefault="005108EE" w:rsidP="008C4A4F">
      <w:pPr>
        <w:pStyle w:val="bn1"/>
        <w:spacing w:before="0" w:line="276" w:lineRule="auto"/>
        <w:ind w:left="0"/>
        <w:rPr>
          <w:rFonts w:cs="Arial"/>
          <w:color w:val="000000"/>
          <w:u w:val="single"/>
        </w:rPr>
      </w:pPr>
      <w:r w:rsidRPr="00934073">
        <w:rPr>
          <w:rFonts w:cs="Arial"/>
          <w:color w:val="000000"/>
          <w:u w:val="single"/>
        </w:rPr>
        <w:t>Going concern</w:t>
      </w:r>
    </w:p>
    <w:p w14:paraId="7FB0C08E" w14:textId="6C387C2D" w:rsidR="00B90AE0" w:rsidRDefault="00B90AE0" w:rsidP="008C4A4F">
      <w:pPr>
        <w:pStyle w:val="bn1"/>
        <w:spacing w:before="0" w:line="276" w:lineRule="auto"/>
        <w:ind w:left="0"/>
        <w:rPr>
          <w:rFonts w:cs="Arial"/>
          <w:color w:val="000000"/>
        </w:rPr>
      </w:pPr>
      <w:r w:rsidRPr="00934073">
        <w:rPr>
          <w:rFonts w:cs="Arial"/>
          <w:color w:val="000000"/>
        </w:rPr>
        <w:t>The going concern basis of presentation assumes that Kure will continue operation</w:t>
      </w:r>
      <w:r w:rsidR="005F6372">
        <w:rPr>
          <w:rFonts w:cs="Arial"/>
          <w:color w:val="000000"/>
        </w:rPr>
        <w:t>s</w:t>
      </w:r>
      <w:r w:rsidRPr="00934073">
        <w:rPr>
          <w:rFonts w:cs="Arial"/>
          <w:color w:val="000000"/>
        </w:rPr>
        <w:t xml:space="preserve"> for the foreseeable future and be able to realize </w:t>
      </w:r>
      <w:r w:rsidR="002B079F">
        <w:rPr>
          <w:rFonts w:cs="Arial"/>
          <w:color w:val="000000"/>
        </w:rPr>
        <w:t xml:space="preserve">the carrying value of </w:t>
      </w:r>
      <w:r w:rsidRPr="00934073">
        <w:rPr>
          <w:rFonts w:cs="Arial"/>
          <w:color w:val="000000"/>
        </w:rPr>
        <w:t xml:space="preserve">its assets and discharge its liabilities and commitments in the normal course of business. There is some doubt about Kure’s use of the going concern assumption as a result of </w:t>
      </w:r>
      <w:r w:rsidR="00C70BDE">
        <w:rPr>
          <w:rFonts w:cs="Arial"/>
          <w:color w:val="000000"/>
        </w:rPr>
        <w:t xml:space="preserve">the Company’s </w:t>
      </w:r>
      <w:r w:rsidR="005B43E0">
        <w:rPr>
          <w:rFonts w:cs="Arial"/>
          <w:color w:val="000000"/>
        </w:rPr>
        <w:t xml:space="preserve">accumulated deficit and </w:t>
      </w:r>
      <w:r w:rsidR="00FC644F">
        <w:rPr>
          <w:rFonts w:cs="Arial"/>
          <w:color w:val="000000"/>
        </w:rPr>
        <w:t xml:space="preserve">working capital deficiency as </w:t>
      </w:r>
      <w:proofErr w:type="gramStart"/>
      <w:r w:rsidR="00FC644F">
        <w:rPr>
          <w:rFonts w:cs="Arial"/>
          <w:color w:val="000000"/>
        </w:rPr>
        <w:t>at</w:t>
      </w:r>
      <w:proofErr w:type="gramEnd"/>
      <w:r w:rsidR="00FC644F">
        <w:rPr>
          <w:rFonts w:cs="Arial"/>
          <w:color w:val="000000"/>
        </w:rPr>
        <w:t xml:space="preserve"> </w:t>
      </w:r>
      <w:r w:rsidR="00924F21">
        <w:rPr>
          <w:rFonts w:cs="Arial"/>
          <w:color w:val="000000"/>
        </w:rPr>
        <w:t>November 30</w:t>
      </w:r>
      <w:r w:rsidR="00B14D59">
        <w:rPr>
          <w:rFonts w:cs="Arial"/>
          <w:color w:val="000000"/>
        </w:rPr>
        <w:t>, 202</w:t>
      </w:r>
      <w:r w:rsidR="00AB198F">
        <w:rPr>
          <w:rFonts w:cs="Arial"/>
          <w:color w:val="000000"/>
        </w:rPr>
        <w:t>2</w:t>
      </w:r>
      <w:r w:rsidR="00FC644F">
        <w:rPr>
          <w:rFonts w:cs="Arial"/>
          <w:color w:val="000000"/>
        </w:rPr>
        <w:t>.</w:t>
      </w:r>
      <w:r w:rsidRPr="00934073">
        <w:rPr>
          <w:rFonts w:cs="Arial"/>
          <w:color w:val="000000"/>
        </w:rPr>
        <w:t xml:space="preserve"> </w:t>
      </w:r>
      <w:r w:rsidR="003370A6" w:rsidRPr="00EF22D6">
        <w:rPr>
          <w:rFonts w:cs="Arial"/>
          <w:color w:val="000000"/>
        </w:rPr>
        <w:t xml:space="preserve">The Company’s ability to continue as a going concern is dependent on its ability to obtain additional financing and or achieve profitable operations in the future.  </w:t>
      </w:r>
      <w:r w:rsidR="003370A6">
        <w:rPr>
          <w:rFonts w:cs="Arial"/>
          <w:color w:val="000000"/>
        </w:rPr>
        <w:t xml:space="preserve">These factors indicate the existence of a </w:t>
      </w:r>
      <w:r w:rsidR="003370A6">
        <w:rPr>
          <w:rFonts w:cs="Arial"/>
          <w:color w:val="000000"/>
        </w:rPr>
        <w:lastRenderedPageBreak/>
        <w:t>material uncertainty that may cast significant doubt about the Company’s ability to continue as a going concern.</w:t>
      </w:r>
    </w:p>
    <w:p w14:paraId="30934B66" w14:textId="77777777" w:rsidR="00464A59" w:rsidRPr="00934073" w:rsidRDefault="00464A59" w:rsidP="008C4A4F">
      <w:pPr>
        <w:pStyle w:val="bn1"/>
        <w:spacing w:before="0" w:line="276" w:lineRule="auto"/>
        <w:ind w:left="0"/>
        <w:rPr>
          <w:rFonts w:cs="Arial"/>
          <w:color w:val="000000"/>
        </w:rPr>
      </w:pPr>
    </w:p>
    <w:p w14:paraId="38C2BFF5" w14:textId="538D9ACF" w:rsidR="008608B6" w:rsidRPr="00934073" w:rsidRDefault="008608B6" w:rsidP="008C4A4F">
      <w:pPr>
        <w:spacing w:line="276" w:lineRule="auto"/>
        <w:jc w:val="both"/>
        <w:rPr>
          <w:rFonts w:ascii="Arial" w:hAnsi="Arial" w:cs="Arial"/>
          <w:b/>
        </w:rPr>
      </w:pPr>
      <w:r w:rsidRPr="00934073">
        <w:rPr>
          <w:rFonts w:ascii="Arial" w:hAnsi="Arial" w:cs="Arial"/>
          <w:sz w:val="20"/>
        </w:rPr>
        <w:t xml:space="preserve">Notwithstanding the above, the Company’s </w:t>
      </w:r>
      <w:r w:rsidR="00924F21">
        <w:rPr>
          <w:rFonts w:ascii="Arial" w:hAnsi="Arial" w:cs="Arial"/>
          <w:sz w:val="20"/>
        </w:rPr>
        <w:t xml:space="preserve">unaudited condensed </w:t>
      </w:r>
      <w:r w:rsidR="00AE4A8A">
        <w:rPr>
          <w:rFonts w:ascii="Arial" w:hAnsi="Arial" w:cs="Arial"/>
          <w:sz w:val="20"/>
        </w:rPr>
        <w:t>consolidated</w:t>
      </w:r>
      <w:r w:rsidR="00924F21">
        <w:rPr>
          <w:rFonts w:ascii="Arial" w:hAnsi="Arial" w:cs="Arial"/>
          <w:sz w:val="20"/>
        </w:rPr>
        <w:t xml:space="preserve"> interim</w:t>
      </w:r>
      <w:r w:rsidR="00FC04DC">
        <w:rPr>
          <w:rFonts w:ascii="Arial" w:hAnsi="Arial" w:cs="Arial"/>
          <w:sz w:val="20"/>
        </w:rPr>
        <w:t xml:space="preserve"> </w:t>
      </w:r>
      <w:r w:rsidRPr="00934073">
        <w:rPr>
          <w:rFonts w:ascii="Arial" w:hAnsi="Arial" w:cs="Arial"/>
          <w:sz w:val="20"/>
        </w:rPr>
        <w:t xml:space="preserve">financial statements </w:t>
      </w:r>
      <w:r w:rsidR="008F390E">
        <w:rPr>
          <w:rFonts w:ascii="Arial" w:hAnsi="Arial" w:cs="Arial"/>
          <w:sz w:val="20"/>
        </w:rPr>
        <w:t xml:space="preserve">for the </w:t>
      </w:r>
      <w:r w:rsidR="00BA2A2C">
        <w:rPr>
          <w:rFonts w:ascii="Arial" w:hAnsi="Arial" w:cs="Arial"/>
          <w:sz w:val="20"/>
        </w:rPr>
        <w:t>three months ended November 30</w:t>
      </w:r>
      <w:r w:rsidR="00B73A8D">
        <w:rPr>
          <w:rFonts w:ascii="Arial" w:hAnsi="Arial" w:cs="Arial"/>
          <w:sz w:val="20"/>
        </w:rPr>
        <w:t>,</w:t>
      </w:r>
      <w:r w:rsidR="00B14D59">
        <w:rPr>
          <w:rFonts w:ascii="Arial" w:hAnsi="Arial" w:cs="Arial"/>
          <w:sz w:val="20"/>
        </w:rPr>
        <w:t xml:space="preserve"> </w:t>
      </w:r>
      <w:r w:rsidR="00B73A8D">
        <w:rPr>
          <w:rFonts w:ascii="Arial" w:hAnsi="Arial" w:cs="Arial"/>
          <w:sz w:val="20"/>
        </w:rPr>
        <w:t>2022 and 2021</w:t>
      </w:r>
      <w:r w:rsidRPr="00934073">
        <w:rPr>
          <w:rFonts w:ascii="Arial" w:hAnsi="Arial" w:cs="Arial"/>
          <w:sz w:val="20"/>
        </w:rPr>
        <w:t xml:space="preserve"> have been prepared on a going concern basis and do not include any adjustments to the carrying values and classification of assets and liabilities and reported revenue and expenses that would be necessary if the </w:t>
      </w:r>
      <w:r w:rsidRPr="00934073">
        <w:rPr>
          <w:rFonts w:ascii="Arial" w:hAnsi="Arial" w:cs="Arial"/>
          <w:sz w:val="20"/>
          <w:lang w:val="en-CA"/>
        </w:rPr>
        <w:t>going concern basis was not appropriate.  Such adjustments could be material.</w:t>
      </w:r>
    </w:p>
    <w:p w14:paraId="432032D3" w14:textId="484AC3D3" w:rsidR="009B575C" w:rsidRDefault="009B575C">
      <w:pPr>
        <w:rPr>
          <w:rFonts w:ascii="Arial" w:hAnsi="Arial" w:cs="Arial"/>
          <w:b/>
          <w:sz w:val="20"/>
        </w:rPr>
      </w:pPr>
    </w:p>
    <w:p w14:paraId="6D7B6AD6" w14:textId="1DB1A553" w:rsidR="00934073" w:rsidRPr="00934073" w:rsidRDefault="00934073" w:rsidP="008C4A4F">
      <w:pPr>
        <w:spacing w:line="276" w:lineRule="auto"/>
        <w:jc w:val="both"/>
        <w:rPr>
          <w:rFonts w:ascii="Arial" w:hAnsi="Arial" w:cs="Arial"/>
          <w:b/>
          <w:sz w:val="20"/>
        </w:rPr>
      </w:pPr>
      <w:r w:rsidRPr="00934073">
        <w:rPr>
          <w:rFonts w:ascii="Arial" w:hAnsi="Arial" w:cs="Arial"/>
          <w:b/>
          <w:sz w:val="20"/>
        </w:rPr>
        <w:t>Strategy</w:t>
      </w:r>
    </w:p>
    <w:p w14:paraId="52A64F06" w14:textId="2A5A9B5B" w:rsidR="00934073" w:rsidRPr="00934073" w:rsidRDefault="00934073" w:rsidP="008C4A4F">
      <w:pPr>
        <w:pStyle w:val="bn1"/>
        <w:spacing w:before="0" w:line="276" w:lineRule="auto"/>
        <w:ind w:left="0"/>
        <w:rPr>
          <w:rFonts w:cs="Arial"/>
          <w:lang w:eastAsia="en-CA"/>
        </w:rPr>
      </w:pPr>
      <w:r w:rsidRPr="00934073">
        <w:rPr>
          <w:rFonts w:cs="Arial"/>
        </w:rPr>
        <w:t xml:space="preserve">The Company’s operating strategy is to preserve its cash </w:t>
      </w:r>
      <w:r w:rsidRPr="00934073">
        <w:rPr>
          <w:rFonts w:cs="Arial"/>
          <w:lang w:eastAsia="en-CA"/>
        </w:rPr>
        <w:t xml:space="preserve">and explore </w:t>
      </w:r>
      <w:r w:rsidR="00000FBD">
        <w:rPr>
          <w:rFonts w:cs="Arial"/>
          <w:lang w:eastAsia="en-CA"/>
        </w:rPr>
        <w:t xml:space="preserve">restructuring </w:t>
      </w:r>
      <w:r w:rsidRPr="00934073">
        <w:rPr>
          <w:rFonts w:cs="Arial"/>
          <w:lang w:eastAsia="en-CA"/>
        </w:rPr>
        <w:t xml:space="preserve">opportunities </w:t>
      </w:r>
      <w:r w:rsidR="00610FCA">
        <w:rPr>
          <w:rFonts w:cs="Arial"/>
          <w:lang w:eastAsia="en-CA"/>
        </w:rPr>
        <w:t>and</w:t>
      </w:r>
      <w:r w:rsidR="002B5AEF">
        <w:rPr>
          <w:rFonts w:cs="Arial"/>
          <w:lang w:eastAsia="en-CA"/>
        </w:rPr>
        <w:t xml:space="preserve"> marketing the public company </w:t>
      </w:r>
      <w:r w:rsidRPr="00934073">
        <w:rPr>
          <w:rFonts w:cs="Arial"/>
          <w:lang w:eastAsia="en-CA"/>
        </w:rPr>
        <w:t>to maximize shareholder value.</w:t>
      </w:r>
    </w:p>
    <w:p w14:paraId="51328347" w14:textId="77777777" w:rsidR="00934073" w:rsidRPr="00934073" w:rsidRDefault="00934073" w:rsidP="008C4A4F">
      <w:pPr>
        <w:pStyle w:val="bn1"/>
        <w:spacing w:before="0" w:line="276" w:lineRule="auto"/>
        <w:ind w:left="0"/>
        <w:rPr>
          <w:rFonts w:cs="Arial"/>
          <w:lang w:eastAsia="en-CA"/>
        </w:rPr>
      </w:pPr>
    </w:p>
    <w:p w14:paraId="05A7879D" w14:textId="450383F5" w:rsidR="00F41DEB" w:rsidRPr="004105E6" w:rsidRDefault="004105E6" w:rsidP="00173123">
      <w:pPr>
        <w:spacing w:line="276" w:lineRule="auto"/>
        <w:ind w:left="540" w:hanging="540"/>
        <w:rPr>
          <w:rFonts w:ascii="Arial" w:hAnsi="Arial" w:cs="Arial"/>
          <w:sz w:val="20"/>
          <w:lang w:val="en-CA" w:eastAsia="en-CA"/>
        </w:rPr>
      </w:pPr>
      <w:r w:rsidRPr="004105E6">
        <w:rPr>
          <w:rFonts w:ascii="Arial" w:hAnsi="Arial" w:cs="Arial"/>
          <w:sz w:val="20"/>
          <w:lang w:val="en-CA" w:eastAsia="en-CA"/>
        </w:rPr>
        <w:t>The Company is currently finalizing its restructuring process to facilitate a promising business opportunity.</w:t>
      </w:r>
    </w:p>
    <w:p w14:paraId="195B14E2" w14:textId="77777777" w:rsidR="004105E6" w:rsidRDefault="004105E6" w:rsidP="00173123">
      <w:pPr>
        <w:spacing w:line="276" w:lineRule="auto"/>
        <w:ind w:left="540" w:hanging="540"/>
        <w:rPr>
          <w:rFonts w:ascii="Arial" w:hAnsi="Arial" w:cs="Arial"/>
          <w:b/>
          <w:sz w:val="20"/>
          <w:lang w:val="en-CA"/>
        </w:rPr>
      </w:pPr>
    </w:p>
    <w:p w14:paraId="52430036" w14:textId="18193035" w:rsidR="00173123" w:rsidRPr="004576B5" w:rsidRDefault="00173123" w:rsidP="00173123">
      <w:pPr>
        <w:spacing w:line="276" w:lineRule="auto"/>
        <w:ind w:left="540" w:hanging="540"/>
        <w:rPr>
          <w:rFonts w:ascii="Arial" w:hAnsi="Arial" w:cs="Arial"/>
          <w:b/>
          <w:sz w:val="20"/>
          <w:lang w:val="en-CA"/>
        </w:rPr>
      </w:pPr>
      <w:r w:rsidRPr="004576B5">
        <w:rPr>
          <w:rFonts w:ascii="Arial" w:hAnsi="Arial" w:cs="Arial"/>
          <w:b/>
          <w:sz w:val="20"/>
          <w:lang w:val="en-CA"/>
        </w:rPr>
        <w:t>Convertible Debentures</w:t>
      </w:r>
    </w:p>
    <w:p w14:paraId="6F6C0755" w14:textId="4454019B" w:rsidR="00173123" w:rsidRDefault="00173123" w:rsidP="00173123">
      <w:pPr>
        <w:spacing w:line="276" w:lineRule="auto"/>
        <w:jc w:val="both"/>
        <w:rPr>
          <w:rFonts w:ascii="Arial" w:eastAsia="Calibri" w:hAnsi="Arial" w:cs="Arial"/>
          <w:sz w:val="20"/>
          <w:lang w:val="en-CA"/>
        </w:rPr>
      </w:pPr>
      <w:r w:rsidRPr="00F4319D">
        <w:rPr>
          <w:rFonts w:ascii="Arial" w:eastAsia="Calibri" w:hAnsi="Arial" w:cs="Arial"/>
          <w:sz w:val="20"/>
          <w:lang w:val="en-CA"/>
        </w:rPr>
        <w:t>On July 29, 2021, the Company completed a non-brokered private placement offering of unsecured convertible debentures (the “Debentures”) which raised aggregate gross proceeds of $150.</w:t>
      </w:r>
    </w:p>
    <w:p w14:paraId="1E62416A" w14:textId="77777777" w:rsidR="00173123" w:rsidRPr="00F4319D" w:rsidRDefault="00173123" w:rsidP="00173123">
      <w:pPr>
        <w:spacing w:line="276" w:lineRule="auto"/>
        <w:jc w:val="both"/>
        <w:rPr>
          <w:rFonts w:ascii="Arial" w:eastAsia="Calibri" w:hAnsi="Arial" w:cs="Arial"/>
          <w:sz w:val="20"/>
          <w:lang w:val="en-CA"/>
        </w:rPr>
      </w:pPr>
    </w:p>
    <w:p w14:paraId="3A744AF6" w14:textId="77777777" w:rsidR="00173123" w:rsidRPr="00F4319D" w:rsidRDefault="00173123" w:rsidP="00173123">
      <w:pPr>
        <w:spacing w:line="276" w:lineRule="auto"/>
        <w:jc w:val="both"/>
        <w:rPr>
          <w:rFonts w:ascii="Arial" w:eastAsia="Calibri" w:hAnsi="Arial" w:cs="Arial"/>
          <w:sz w:val="20"/>
          <w:lang w:val="en-CA"/>
        </w:rPr>
      </w:pPr>
      <w:r w:rsidRPr="00F4319D">
        <w:rPr>
          <w:rFonts w:ascii="Arial" w:eastAsia="Calibri" w:hAnsi="Arial" w:cs="Arial"/>
          <w:sz w:val="20"/>
          <w:lang w:val="en-CA"/>
        </w:rPr>
        <w:t>The Debentures bear interest at a rate of 8.5% per annum and will mature on July 29, 2023. The Debentures are convertible into units of the Company at a price of $0.15 per unit during the first year and are convertible at the higher of $0.15 and the trading price of the Company’s common shares on the TSX Venture Exchange on the date of conversion. Each unit consists of one common share and one-half common share purchase warrant exercisable at $0.18 for a period of one year. As the conversion feature may be settled in a variable number of common shares of the Company, it does not meet the fixed for fixed criteria and has been accounted for as a derivative liability. The Company paid cash issuance costs of $10, of which $7 has been allocated to the convertible debenture principal and $3 has been allocated to the derivative liability and included as interest and finance charges in the statement of loss and comprehensive loss</w:t>
      </w:r>
      <w:r>
        <w:rPr>
          <w:rFonts w:ascii="Arial" w:eastAsia="Calibri" w:hAnsi="Arial" w:cs="Arial"/>
          <w:sz w:val="20"/>
          <w:lang w:val="en-CA"/>
        </w:rPr>
        <w:t xml:space="preserve"> during the quarter ended August 31, 2021</w:t>
      </w:r>
      <w:r w:rsidRPr="00F4319D">
        <w:rPr>
          <w:rFonts w:ascii="Arial" w:eastAsia="Calibri" w:hAnsi="Arial" w:cs="Arial"/>
          <w:sz w:val="20"/>
          <w:lang w:val="en-CA"/>
        </w:rPr>
        <w:t>.</w:t>
      </w:r>
    </w:p>
    <w:p w14:paraId="1A6C95D6" w14:textId="77777777" w:rsidR="00173123" w:rsidRPr="00F4319D" w:rsidRDefault="00173123" w:rsidP="00173123">
      <w:pPr>
        <w:spacing w:line="276" w:lineRule="auto"/>
        <w:jc w:val="both"/>
        <w:rPr>
          <w:rFonts w:ascii="Arial" w:eastAsia="Calibri" w:hAnsi="Arial" w:cs="Arial"/>
          <w:sz w:val="20"/>
          <w:lang w:val="en-CA"/>
        </w:rPr>
      </w:pPr>
    </w:p>
    <w:p w14:paraId="52BCFDBF" w14:textId="77777777" w:rsidR="00173123" w:rsidRDefault="00173123" w:rsidP="00173123">
      <w:pPr>
        <w:spacing w:line="276" w:lineRule="auto"/>
        <w:jc w:val="both"/>
        <w:rPr>
          <w:rFonts w:ascii="Arial" w:eastAsia="Calibri" w:hAnsi="Arial" w:cs="Arial"/>
          <w:sz w:val="20"/>
          <w:lang w:val="en-CA"/>
        </w:rPr>
      </w:pPr>
      <w:r w:rsidRPr="00F4319D">
        <w:rPr>
          <w:rFonts w:ascii="Arial" w:eastAsia="Calibri" w:hAnsi="Arial" w:cs="Arial"/>
          <w:sz w:val="20"/>
          <w:lang w:val="en-CA"/>
        </w:rPr>
        <w:t>The Company has the option to purchase all or any part of the principal amount (the “Repurchase Amount”) of the Debentures at any time. Within 20 business days’ notice, the holder shall elect to either convert the Repurchase Amount into Units, or to receive the Repurchase Amount plus any accrued interest in cash.</w:t>
      </w:r>
    </w:p>
    <w:p w14:paraId="375F5B68" w14:textId="77777777" w:rsidR="00173123" w:rsidRDefault="00173123" w:rsidP="00173123">
      <w:pPr>
        <w:spacing w:line="276" w:lineRule="auto"/>
        <w:jc w:val="both"/>
        <w:rPr>
          <w:rFonts w:ascii="Arial" w:eastAsia="Calibri" w:hAnsi="Arial" w:cs="Arial"/>
          <w:sz w:val="20"/>
          <w:lang w:val="en-CA"/>
        </w:rPr>
      </w:pPr>
    </w:p>
    <w:p w14:paraId="737BDA5C" w14:textId="77777777" w:rsidR="00173123" w:rsidRDefault="00173123" w:rsidP="00173123">
      <w:pPr>
        <w:spacing w:line="276" w:lineRule="auto"/>
        <w:jc w:val="both"/>
        <w:rPr>
          <w:rFonts w:ascii="Arial" w:eastAsia="Calibri" w:hAnsi="Arial" w:cs="Arial"/>
          <w:sz w:val="20"/>
          <w:lang w:val="en-CA"/>
        </w:rPr>
      </w:pPr>
      <w:r w:rsidRPr="00F4319D">
        <w:rPr>
          <w:rFonts w:ascii="Arial" w:eastAsia="Calibri" w:hAnsi="Arial" w:cs="Arial"/>
          <w:sz w:val="20"/>
          <w:lang w:val="en-CA"/>
        </w:rPr>
        <w:t>The valuation model used to estimate the fair value of the Debentures is a system of two coupled Black-Scholes Option Pricing equations and partial differential equations that are solved simultaneously using finite-difference methods, with the following assumptions:</w:t>
      </w:r>
    </w:p>
    <w:p w14:paraId="7174F447" w14:textId="77777777" w:rsidR="00173123" w:rsidRPr="00F4319D" w:rsidRDefault="00173123" w:rsidP="00173123">
      <w:pPr>
        <w:spacing w:line="276" w:lineRule="auto"/>
        <w:rPr>
          <w:rFonts w:ascii="Arial" w:eastAsia="Calibri" w:hAnsi="Arial" w:cs="Arial"/>
          <w:sz w:val="20"/>
          <w:lang w:val="en-CA"/>
        </w:rPr>
      </w:pPr>
    </w:p>
    <w:tbl>
      <w:tblPr>
        <w:tblStyle w:val="TableGrid3"/>
        <w:tblW w:w="9374" w:type="dxa"/>
        <w:tblInd w:w="-5" w:type="dxa"/>
        <w:tblLook w:val="04A0" w:firstRow="1" w:lastRow="0" w:firstColumn="1" w:lastColumn="0" w:noHBand="0" w:noVBand="1"/>
      </w:tblPr>
      <w:tblGrid>
        <w:gridCol w:w="3510"/>
        <w:gridCol w:w="2923"/>
        <w:gridCol w:w="2941"/>
      </w:tblGrid>
      <w:tr w:rsidR="00173123" w:rsidRPr="00F4319D" w14:paraId="7E136440" w14:textId="77777777" w:rsidTr="00F4626B">
        <w:trPr>
          <w:trHeight w:val="20"/>
        </w:trPr>
        <w:tc>
          <w:tcPr>
            <w:tcW w:w="3510" w:type="dxa"/>
            <w:tcBorders>
              <w:top w:val="single" w:sz="4" w:space="0" w:color="auto"/>
              <w:left w:val="nil"/>
              <w:bottom w:val="single" w:sz="4" w:space="0" w:color="auto"/>
              <w:right w:val="nil"/>
            </w:tcBorders>
          </w:tcPr>
          <w:p w14:paraId="2ECC478C" w14:textId="77777777" w:rsidR="00173123" w:rsidRPr="00F4319D" w:rsidRDefault="00173123" w:rsidP="00F4626B">
            <w:pPr>
              <w:spacing w:line="259" w:lineRule="auto"/>
              <w:jc w:val="both"/>
              <w:rPr>
                <w:rFonts w:ascii="Arial" w:eastAsia="Calibri" w:hAnsi="Arial" w:cs="Arial"/>
                <w:sz w:val="18"/>
                <w:szCs w:val="18"/>
                <w:lang w:val="en-CA" w:eastAsia="en-CA"/>
              </w:rPr>
            </w:pPr>
            <w:bookmarkStart w:id="0" w:name="_Hlk91091770"/>
          </w:p>
        </w:tc>
        <w:tc>
          <w:tcPr>
            <w:tcW w:w="2923" w:type="dxa"/>
            <w:tcBorders>
              <w:top w:val="single" w:sz="4" w:space="0" w:color="auto"/>
              <w:left w:val="nil"/>
              <w:bottom w:val="single" w:sz="4" w:space="0" w:color="auto"/>
              <w:right w:val="nil"/>
            </w:tcBorders>
          </w:tcPr>
          <w:p w14:paraId="6DE19428" w14:textId="0B40B210" w:rsidR="00173123" w:rsidRPr="00F4319D" w:rsidRDefault="00212B08" w:rsidP="00F4626B">
            <w:pPr>
              <w:spacing w:line="259" w:lineRule="auto"/>
              <w:jc w:val="right"/>
              <w:rPr>
                <w:rFonts w:ascii="Arial" w:eastAsia="Calibri" w:hAnsi="Arial" w:cs="Arial"/>
                <w:b/>
                <w:sz w:val="18"/>
                <w:szCs w:val="18"/>
                <w:lang w:val="en-CA" w:eastAsia="en-CA"/>
              </w:rPr>
            </w:pPr>
            <w:r>
              <w:rPr>
                <w:rFonts w:ascii="Arial" w:eastAsia="Calibri" w:hAnsi="Arial" w:cs="Arial"/>
                <w:b/>
                <w:sz w:val="18"/>
                <w:szCs w:val="18"/>
                <w:lang w:val="en-CA" w:eastAsia="en-CA"/>
              </w:rPr>
              <w:t>November 30</w:t>
            </w:r>
            <w:r w:rsidR="00173123" w:rsidRPr="00F4319D">
              <w:rPr>
                <w:rFonts w:ascii="Arial" w:eastAsia="Calibri" w:hAnsi="Arial" w:cs="Arial"/>
                <w:b/>
                <w:sz w:val="18"/>
                <w:szCs w:val="18"/>
                <w:lang w:val="en-CA" w:eastAsia="en-CA"/>
              </w:rPr>
              <w:t>, 202</w:t>
            </w:r>
            <w:r w:rsidR="00E932D3">
              <w:rPr>
                <w:rFonts w:ascii="Arial" w:eastAsia="Calibri" w:hAnsi="Arial" w:cs="Arial"/>
                <w:b/>
                <w:sz w:val="18"/>
                <w:szCs w:val="18"/>
                <w:lang w:val="en-CA" w:eastAsia="en-CA"/>
              </w:rPr>
              <w:t>2</w:t>
            </w:r>
          </w:p>
        </w:tc>
        <w:tc>
          <w:tcPr>
            <w:tcW w:w="2941" w:type="dxa"/>
            <w:tcBorders>
              <w:top w:val="single" w:sz="4" w:space="0" w:color="auto"/>
              <w:left w:val="nil"/>
              <w:bottom w:val="single" w:sz="4" w:space="0" w:color="auto"/>
              <w:right w:val="nil"/>
            </w:tcBorders>
          </w:tcPr>
          <w:p w14:paraId="01FDBB9F" w14:textId="39A6A741" w:rsidR="00173123" w:rsidRPr="00F4319D" w:rsidRDefault="00173123" w:rsidP="00F4626B">
            <w:pPr>
              <w:spacing w:line="259" w:lineRule="auto"/>
              <w:jc w:val="right"/>
              <w:rPr>
                <w:rFonts w:ascii="Arial" w:eastAsia="Calibri" w:hAnsi="Arial" w:cs="Arial"/>
                <w:b/>
                <w:sz w:val="18"/>
                <w:szCs w:val="18"/>
                <w:lang w:val="en-CA" w:eastAsia="en-CA"/>
              </w:rPr>
            </w:pPr>
            <w:r>
              <w:rPr>
                <w:rFonts w:ascii="Arial" w:eastAsia="Calibri" w:hAnsi="Arial" w:cs="Arial"/>
                <w:b/>
                <w:sz w:val="18"/>
                <w:szCs w:val="18"/>
                <w:lang w:val="en-CA" w:eastAsia="en-CA"/>
              </w:rPr>
              <w:t>August 31</w:t>
            </w:r>
            <w:r w:rsidRPr="00F4319D">
              <w:rPr>
                <w:rFonts w:ascii="Arial" w:eastAsia="Calibri" w:hAnsi="Arial" w:cs="Arial"/>
                <w:b/>
                <w:sz w:val="18"/>
                <w:szCs w:val="18"/>
                <w:lang w:val="en-CA" w:eastAsia="en-CA"/>
              </w:rPr>
              <w:t>, 202</w:t>
            </w:r>
            <w:r w:rsidR="00480D9E">
              <w:rPr>
                <w:rFonts w:ascii="Arial" w:eastAsia="Calibri" w:hAnsi="Arial" w:cs="Arial"/>
                <w:b/>
                <w:sz w:val="18"/>
                <w:szCs w:val="18"/>
                <w:lang w:val="en-CA" w:eastAsia="en-CA"/>
              </w:rPr>
              <w:t>2</w:t>
            </w:r>
          </w:p>
        </w:tc>
      </w:tr>
      <w:tr w:rsidR="00173123" w:rsidRPr="00F4319D" w14:paraId="76D7DF43" w14:textId="77777777" w:rsidTr="00F4626B">
        <w:trPr>
          <w:trHeight w:val="20"/>
        </w:trPr>
        <w:tc>
          <w:tcPr>
            <w:tcW w:w="3510" w:type="dxa"/>
            <w:tcBorders>
              <w:top w:val="single" w:sz="4" w:space="0" w:color="auto"/>
              <w:left w:val="nil"/>
              <w:bottom w:val="nil"/>
              <w:right w:val="nil"/>
            </w:tcBorders>
          </w:tcPr>
          <w:p w14:paraId="48F9F2DF" w14:textId="77777777" w:rsidR="00173123" w:rsidRPr="00F4319D" w:rsidRDefault="00173123" w:rsidP="00F4626B">
            <w:pPr>
              <w:spacing w:line="259" w:lineRule="auto"/>
              <w:jc w:val="both"/>
              <w:rPr>
                <w:rFonts w:ascii="Arial" w:eastAsia="Calibri" w:hAnsi="Arial" w:cs="Arial"/>
                <w:sz w:val="18"/>
                <w:szCs w:val="18"/>
                <w:lang w:val="en-CA" w:eastAsia="en-CA"/>
              </w:rPr>
            </w:pPr>
            <w:r w:rsidRPr="00F4319D">
              <w:rPr>
                <w:rFonts w:ascii="Arial" w:eastAsia="Calibri" w:hAnsi="Arial" w:cs="Arial"/>
                <w:sz w:val="18"/>
                <w:szCs w:val="18"/>
                <w:lang w:val="en-CA" w:eastAsia="en-CA"/>
              </w:rPr>
              <w:t>Expected volatility</w:t>
            </w:r>
          </w:p>
        </w:tc>
        <w:tc>
          <w:tcPr>
            <w:tcW w:w="2923" w:type="dxa"/>
            <w:tcBorders>
              <w:top w:val="single" w:sz="4" w:space="0" w:color="auto"/>
              <w:left w:val="nil"/>
              <w:bottom w:val="nil"/>
              <w:right w:val="nil"/>
            </w:tcBorders>
          </w:tcPr>
          <w:p w14:paraId="37E73D17" w14:textId="5B6F84BB" w:rsidR="00173123" w:rsidRPr="00F4319D" w:rsidRDefault="006000BB" w:rsidP="00F4626B">
            <w:pPr>
              <w:spacing w:line="259" w:lineRule="auto"/>
              <w:jc w:val="right"/>
              <w:rPr>
                <w:rFonts w:ascii="Arial" w:eastAsia="Calibri" w:hAnsi="Arial" w:cs="Arial"/>
                <w:sz w:val="18"/>
                <w:szCs w:val="18"/>
                <w:lang w:val="en-CA" w:eastAsia="en-CA"/>
              </w:rPr>
            </w:pPr>
            <w:r>
              <w:rPr>
                <w:rFonts w:ascii="Arial" w:eastAsia="Calibri" w:hAnsi="Arial" w:cs="Arial"/>
                <w:sz w:val="18"/>
                <w:szCs w:val="18"/>
                <w:lang w:val="en-CA" w:eastAsia="en-CA"/>
              </w:rPr>
              <w:t>48</w:t>
            </w:r>
            <w:r w:rsidR="00173123" w:rsidRPr="00F4319D">
              <w:rPr>
                <w:rFonts w:ascii="Arial" w:eastAsia="Calibri" w:hAnsi="Arial" w:cs="Arial"/>
                <w:sz w:val="18"/>
                <w:szCs w:val="18"/>
                <w:lang w:val="en-CA" w:eastAsia="en-CA"/>
              </w:rPr>
              <w:t>%</w:t>
            </w:r>
          </w:p>
        </w:tc>
        <w:tc>
          <w:tcPr>
            <w:tcW w:w="2941" w:type="dxa"/>
            <w:tcBorders>
              <w:top w:val="single" w:sz="4" w:space="0" w:color="auto"/>
              <w:left w:val="nil"/>
              <w:bottom w:val="nil"/>
              <w:right w:val="nil"/>
            </w:tcBorders>
          </w:tcPr>
          <w:p w14:paraId="3D1F5A4C" w14:textId="2B9E35AD" w:rsidR="00173123" w:rsidRPr="00F4319D" w:rsidRDefault="00480D9E" w:rsidP="00F4626B">
            <w:pPr>
              <w:spacing w:line="259" w:lineRule="auto"/>
              <w:jc w:val="right"/>
              <w:rPr>
                <w:rFonts w:ascii="Arial" w:eastAsia="Calibri" w:hAnsi="Arial" w:cs="Arial"/>
                <w:sz w:val="18"/>
                <w:szCs w:val="18"/>
                <w:lang w:val="en-CA" w:eastAsia="en-CA"/>
              </w:rPr>
            </w:pPr>
            <w:r>
              <w:rPr>
                <w:rFonts w:ascii="Arial" w:eastAsia="Calibri" w:hAnsi="Arial" w:cs="Arial"/>
                <w:sz w:val="18"/>
                <w:szCs w:val="18"/>
                <w:lang w:val="en-CA" w:eastAsia="en-CA"/>
              </w:rPr>
              <w:t>48</w:t>
            </w:r>
            <w:r w:rsidR="00173123" w:rsidRPr="00F4319D">
              <w:rPr>
                <w:rFonts w:ascii="Arial" w:eastAsia="Calibri" w:hAnsi="Arial" w:cs="Arial"/>
                <w:sz w:val="18"/>
                <w:szCs w:val="18"/>
                <w:lang w:val="en-CA" w:eastAsia="en-CA"/>
              </w:rPr>
              <w:t>%</w:t>
            </w:r>
          </w:p>
        </w:tc>
      </w:tr>
      <w:tr w:rsidR="00173123" w:rsidRPr="00F4319D" w14:paraId="3CAD2CD0" w14:textId="77777777" w:rsidTr="00F46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10" w:type="dxa"/>
          </w:tcPr>
          <w:p w14:paraId="529CFC62" w14:textId="77777777" w:rsidR="00173123" w:rsidRPr="00F4319D" w:rsidRDefault="00173123" w:rsidP="00F4626B">
            <w:pPr>
              <w:spacing w:line="259" w:lineRule="auto"/>
              <w:jc w:val="both"/>
              <w:rPr>
                <w:rFonts w:ascii="Arial" w:eastAsia="Calibri" w:hAnsi="Arial" w:cs="Arial"/>
                <w:sz w:val="18"/>
                <w:szCs w:val="18"/>
                <w:lang w:val="en-CA" w:eastAsia="en-CA"/>
              </w:rPr>
            </w:pPr>
            <w:r w:rsidRPr="00F4319D">
              <w:rPr>
                <w:rFonts w:ascii="Arial" w:eastAsia="Calibri" w:hAnsi="Arial" w:cs="Arial"/>
                <w:sz w:val="18"/>
                <w:szCs w:val="18"/>
                <w:lang w:val="en-CA" w:eastAsia="en-CA"/>
              </w:rPr>
              <w:t>Expected life</w:t>
            </w:r>
          </w:p>
        </w:tc>
        <w:tc>
          <w:tcPr>
            <w:tcW w:w="2923" w:type="dxa"/>
          </w:tcPr>
          <w:p w14:paraId="6B8B1CEE" w14:textId="347EC7D3" w:rsidR="00173123" w:rsidRPr="00F4319D" w:rsidRDefault="00B51883" w:rsidP="00F4626B">
            <w:pPr>
              <w:spacing w:line="259" w:lineRule="auto"/>
              <w:jc w:val="right"/>
              <w:rPr>
                <w:rFonts w:ascii="Arial" w:eastAsia="Calibri" w:hAnsi="Arial" w:cs="Arial"/>
                <w:sz w:val="18"/>
                <w:szCs w:val="18"/>
                <w:lang w:val="en-CA" w:eastAsia="en-CA"/>
              </w:rPr>
            </w:pPr>
            <w:r>
              <w:rPr>
                <w:rFonts w:ascii="Arial" w:eastAsia="Calibri" w:hAnsi="Arial" w:cs="Arial"/>
                <w:sz w:val="18"/>
                <w:szCs w:val="18"/>
                <w:lang w:val="en-CA" w:eastAsia="en-CA"/>
              </w:rPr>
              <w:t>0.</w:t>
            </w:r>
            <w:r w:rsidR="00212B08">
              <w:rPr>
                <w:rFonts w:ascii="Arial" w:eastAsia="Calibri" w:hAnsi="Arial" w:cs="Arial"/>
                <w:sz w:val="18"/>
                <w:szCs w:val="18"/>
                <w:lang w:val="en-CA" w:eastAsia="en-CA"/>
              </w:rPr>
              <w:t>66</w:t>
            </w:r>
          </w:p>
        </w:tc>
        <w:tc>
          <w:tcPr>
            <w:tcW w:w="2941" w:type="dxa"/>
          </w:tcPr>
          <w:p w14:paraId="52E1D4CA" w14:textId="4C0615A4" w:rsidR="00173123" w:rsidRPr="00F4319D" w:rsidRDefault="00480D9E" w:rsidP="00F4626B">
            <w:pPr>
              <w:spacing w:line="259" w:lineRule="auto"/>
              <w:jc w:val="right"/>
              <w:rPr>
                <w:rFonts w:ascii="Arial" w:eastAsia="Calibri" w:hAnsi="Arial" w:cs="Arial"/>
                <w:sz w:val="18"/>
                <w:szCs w:val="18"/>
                <w:lang w:val="en-CA" w:eastAsia="en-CA"/>
              </w:rPr>
            </w:pPr>
            <w:r>
              <w:rPr>
                <w:rFonts w:ascii="Arial" w:eastAsia="Calibri" w:hAnsi="Arial" w:cs="Arial"/>
                <w:sz w:val="18"/>
                <w:szCs w:val="18"/>
                <w:lang w:val="en-CA" w:eastAsia="en-CA"/>
              </w:rPr>
              <w:t>0</w:t>
            </w:r>
            <w:r w:rsidR="00173123">
              <w:rPr>
                <w:rFonts w:ascii="Arial" w:eastAsia="Calibri" w:hAnsi="Arial" w:cs="Arial"/>
                <w:sz w:val="18"/>
                <w:szCs w:val="18"/>
                <w:lang w:val="en-CA" w:eastAsia="en-CA"/>
              </w:rPr>
              <w:t>.91</w:t>
            </w:r>
          </w:p>
        </w:tc>
      </w:tr>
      <w:tr w:rsidR="00173123" w:rsidRPr="00F4319D" w14:paraId="7EE5AE76" w14:textId="77777777" w:rsidTr="00F46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10" w:type="dxa"/>
          </w:tcPr>
          <w:p w14:paraId="5A9D02D3" w14:textId="77777777" w:rsidR="00173123" w:rsidRPr="00F4319D" w:rsidRDefault="00173123" w:rsidP="00F4626B">
            <w:pPr>
              <w:spacing w:line="259" w:lineRule="auto"/>
              <w:jc w:val="both"/>
              <w:rPr>
                <w:rFonts w:ascii="Arial" w:eastAsia="Calibri" w:hAnsi="Arial" w:cs="Arial"/>
                <w:sz w:val="18"/>
                <w:szCs w:val="18"/>
                <w:lang w:val="en-CA" w:eastAsia="en-CA"/>
              </w:rPr>
            </w:pPr>
            <w:r w:rsidRPr="00F4319D">
              <w:rPr>
                <w:rFonts w:ascii="Arial" w:eastAsia="Calibri" w:hAnsi="Arial" w:cs="Arial"/>
                <w:sz w:val="18"/>
                <w:szCs w:val="18"/>
                <w:lang w:val="en-CA" w:eastAsia="en-CA"/>
              </w:rPr>
              <w:t>Risk free interest rate</w:t>
            </w:r>
          </w:p>
        </w:tc>
        <w:tc>
          <w:tcPr>
            <w:tcW w:w="2923" w:type="dxa"/>
          </w:tcPr>
          <w:p w14:paraId="54823BA2" w14:textId="071B001F" w:rsidR="00173123" w:rsidRPr="00F4319D" w:rsidRDefault="00ED4F3D" w:rsidP="00F4626B">
            <w:pPr>
              <w:spacing w:line="259" w:lineRule="auto"/>
              <w:jc w:val="right"/>
              <w:rPr>
                <w:rFonts w:ascii="Arial" w:eastAsia="Calibri" w:hAnsi="Arial" w:cs="Arial"/>
                <w:sz w:val="18"/>
                <w:szCs w:val="18"/>
                <w:lang w:val="en-CA" w:eastAsia="en-CA"/>
              </w:rPr>
            </w:pPr>
            <w:r>
              <w:rPr>
                <w:rFonts w:ascii="Arial" w:eastAsia="Calibri" w:hAnsi="Arial" w:cs="Arial"/>
                <w:sz w:val="18"/>
                <w:szCs w:val="18"/>
                <w:lang w:val="en-CA" w:eastAsia="en-CA"/>
              </w:rPr>
              <w:t>3.686</w:t>
            </w:r>
            <w:r w:rsidR="00173123" w:rsidRPr="00F4319D">
              <w:rPr>
                <w:rFonts w:ascii="Arial" w:eastAsia="Calibri" w:hAnsi="Arial" w:cs="Arial"/>
                <w:sz w:val="18"/>
                <w:szCs w:val="18"/>
                <w:lang w:val="en-CA" w:eastAsia="en-CA"/>
              </w:rPr>
              <w:t>%</w:t>
            </w:r>
          </w:p>
        </w:tc>
        <w:tc>
          <w:tcPr>
            <w:tcW w:w="2941" w:type="dxa"/>
          </w:tcPr>
          <w:p w14:paraId="23368DAB" w14:textId="39557759" w:rsidR="00173123" w:rsidRPr="00F4319D" w:rsidRDefault="00480D9E" w:rsidP="00F4626B">
            <w:pPr>
              <w:spacing w:line="259" w:lineRule="auto"/>
              <w:jc w:val="right"/>
              <w:rPr>
                <w:rFonts w:ascii="Arial" w:eastAsia="Calibri" w:hAnsi="Arial" w:cs="Arial"/>
                <w:sz w:val="18"/>
                <w:szCs w:val="18"/>
                <w:lang w:val="en-CA" w:eastAsia="en-CA"/>
              </w:rPr>
            </w:pPr>
            <w:r>
              <w:rPr>
                <w:rFonts w:ascii="Arial" w:eastAsia="Calibri" w:hAnsi="Arial" w:cs="Arial"/>
                <w:sz w:val="18"/>
                <w:szCs w:val="18"/>
                <w:lang w:val="en-CA" w:eastAsia="en-CA"/>
              </w:rPr>
              <w:t>3.686</w:t>
            </w:r>
            <w:r w:rsidR="00173123" w:rsidRPr="00F4319D">
              <w:rPr>
                <w:rFonts w:ascii="Arial" w:eastAsia="Calibri" w:hAnsi="Arial" w:cs="Arial"/>
                <w:sz w:val="18"/>
                <w:szCs w:val="18"/>
                <w:lang w:val="en-CA" w:eastAsia="en-CA"/>
              </w:rPr>
              <w:t>%</w:t>
            </w:r>
          </w:p>
        </w:tc>
      </w:tr>
      <w:tr w:rsidR="00173123" w:rsidRPr="00F4319D" w14:paraId="5D76BD2D" w14:textId="77777777" w:rsidTr="00F46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10" w:type="dxa"/>
          </w:tcPr>
          <w:p w14:paraId="4C62E0CC" w14:textId="77777777" w:rsidR="00173123" w:rsidRPr="00F4319D" w:rsidRDefault="00173123" w:rsidP="00F4626B">
            <w:pPr>
              <w:spacing w:line="259" w:lineRule="auto"/>
              <w:jc w:val="both"/>
              <w:rPr>
                <w:rFonts w:ascii="Arial" w:eastAsia="Calibri" w:hAnsi="Arial" w:cs="Arial"/>
                <w:sz w:val="18"/>
                <w:szCs w:val="18"/>
                <w:lang w:val="en-CA" w:eastAsia="en-CA"/>
              </w:rPr>
            </w:pPr>
            <w:r w:rsidRPr="00F4319D">
              <w:rPr>
                <w:rFonts w:ascii="Arial" w:eastAsia="Calibri" w:hAnsi="Arial" w:cs="Arial"/>
                <w:sz w:val="18"/>
                <w:szCs w:val="18"/>
                <w:lang w:val="en-CA" w:eastAsia="en-CA"/>
              </w:rPr>
              <w:t>Coupon interest rate</w:t>
            </w:r>
          </w:p>
        </w:tc>
        <w:tc>
          <w:tcPr>
            <w:tcW w:w="2923" w:type="dxa"/>
          </w:tcPr>
          <w:p w14:paraId="0856DCBC" w14:textId="77777777" w:rsidR="00173123" w:rsidRPr="00F4319D" w:rsidRDefault="00173123" w:rsidP="00F4626B">
            <w:pPr>
              <w:spacing w:line="259" w:lineRule="auto"/>
              <w:jc w:val="right"/>
              <w:rPr>
                <w:rFonts w:ascii="Arial" w:eastAsia="Calibri" w:hAnsi="Arial" w:cs="Arial"/>
                <w:sz w:val="18"/>
                <w:szCs w:val="18"/>
                <w:lang w:val="en-CA" w:eastAsia="en-CA"/>
              </w:rPr>
            </w:pPr>
            <w:r w:rsidRPr="00F4319D">
              <w:rPr>
                <w:rFonts w:ascii="Arial" w:eastAsia="Calibri" w:hAnsi="Arial" w:cs="Arial"/>
                <w:sz w:val="18"/>
                <w:szCs w:val="18"/>
                <w:lang w:val="en-CA" w:eastAsia="en-CA"/>
              </w:rPr>
              <w:t>8.5%</w:t>
            </w:r>
          </w:p>
        </w:tc>
        <w:tc>
          <w:tcPr>
            <w:tcW w:w="2941" w:type="dxa"/>
          </w:tcPr>
          <w:p w14:paraId="075EDDFC" w14:textId="77777777" w:rsidR="00173123" w:rsidRPr="00F4319D" w:rsidRDefault="00173123" w:rsidP="00F4626B">
            <w:pPr>
              <w:spacing w:line="259" w:lineRule="auto"/>
              <w:jc w:val="right"/>
              <w:rPr>
                <w:rFonts w:ascii="Arial" w:eastAsia="Calibri" w:hAnsi="Arial" w:cs="Arial"/>
                <w:sz w:val="18"/>
                <w:szCs w:val="18"/>
                <w:lang w:val="en-CA" w:eastAsia="en-CA"/>
              </w:rPr>
            </w:pPr>
            <w:r w:rsidRPr="00F4319D">
              <w:rPr>
                <w:rFonts w:ascii="Arial" w:eastAsia="Calibri" w:hAnsi="Arial" w:cs="Arial"/>
                <w:sz w:val="18"/>
                <w:szCs w:val="18"/>
                <w:lang w:val="en-CA" w:eastAsia="en-CA"/>
              </w:rPr>
              <w:t>8.5%</w:t>
            </w:r>
          </w:p>
        </w:tc>
      </w:tr>
      <w:tr w:rsidR="00173123" w:rsidRPr="00F4319D" w14:paraId="4D698593" w14:textId="77777777" w:rsidTr="00F46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10" w:type="dxa"/>
          </w:tcPr>
          <w:p w14:paraId="2F443CC4" w14:textId="77777777" w:rsidR="00173123" w:rsidRPr="00F4319D" w:rsidRDefault="00173123" w:rsidP="00F4626B">
            <w:pPr>
              <w:spacing w:line="259" w:lineRule="auto"/>
              <w:jc w:val="both"/>
              <w:rPr>
                <w:rFonts w:ascii="Arial" w:eastAsia="Calibri" w:hAnsi="Arial" w:cs="Arial"/>
                <w:sz w:val="18"/>
                <w:szCs w:val="18"/>
                <w:lang w:val="en-CA" w:eastAsia="en-CA"/>
              </w:rPr>
            </w:pPr>
            <w:r w:rsidRPr="00F4319D">
              <w:rPr>
                <w:rFonts w:ascii="Arial" w:eastAsia="Calibri" w:hAnsi="Arial" w:cs="Arial"/>
                <w:sz w:val="18"/>
                <w:szCs w:val="18"/>
                <w:lang w:val="en-CA" w:eastAsia="en-CA"/>
              </w:rPr>
              <w:t>Expected dividend yield</w:t>
            </w:r>
          </w:p>
        </w:tc>
        <w:tc>
          <w:tcPr>
            <w:tcW w:w="2923" w:type="dxa"/>
          </w:tcPr>
          <w:p w14:paraId="67DC07BD" w14:textId="77777777" w:rsidR="00173123" w:rsidRPr="00F4319D" w:rsidRDefault="00173123" w:rsidP="00F4626B">
            <w:pPr>
              <w:spacing w:line="259" w:lineRule="auto"/>
              <w:jc w:val="right"/>
              <w:rPr>
                <w:rFonts w:ascii="Arial" w:eastAsia="Calibri" w:hAnsi="Arial" w:cs="Arial"/>
                <w:sz w:val="18"/>
                <w:szCs w:val="18"/>
                <w:lang w:val="en-CA" w:eastAsia="en-CA"/>
              </w:rPr>
            </w:pPr>
            <w:r w:rsidRPr="00F4319D">
              <w:rPr>
                <w:rFonts w:ascii="Arial" w:eastAsia="Calibri" w:hAnsi="Arial" w:cs="Arial"/>
                <w:sz w:val="18"/>
                <w:szCs w:val="18"/>
                <w:lang w:val="en-CA" w:eastAsia="en-CA"/>
              </w:rPr>
              <w:t>Nil</w:t>
            </w:r>
          </w:p>
        </w:tc>
        <w:tc>
          <w:tcPr>
            <w:tcW w:w="2941" w:type="dxa"/>
          </w:tcPr>
          <w:p w14:paraId="7F21C402" w14:textId="77777777" w:rsidR="00173123" w:rsidRPr="00F4319D" w:rsidRDefault="00173123" w:rsidP="00F4626B">
            <w:pPr>
              <w:spacing w:line="259" w:lineRule="auto"/>
              <w:jc w:val="right"/>
              <w:rPr>
                <w:rFonts w:ascii="Arial" w:eastAsia="Calibri" w:hAnsi="Arial" w:cs="Arial"/>
                <w:sz w:val="18"/>
                <w:szCs w:val="18"/>
                <w:lang w:val="en-CA" w:eastAsia="en-CA"/>
              </w:rPr>
            </w:pPr>
            <w:r w:rsidRPr="00F4319D">
              <w:rPr>
                <w:rFonts w:ascii="Arial" w:eastAsia="Calibri" w:hAnsi="Arial" w:cs="Arial"/>
                <w:sz w:val="18"/>
                <w:szCs w:val="18"/>
                <w:lang w:val="en-CA" w:eastAsia="en-CA"/>
              </w:rPr>
              <w:t>Nil</w:t>
            </w:r>
          </w:p>
        </w:tc>
      </w:tr>
      <w:tr w:rsidR="00173123" w:rsidRPr="00F4319D" w14:paraId="4956CC15" w14:textId="77777777" w:rsidTr="00F46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10" w:type="dxa"/>
          </w:tcPr>
          <w:p w14:paraId="64363430" w14:textId="77777777" w:rsidR="00173123" w:rsidRPr="00F4319D" w:rsidRDefault="00173123" w:rsidP="00F4626B">
            <w:pPr>
              <w:spacing w:line="259" w:lineRule="auto"/>
              <w:jc w:val="both"/>
              <w:rPr>
                <w:rFonts w:ascii="Arial" w:eastAsia="Calibri" w:hAnsi="Arial" w:cs="Arial"/>
                <w:sz w:val="18"/>
                <w:szCs w:val="18"/>
                <w:lang w:val="en-CA" w:eastAsia="en-CA"/>
              </w:rPr>
            </w:pPr>
            <w:r w:rsidRPr="00F4319D">
              <w:rPr>
                <w:rFonts w:ascii="Arial" w:eastAsia="Calibri" w:hAnsi="Arial" w:cs="Arial"/>
                <w:sz w:val="18"/>
                <w:szCs w:val="18"/>
                <w:lang w:val="en-CA" w:eastAsia="en-CA"/>
              </w:rPr>
              <w:t>Credit Spread</w:t>
            </w:r>
          </w:p>
        </w:tc>
        <w:tc>
          <w:tcPr>
            <w:tcW w:w="2923" w:type="dxa"/>
          </w:tcPr>
          <w:p w14:paraId="0E7D02D6" w14:textId="3D7DD18A" w:rsidR="00173123" w:rsidRPr="00F4319D" w:rsidRDefault="00ED4F3D" w:rsidP="00F4626B">
            <w:pPr>
              <w:spacing w:line="259" w:lineRule="auto"/>
              <w:jc w:val="right"/>
              <w:rPr>
                <w:rFonts w:ascii="Arial" w:eastAsia="Calibri" w:hAnsi="Arial" w:cs="Arial"/>
                <w:sz w:val="18"/>
                <w:szCs w:val="18"/>
                <w:lang w:val="en-CA" w:eastAsia="en-CA"/>
              </w:rPr>
            </w:pPr>
            <w:r>
              <w:rPr>
                <w:rFonts w:ascii="Arial" w:eastAsia="Calibri" w:hAnsi="Arial" w:cs="Arial"/>
                <w:sz w:val="18"/>
                <w:szCs w:val="18"/>
                <w:lang w:val="en-CA" w:eastAsia="en-CA"/>
              </w:rPr>
              <w:t>30</w:t>
            </w:r>
            <w:r w:rsidR="00173123" w:rsidRPr="00F4319D">
              <w:rPr>
                <w:rFonts w:ascii="Arial" w:eastAsia="Calibri" w:hAnsi="Arial" w:cs="Arial"/>
                <w:sz w:val="18"/>
                <w:szCs w:val="18"/>
                <w:lang w:val="en-CA" w:eastAsia="en-CA"/>
              </w:rPr>
              <w:t>%</w:t>
            </w:r>
          </w:p>
        </w:tc>
        <w:tc>
          <w:tcPr>
            <w:tcW w:w="2941" w:type="dxa"/>
          </w:tcPr>
          <w:p w14:paraId="6CE286B5" w14:textId="23E582DF" w:rsidR="00173123" w:rsidRPr="00F4319D" w:rsidRDefault="00480D9E" w:rsidP="00F4626B">
            <w:pPr>
              <w:spacing w:line="259" w:lineRule="auto"/>
              <w:jc w:val="right"/>
              <w:rPr>
                <w:rFonts w:ascii="Arial" w:eastAsia="Calibri" w:hAnsi="Arial" w:cs="Arial"/>
                <w:sz w:val="18"/>
                <w:szCs w:val="18"/>
                <w:lang w:val="en-CA" w:eastAsia="en-CA"/>
              </w:rPr>
            </w:pPr>
            <w:r>
              <w:rPr>
                <w:rFonts w:ascii="Arial" w:eastAsia="Calibri" w:hAnsi="Arial" w:cs="Arial"/>
                <w:sz w:val="18"/>
                <w:szCs w:val="18"/>
                <w:lang w:val="en-CA" w:eastAsia="en-CA"/>
              </w:rPr>
              <w:t>30</w:t>
            </w:r>
            <w:r w:rsidR="00173123" w:rsidRPr="00F4319D">
              <w:rPr>
                <w:rFonts w:ascii="Arial" w:eastAsia="Calibri" w:hAnsi="Arial" w:cs="Arial"/>
                <w:sz w:val="18"/>
                <w:szCs w:val="18"/>
                <w:lang w:val="en-CA" w:eastAsia="en-CA"/>
              </w:rPr>
              <w:t>%</w:t>
            </w:r>
          </w:p>
        </w:tc>
      </w:tr>
      <w:tr w:rsidR="00173123" w:rsidRPr="00F4319D" w14:paraId="7F139EE5" w14:textId="77777777" w:rsidTr="00F46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10" w:type="dxa"/>
          </w:tcPr>
          <w:p w14:paraId="21E02510" w14:textId="77777777" w:rsidR="00173123" w:rsidRPr="00F4319D" w:rsidRDefault="00173123" w:rsidP="00F4626B">
            <w:pPr>
              <w:spacing w:line="259" w:lineRule="auto"/>
              <w:jc w:val="both"/>
              <w:rPr>
                <w:rFonts w:ascii="Arial" w:eastAsia="Calibri" w:hAnsi="Arial" w:cs="Arial"/>
                <w:sz w:val="18"/>
                <w:szCs w:val="18"/>
                <w:lang w:val="en-CA" w:eastAsia="en-CA"/>
              </w:rPr>
            </w:pPr>
            <w:r w:rsidRPr="00F4319D">
              <w:rPr>
                <w:rFonts w:ascii="Arial" w:eastAsia="Calibri" w:hAnsi="Arial" w:cs="Arial"/>
                <w:sz w:val="18"/>
                <w:szCs w:val="18"/>
                <w:lang w:val="en-CA" w:eastAsia="en-CA"/>
              </w:rPr>
              <w:t>Underlying share price</w:t>
            </w:r>
          </w:p>
        </w:tc>
        <w:tc>
          <w:tcPr>
            <w:tcW w:w="2923" w:type="dxa"/>
          </w:tcPr>
          <w:p w14:paraId="2EFA8BB7" w14:textId="0CA26D8F" w:rsidR="00173123" w:rsidRPr="00F4319D" w:rsidRDefault="00173123" w:rsidP="00F4626B">
            <w:pPr>
              <w:spacing w:line="259" w:lineRule="auto"/>
              <w:jc w:val="right"/>
              <w:rPr>
                <w:rFonts w:ascii="Arial" w:eastAsia="Calibri" w:hAnsi="Arial" w:cs="Arial"/>
                <w:sz w:val="18"/>
                <w:szCs w:val="18"/>
                <w:lang w:val="en-CA" w:eastAsia="en-CA"/>
              </w:rPr>
            </w:pPr>
            <w:r w:rsidRPr="00F4319D">
              <w:rPr>
                <w:rFonts w:ascii="Arial" w:eastAsia="Calibri" w:hAnsi="Arial" w:cs="Arial"/>
                <w:sz w:val="18"/>
                <w:szCs w:val="18"/>
                <w:lang w:val="en-CA" w:eastAsia="en-CA"/>
              </w:rPr>
              <w:t>$0.</w:t>
            </w:r>
            <w:r w:rsidR="00C168C1">
              <w:rPr>
                <w:rFonts w:ascii="Arial" w:eastAsia="Calibri" w:hAnsi="Arial" w:cs="Arial"/>
                <w:sz w:val="18"/>
                <w:szCs w:val="18"/>
                <w:lang w:val="en-CA" w:eastAsia="en-CA"/>
              </w:rPr>
              <w:t>1</w:t>
            </w:r>
            <w:r w:rsidR="00ED4F3D">
              <w:rPr>
                <w:rFonts w:ascii="Arial" w:eastAsia="Calibri" w:hAnsi="Arial" w:cs="Arial"/>
                <w:sz w:val="18"/>
                <w:szCs w:val="18"/>
                <w:lang w:val="en-CA" w:eastAsia="en-CA"/>
              </w:rPr>
              <w:t>1</w:t>
            </w:r>
          </w:p>
        </w:tc>
        <w:tc>
          <w:tcPr>
            <w:tcW w:w="2941" w:type="dxa"/>
          </w:tcPr>
          <w:p w14:paraId="5CCEA819" w14:textId="1CC2E240" w:rsidR="00173123" w:rsidRPr="00F4319D" w:rsidRDefault="00173123" w:rsidP="00F4626B">
            <w:pPr>
              <w:spacing w:line="259" w:lineRule="auto"/>
              <w:jc w:val="right"/>
              <w:rPr>
                <w:rFonts w:ascii="Arial" w:eastAsia="Calibri" w:hAnsi="Arial" w:cs="Arial"/>
                <w:sz w:val="18"/>
                <w:szCs w:val="18"/>
                <w:lang w:val="en-CA" w:eastAsia="en-CA"/>
              </w:rPr>
            </w:pPr>
            <w:r w:rsidRPr="00F4319D">
              <w:rPr>
                <w:rFonts w:ascii="Arial" w:eastAsia="Calibri" w:hAnsi="Arial" w:cs="Arial"/>
                <w:sz w:val="18"/>
                <w:szCs w:val="18"/>
                <w:lang w:val="en-CA" w:eastAsia="en-CA"/>
              </w:rPr>
              <w:t>$0.</w:t>
            </w:r>
            <w:r w:rsidR="00480D9E">
              <w:rPr>
                <w:rFonts w:ascii="Arial" w:eastAsia="Calibri" w:hAnsi="Arial" w:cs="Arial"/>
                <w:sz w:val="18"/>
                <w:szCs w:val="18"/>
                <w:lang w:val="en-CA" w:eastAsia="en-CA"/>
              </w:rPr>
              <w:t>11</w:t>
            </w:r>
          </w:p>
        </w:tc>
      </w:tr>
      <w:tr w:rsidR="00173123" w:rsidRPr="00F4319D" w14:paraId="33E9564C" w14:textId="77777777" w:rsidTr="00F46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10" w:type="dxa"/>
          </w:tcPr>
          <w:p w14:paraId="2EC3B2E6" w14:textId="4142F1D6" w:rsidR="00173123" w:rsidRPr="00F4319D" w:rsidRDefault="00E4327F" w:rsidP="00F4626B">
            <w:pPr>
              <w:spacing w:line="259" w:lineRule="auto"/>
              <w:jc w:val="both"/>
              <w:rPr>
                <w:rFonts w:ascii="Arial" w:eastAsia="Calibri" w:hAnsi="Arial" w:cs="Arial"/>
                <w:sz w:val="18"/>
                <w:szCs w:val="18"/>
                <w:lang w:val="en-CA" w:eastAsia="en-CA"/>
              </w:rPr>
            </w:pPr>
            <w:r>
              <w:rPr>
                <w:rFonts w:ascii="Arial" w:eastAsia="Calibri" w:hAnsi="Arial" w:cs="Arial"/>
                <w:sz w:val="18"/>
                <w:szCs w:val="18"/>
                <w:lang w:val="en-CA" w:eastAsia="en-CA"/>
              </w:rPr>
              <w:t>Exercise</w:t>
            </w:r>
            <w:r w:rsidR="00173123" w:rsidRPr="00F4319D">
              <w:rPr>
                <w:rFonts w:ascii="Arial" w:eastAsia="Calibri" w:hAnsi="Arial" w:cs="Arial"/>
                <w:sz w:val="18"/>
                <w:szCs w:val="18"/>
                <w:lang w:val="en-CA" w:eastAsia="en-CA"/>
              </w:rPr>
              <w:t xml:space="preserve"> price</w:t>
            </w:r>
          </w:p>
        </w:tc>
        <w:tc>
          <w:tcPr>
            <w:tcW w:w="2923" w:type="dxa"/>
          </w:tcPr>
          <w:p w14:paraId="24B2F733" w14:textId="5DDFE6B1" w:rsidR="00173123" w:rsidRPr="00F4319D" w:rsidRDefault="00173123" w:rsidP="00F4626B">
            <w:pPr>
              <w:spacing w:line="259" w:lineRule="auto"/>
              <w:jc w:val="right"/>
              <w:rPr>
                <w:rFonts w:ascii="Arial" w:eastAsia="Calibri" w:hAnsi="Arial" w:cs="Arial"/>
                <w:sz w:val="18"/>
                <w:szCs w:val="18"/>
                <w:lang w:val="en-CA" w:eastAsia="en-CA"/>
              </w:rPr>
            </w:pPr>
            <w:r w:rsidRPr="00F4319D">
              <w:rPr>
                <w:rFonts w:ascii="Arial" w:eastAsia="Calibri" w:hAnsi="Arial" w:cs="Arial"/>
                <w:sz w:val="18"/>
                <w:szCs w:val="18"/>
                <w:lang w:val="en-CA" w:eastAsia="en-CA"/>
              </w:rPr>
              <w:t>$0.1</w:t>
            </w:r>
            <w:r w:rsidR="00212B08">
              <w:rPr>
                <w:rFonts w:ascii="Arial" w:eastAsia="Calibri" w:hAnsi="Arial" w:cs="Arial"/>
                <w:sz w:val="18"/>
                <w:szCs w:val="18"/>
                <w:lang w:val="en-CA" w:eastAsia="en-CA"/>
              </w:rPr>
              <w:t>5</w:t>
            </w:r>
          </w:p>
        </w:tc>
        <w:tc>
          <w:tcPr>
            <w:tcW w:w="2941" w:type="dxa"/>
          </w:tcPr>
          <w:p w14:paraId="00C22A9C" w14:textId="7F04D3B0" w:rsidR="00173123" w:rsidRPr="00F4319D" w:rsidRDefault="00173123" w:rsidP="00F4626B">
            <w:pPr>
              <w:spacing w:line="259" w:lineRule="auto"/>
              <w:jc w:val="right"/>
              <w:rPr>
                <w:rFonts w:ascii="Arial" w:eastAsia="Calibri" w:hAnsi="Arial" w:cs="Arial"/>
                <w:sz w:val="18"/>
                <w:szCs w:val="18"/>
                <w:lang w:val="en-CA" w:eastAsia="en-CA"/>
              </w:rPr>
            </w:pPr>
            <w:r w:rsidRPr="00F4319D">
              <w:rPr>
                <w:rFonts w:ascii="Arial" w:eastAsia="Calibri" w:hAnsi="Arial" w:cs="Arial"/>
                <w:sz w:val="18"/>
                <w:szCs w:val="18"/>
                <w:lang w:val="en-CA" w:eastAsia="en-CA"/>
              </w:rPr>
              <w:t>$0.1</w:t>
            </w:r>
            <w:r w:rsidR="00663044">
              <w:rPr>
                <w:rFonts w:ascii="Arial" w:eastAsia="Calibri" w:hAnsi="Arial" w:cs="Arial"/>
                <w:sz w:val="18"/>
                <w:szCs w:val="18"/>
                <w:lang w:val="en-CA" w:eastAsia="en-CA"/>
              </w:rPr>
              <w:t>5</w:t>
            </w:r>
          </w:p>
        </w:tc>
      </w:tr>
      <w:tr w:rsidR="00173123" w:rsidRPr="00F4319D" w14:paraId="77B71AA3" w14:textId="77777777" w:rsidTr="00F46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10" w:type="dxa"/>
            <w:tcBorders>
              <w:bottom w:val="single" w:sz="4" w:space="0" w:color="auto"/>
            </w:tcBorders>
          </w:tcPr>
          <w:p w14:paraId="19A08139" w14:textId="77777777" w:rsidR="00173123" w:rsidRPr="00F4319D" w:rsidRDefault="00173123" w:rsidP="00F4626B">
            <w:pPr>
              <w:spacing w:line="259" w:lineRule="auto"/>
              <w:jc w:val="both"/>
              <w:rPr>
                <w:rFonts w:ascii="Arial" w:eastAsia="Calibri" w:hAnsi="Arial" w:cs="Arial"/>
                <w:sz w:val="18"/>
                <w:szCs w:val="18"/>
                <w:lang w:val="en-CA" w:eastAsia="en-CA"/>
              </w:rPr>
            </w:pPr>
            <w:r w:rsidRPr="00F4319D">
              <w:rPr>
                <w:rFonts w:ascii="Arial" w:eastAsia="Calibri" w:hAnsi="Arial" w:cs="Arial"/>
                <w:sz w:val="18"/>
                <w:szCs w:val="18"/>
                <w:lang w:val="en-CA" w:eastAsia="en-CA"/>
              </w:rPr>
              <w:t>Discount for lack of marketability</w:t>
            </w:r>
          </w:p>
        </w:tc>
        <w:tc>
          <w:tcPr>
            <w:tcW w:w="2923" w:type="dxa"/>
            <w:tcBorders>
              <w:bottom w:val="single" w:sz="4" w:space="0" w:color="auto"/>
            </w:tcBorders>
          </w:tcPr>
          <w:p w14:paraId="3D8A1DFE" w14:textId="530E8F01" w:rsidR="00173123" w:rsidRPr="00F4319D" w:rsidRDefault="00ED4F3D" w:rsidP="00F4626B">
            <w:pPr>
              <w:spacing w:line="259" w:lineRule="auto"/>
              <w:jc w:val="right"/>
              <w:rPr>
                <w:rFonts w:ascii="Arial" w:eastAsia="Calibri" w:hAnsi="Arial" w:cs="Arial"/>
                <w:sz w:val="18"/>
                <w:szCs w:val="18"/>
                <w:lang w:val="en-CA" w:eastAsia="en-CA"/>
              </w:rPr>
            </w:pPr>
            <w:r>
              <w:rPr>
                <w:rFonts w:ascii="Arial" w:eastAsia="Calibri" w:hAnsi="Arial" w:cs="Arial"/>
                <w:sz w:val="18"/>
                <w:szCs w:val="18"/>
                <w:lang w:val="en-CA" w:eastAsia="en-CA"/>
              </w:rPr>
              <w:t>44.56</w:t>
            </w:r>
            <w:r w:rsidR="00173123" w:rsidRPr="00F4319D">
              <w:rPr>
                <w:rFonts w:ascii="Arial" w:eastAsia="Calibri" w:hAnsi="Arial" w:cs="Arial"/>
                <w:sz w:val="18"/>
                <w:szCs w:val="18"/>
                <w:lang w:val="en-CA" w:eastAsia="en-CA"/>
              </w:rPr>
              <w:t>%</w:t>
            </w:r>
          </w:p>
        </w:tc>
        <w:tc>
          <w:tcPr>
            <w:tcW w:w="2941" w:type="dxa"/>
            <w:tcBorders>
              <w:bottom w:val="single" w:sz="4" w:space="0" w:color="auto"/>
            </w:tcBorders>
          </w:tcPr>
          <w:p w14:paraId="76AD76E5" w14:textId="4BC25696" w:rsidR="00173123" w:rsidRPr="00F4319D" w:rsidRDefault="00480D9E" w:rsidP="00F4626B">
            <w:pPr>
              <w:spacing w:line="259" w:lineRule="auto"/>
              <w:jc w:val="right"/>
              <w:rPr>
                <w:rFonts w:ascii="Arial" w:eastAsia="Calibri" w:hAnsi="Arial" w:cs="Arial"/>
                <w:sz w:val="18"/>
                <w:szCs w:val="18"/>
                <w:lang w:val="en-CA" w:eastAsia="en-CA"/>
              </w:rPr>
            </w:pPr>
            <w:r>
              <w:rPr>
                <w:rFonts w:ascii="Arial" w:eastAsia="Calibri" w:hAnsi="Arial" w:cs="Arial"/>
                <w:sz w:val="18"/>
                <w:szCs w:val="18"/>
                <w:lang w:val="en-CA" w:eastAsia="en-CA"/>
              </w:rPr>
              <w:t>44.56</w:t>
            </w:r>
            <w:r w:rsidR="00173123" w:rsidRPr="00F4319D">
              <w:rPr>
                <w:rFonts w:ascii="Arial" w:eastAsia="Calibri" w:hAnsi="Arial" w:cs="Arial"/>
                <w:sz w:val="18"/>
                <w:szCs w:val="18"/>
                <w:lang w:val="en-CA" w:eastAsia="en-CA"/>
              </w:rPr>
              <w:t>%</w:t>
            </w:r>
          </w:p>
        </w:tc>
      </w:tr>
      <w:bookmarkEnd w:id="0"/>
    </w:tbl>
    <w:p w14:paraId="6C6B4291" w14:textId="77777777" w:rsidR="00822599" w:rsidRDefault="00822599" w:rsidP="00822599">
      <w:pPr>
        <w:pStyle w:val="bn1"/>
        <w:spacing w:before="0" w:line="276" w:lineRule="auto"/>
        <w:ind w:left="0"/>
        <w:rPr>
          <w:rFonts w:cs="Arial"/>
        </w:rPr>
      </w:pPr>
    </w:p>
    <w:p w14:paraId="36370897" w14:textId="4BAE6269" w:rsidR="00D506D9" w:rsidRDefault="00596B35" w:rsidP="00052D87">
      <w:pPr>
        <w:pStyle w:val="bn1"/>
        <w:spacing w:before="0" w:line="276" w:lineRule="auto"/>
        <w:ind w:left="0"/>
        <w:rPr>
          <w:rFonts w:cs="Arial"/>
          <w:b/>
          <w:bCs/>
          <w:szCs w:val="24"/>
        </w:rPr>
      </w:pPr>
      <w:r>
        <w:rPr>
          <w:rFonts w:cs="Arial"/>
        </w:rPr>
        <w:t xml:space="preserve">On December </w:t>
      </w:r>
      <w:r w:rsidR="00DD13D9">
        <w:rPr>
          <w:rFonts w:cs="Arial"/>
        </w:rPr>
        <w:t>19</w:t>
      </w:r>
      <w:r>
        <w:rPr>
          <w:rFonts w:cs="Arial"/>
        </w:rPr>
        <w:t xml:space="preserve">, 2022, </w:t>
      </w:r>
      <w:r w:rsidR="007776CC">
        <w:rPr>
          <w:rFonts w:cs="Arial"/>
        </w:rPr>
        <w:t>the D</w:t>
      </w:r>
      <w:r w:rsidR="00A01A05">
        <w:rPr>
          <w:rFonts w:cs="Arial"/>
        </w:rPr>
        <w:t>ebentures</w:t>
      </w:r>
      <w:r w:rsidR="002B2E34">
        <w:rPr>
          <w:rFonts w:cs="Arial"/>
        </w:rPr>
        <w:t xml:space="preserve"> valued at $150</w:t>
      </w:r>
      <w:r w:rsidR="007776CC">
        <w:rPr>
          <w:rFonts w:cs="Arial"/>
        </w:rPr>
        <w:t xml:space="preserve"> and accrued interest</w:t>
      </w:r>
      <w:r w:rsidR="002B2E34">
        <w:rPr>
          <w:rFonts w:cs="Arial"/>
        </w:rPr>
        <w:t xml:space="preserve"> totaling $14</w:t>
      </w:r>
      <w:r w:rsidR="00A01A05">
        <w:rPr>
          <w:rFonts w:cs="Arial"/>
        </w:rPr>
        <w:t xml:space="preserve"> were converted to shares at a value of $0.15 per share</w:t>
      </w:r>
      <w:r w:rsidR="001D3127">
        <w:rPr>
          <w:rFonts w:cs="Arial"/>
        </w:rPr>
        <w:t>.</w:t>
      </w:r>
      <w:r w:rsidR="002B2E34">
        <w:rPr>
          <w:rFonts w:cs="Arial"/>
        </w:rPr>
        <w:t xml:space="preserve">  </w:t>
      </w:r>
      <w:r w:rsidR="00DD13D9">
        <w:rPr>
          <w:rFonts w:cs="Arial"/>
        </w:rPr>
        <w:t xml:space="preserve">A total of 1,092,659 shares </w:t>
      </w:r>
      <w:r w:rsidR="00EE743A">
        <w:rPr>
          <w:rFonts w:cs="Arial"/>
        </w:rPr>
        <w:t xml:space="preserve">and 546,329 warrants </w:t>
      </w:r>
      <w:r w:rsidR="00DD13D9">
        <w:rPr>
          <w:rFonts w:cs="Arial"/>
        </w:rPr>
        <w:t>were issued.</w:t>
      </w:r>
      <w:r w:rsidR="00616614">
        <w:rPr>
          <w:rFonts w:cs="Arial"/>
        </w:rPr>
        <w:t xml:space="preserve">  </w:t>
      </w:r>
      <w:r w:rsidR="00D506D9">
        <w:br w:type="page"/>
      </w:r>
    </w:p>
    <w:p w14:paraId="3C71BB07" w14:textId="5C80046F" w:rsidR="00CA3C16" w:rsidRPr="00DE0932" w:rsidRDefault="001143BF" w:rsidP="00CD7E54">
      <w:pPr>
        <w:pStyle w:val="Heading4"/>
        <w:spacing w:line="276" w:lineRule="auto"/>
        <w:ind w:left="360" w:hanging="360"/>
        <w:jc w:val="both"/>
        <w:rPr>
          <w:lang w:val="en-US"/>
        </w:rPr>
      </w:pPr>
      <w:r>
        <w:rPr>
          <w:lang w:val="en-US"/>
        </w:rPr>
        <w:lastRenderedPageBreak/>
        <w:t>4</w:t>
      </w:r>
      <w:r w:rsidR="00CA5CC1" w:rsidRPr="00DE0932">
        <w:rPr>
          <w:lang w:val="en-US"/>
        </w:rPr>
        <w:t>.</w:t>
      </w:r>
      <w:r w:rsidR="00CA5CC1" w:rsidRPr="00DE0932">
        <w:rPr>
          <w:lang w:val="en-US"/>
        </w:rPr>
        <w:tab/>
      </w:r>
      <w:r w:rsidR="00CA3C16" w:rsidRPr="00DE0932">
        <w:rPr>
          <w:lang w:val="en-US"/>
        </w:rPr>
        <w:t>BASIS OF PREPARATION OF FINANCIAL STATEMENTS</w:t>
      </w:r>
    </w:p>
    <w:p w14:paraId="7220DF45" w14:textId="77777777" w:rsidR="000976FB" w:rsidRPr="00DE0932" w:rsidRDefault="000976FB" w:rsidP="00CD7E54">
      <w:pPr>
        <w:pStyle w:val="bn"/>
        <w:overflowPunct/>
        <w:autoSpaceDE/>
        <w:autoSpaceDN/>
        <w:adjustRightInd/>
        <w:spacing w:before="0" w:line="276" w:lineRule="auto"/>
        <w:textAlignment w:val="auto"/>
        <w:rPr>
          <w:rFonts w:cs="Arial"/>
          <w:b/>
          <w:lang w:val="en-US"/>
        </w:rPr>
      </w:pPr>
    </w:p>
    <w:p w14:paraId="72225133" w14:textId="11CE6B1C" w:rsidR="008608B6" w:rsidRDefault="008608B6" w:rsidP="008C4A4F">
      <w:pPr>
        <w:pStyle w:val="bn2"/>
        <w:spacing w:before="0" w:line="276" w:lineRule="auto"/>
        <w:ind w:left="0"/>
        <w:rPr>
          <w:rFonts w:cs="Arial"/>
        </w:rPr>
      </w:pPr>
      <w:r w:rsidRPr="00DE0932">
        <w:rPr>
          <w:rFonts w:cs="Arial"/>
        </w:rPr>
        <w:t>The</w:t>
      </w:r>
      <w:r w:rsidR="009E40BB">
        <w:rPr>
          <w:rFonts w:cs="Arial"/>
        </w:rPr>
        <w:t xml:space="preserve"> </w:t>
      </w:r>
      <w:r w:rsidR="00052D87">
        <w:rPr>
          <w:rFonts w:cs="Arial"/>
        </w:rPr>
        <w:t xml:space="preserve">unaudited condensed </w:t>
      </w:r>
      <w:r w:rsidR="00AE4A8A">
        <w:rPr>
          <w:rFonts w:cs="Arial"/>
        </w:rPr>
        <w:t>consolidated</w:t>
      </w:r>
      <w:r w:rsidR="00052D87">
        <w:rPr>
          <w:rFonts w:cs="Arial"/>
        </w:rPr>
        <w:t xml:space="preserve"> interim</w:t>
      </w:r>
      <w:r w:rsidR="00903319">
        <w:rPr>
          <w:rFonts w:cs="Arial"/>
        </w:rPr>
        <w:t xml:space="preserve"> </w:t>
      </w:r>
      <w:r w:rsidRPr="00DE0932">
        <w:rPr>
          <w:rFonts w:cs="Arial"/>
        </w:rPr>
        <w:t xml:space="preserve">financial statements </w:t>
      </w:r>
      <w:r w:rsidR="008F390E">
        <w:rPr>
          <w:rFonts w:cs="Arial"/>
        </w:rPr>
        <w:t xml:space="preserve">for the </w:t>
      </w:r>
      <w:r w:rsidR="00BA2A2C">
        <w:rPr>
          <w:rFonts w:cs="Arial"/>
        </w:rPr>
        <w:t>three months ended November</w:t>
      </w:r>
      <w:r w:rsidR="00CC5055">
        <w:rPr>
          <w:rFonts w:cs="Arial"/>
        </w:rPr>
        <w:t> </w:t>
      </w:r>
      <w:r w:rsidR="00BA2A2C">
        <w:rPr>
          <w:rFonts w:cs="Arial"/>
        </w:rPr>
        <w:t>30</w:t>
      </w:r>
      <w:r w:rsidR="00B73A8D">
        <w:rPr>
          <w:rFonts w:cs="Arial"/>
        </w:rPr>
        <w:t>,</w:t>
      </w:r>
      <w:r w:rsidR="00B14D59">
        <w:rPr>
          <w:rFonts w:cs="Arial"/>
        </w:rPr>
        <w:t xml:space="preserve"> </w:t>
      </w:r>
      <w:r w:rsidR="00B73A8D">
        <w:rPr>
          <w:rFonts w:cs="Arial"/>
        </w:rPr>
        <w:t>2022 and 2021</w:t>
      </w:r>
      <w:r w:rsidRPr="00DE0932">
        <w:rPr>
          <w:rFonts w:cs="Arial"/>
        </w:rPr>
        <w:t xml:space="preserve"> include the accounts of </w:t>
      </w:r>
      <w:r w:rsidR="00B90AE0">
        <w:rPr>
          <w:rFonts w:cs="Arial"/>
        </w:rPr>
        <w:t>Kure</w:t>
      </w:r>
      <w:r w:rsidRPr="00DE0932">
        <w:rPr>
          <w:rFonts w:cs="Arial"/>
        </w:rPr>
        <w:t>’</w:t>
      </w:r>
      <w:r w:rsidR="00B956D3">
        <w:rPr>
          <w:rFonts w:cs="Arial"/>
        </w:rPr>
        <w:t>s</w:t>
      </w:r>
      <w:r w:rsidRPr="00DE0932">
        <w:rPr>
          <w:rFonts w:cs="Arial"/>
        </w:rPr>
        <w:t xml:space="preserve"> wholly owned subsidiary, </w:t>
      </w:r>
      <w:r w:rsidR="00B90AE0">
        <w:rPr>
          <w:rFonts w:cs="Arial"/>
        </w:rPr>
        <w:t>UBS Wireless</w:t>
      </w:r>
      <w:r w:rsidRPr="00DE0932">
        <w:rPr>
          <w:rFonts w:cs="Arial"/>
        </w:rPr>
        <w:t xml:space="preserve">. All significant intercompany balances and transactions have been eliminated upon consolidation.  </w:t>
      </w:r>
    </w:p>
    <w:p w14:paraId="3A59B0CE" w14:textId="77777777" w:rsidR="00C168C1" w:rsidRPr="00DE0932" w:rsidRDefault="00C168C1" w:rsidP="008C4A4F">
      <w:pPr>
        <w:pStyle w:val="bn2"/>
        <w:spacing w:before="0" w:line="276" w:lineRule="auto"/>
        <w:ind w:left="0"/>
        <w:rPr>
          <w:rFonts w:cs="Arial"/>
        </w:rPr>
      </w:pPr>
    </w:p>
    <w:p w14:paraId="62AB1118" w14:textId="58514D07" w:rsidR="000F2666" w:rsidRPr="00DE0932" w:rsidRDefault="001143BF" w:rsidP="008C4A4F">
      <w:pPr>
        <w:spacing w:line="276" w:lineRule="auto"/>
        <w:ind w:left="360" w:hanging="360"/>
        <w:rPr>
          <w:rFonts w:ascii="Arial" w:hAnsi="Arial" w:cs="Arial"/>
          <w:b/>
          <w:sz w:val="20"/>
        </w:rPr>
      </w:pPr>
      <w:r>
        <w:rPr>
          <w:rFonts w:ascii="Arial" w:hAnsi="Arial" w:cs="Arial"/>
          <w:b/>
          <w:sz w:val="20"/>
        </w:rPr>
        <w:t>5</w:t>
      </w:r>
      <w:r w:rsidR="000F2666" w:rsidRPr="00DE0932">
        <w:rPr>
          <w:rFonts w:ascii="Arial" w:hAnsi="Arial" w:cs="Arial"/>
          <w:b/>
          <w:sz w:val="20"/>
        </w:rPr>
        <w:t>.</w:t>
      </w:r>
      <w:r w:rsidR="000F2666" w:rsidRPr="00DE0932">
        <w:rPr>
          <w:rFonts w:ascii="Arial" w:hAnsi="Arial" w:cs="Arial"/>
          <w:b/>
          <w:sz w:val="20"/>
        </w:rPr>
        <w:tab/>
      </w:r>
      <w:r w:rsidR="008B1D06" w:rsidRPr="00DE0932">
        <w:rPr>
          <w:rFonts w:ascii="Arial" w:hAnsi="Arial" w:cs="Arial"/>
          <w:b/>
          <w:sz w:val="20"/>
        </w:rPr>
        <w:t xml:space="preserve">SUMMARY OF </w:t>
      </w:r>
      <w:r w:rsidR="000F2666" w:rsidRPr="00DE0932">
        <w:rPr>
          <w:rFonts w:ascii="Arial" w:hAnsi="Arial" w:cs="Arial"/>
          <w:b/>
          <w:sz w:val="20"/>
        </w:rPr>
        <w:t>SIGNIFICANT ACCOUNTING POLICIES</w:t>
      </w:r>
    </w:p>
    <w:p w14:paraId="57BBB210" w14:textId="77777777" w:rsidR="00337283" w:rsidRPr="001143BF" w:rsidRDefault="00337283" w:rsidP="008C4A4F">
      <w:pPr>
        <w:pStyle w:val="bn1"/>
        <w:spacing w:before="0" w:line="276" w:lineRule="auto"/>
        <w:ind w:left="0"/>
        <w:rPr>
          <w:rFonts w:cs="Arial"/>
          <w:lang w:val="en-US"/>
        </w:rPr>
      </w:pPr>
    </w:p>
    <w:p w14:paraId="5FBE1636" w14:textId="05B7F8C2" w:rsidR="00011F62" w:rsidRPr="00D4453F" w:rsidRDefault="007D3C4F" w:rsidP="00D81CF6">
      <w:pPr>
        <w:pStyle w:val="bn"/>
        <w:spacing w:before="0" w:line="276" w:lineRule="auto"/>
        <w:rPr>
          <w:rFonts w:cs="Arial"/>
          <w:sz w:val="18"/>
          <w:szCs w:val="18"/>
        </w:rPr>
      </w:pPr>
      <w:r w:rsidRPr="00DE0932">
        <w:rPr>
          <w:rFonts w:cs="Arial"/>
        </w:rPr>
        <w:t>Management’s discussion and analysis of operating results and financial condition are made with reference to the Company’s</w:t>
      </w:r>
      <w:r>
        <w:rPr>
          <w:rFonts w:cs="Arial"/>
        </w:rPr>
        <w:t xml:space="preserve"> </w:t>
      </w:r>
      <w:r w:rsidR="00CC5055">
        <w:rPr>
          <w:rFonts w:cs="Arial"/>
        </w:rPr>
        <w:t xml:space="preserve">unaudited condensed </w:t>
      </w:r>
      <w:r>
        <w:rPr>
          <w:rFonts w:cs="Arial"/>
        </w:rPr>
        <w:t>consolidated</w:t>
      </w:r>
      <w:r w:rsidR="00CC5055">
        <w:rPr>
          <w:rFonts w:cs="Arial"/>
        </w:rPr>
        <w:t xml:space="preserve"> interim</w:t>
      </w:r>
      <w:r w:rsidRPr="00DE0932">
        <w:rPr>
          <w:rFonts w:cs="Arial"/>
        </w:rPr>
        <w:t xml:space="preserve"> financial statements and notes thereto for the</w:t>
      </w:r>
      <w:r>
        <w:rPr>
          <w:rFonts w:cs="Arial"/>
        </w:rPr>
        <w:t xml:space="preserve"> </w:t>
      </w:r>
      <w:r w:rsidR="00BA2A2C">
        <w:rPr>
          <w:rFonts w:cs="Arial"/>
        </w:rPr>
        <w:t>three months ended November 30</w:t>
      </w:r>
      <w:r>
        <w:rPr>
          <w:rFonts w:cs="Arial"/>
        </w:rPr>
        <w:t>, 202</w:t>
      </w:r>
      <w:r w:rsidR="00D506D9">
        <w:rPr>
          <w:rFonts w:cs="Arial"/>
        </w:rPr>
        <w:t>2</w:t>
      </w:r>
      <w:r>
        <w:rPr>
          <w:rFonts w:cs="Arial"/>
        </w:rPr>
        <w:t xml:space="preserve"> and 202</w:t>
      </w:r>
      <w:r w:rsidR="00D506D9">
        <w:rPr>
          <w:rFonts w:cs="Arial"/>
        </w:rPr>
        <w:t>1</w:t>
      </w:r>
      <w:r>
        <w:rPr>
          <w:rFonts w:cs="Arial"/>
        </w:rPr>
        <w:t>,</w:t>
      </w:r>
      <w:r w:rsidRPr="00DE0932">
        <w:rPr>
          <w:rFonts w:cs="Arial"/>
        </w:rPr>
        <w:t xml:space="preserve"> which have been prepared in accordance with IFRS. The Company’s significant accounting policies are summarized in detail in note 2 of the Company’s consolidated annual financial statements for the year ended </w:t>
      </w:r>
      <w:r>
        <w:rPr>
          <w:rFonts w:cs="Arial"/>
        </w:rPr>
        <w:t>August 31, 202</w:t>
      </w:r>
      <w:r w:rsidR="001A0B0E">
        <w:rPr>
          <w:rFonts w:cs="Arial"/>
        </w:rPr>
        <w:t>2</w:t>
      </w:r>
      <w:r w:rsidR="00D81CF6">
        <w:rPr>
          <w:rFonts w:cs="Arial"/>
        </w:rPr>
        <w:t>.</w:t>
      </w:r>
      <w:r w:rsidR="00011F62" w:rsidRPr="00D4453F">
        <w:rPr>
          <w:rFonts w:cs="Arial"/>
          <w:sz w:val="18"/>
          <w:szCs w:val="18"/>
        </w:rPr>
        <w:t xml:space="preserve"> </w:t>
      </w:r>
    </w:p>
    <w:p w14:paraId="39208956" w14:textId="77777777" w:rsidR="00105634" w:rsidRDefault="00105634" w:rsidP="002F6934">
      <w:pPr>
        <w:ind w:left="360" w:hanging="360"/>
        <w:rPr>
          <w:rFonts w:ascii="Arial" w:hAnsi="Arial" w:cs="Arial"/>
          <w:b/>
          <w:sz w:val="20"/>
        </w:rPr>
      </w:pPr>
    </w:p>
    <w:p w14:paraId="6CF70FCD" w14:textId="5F467424" w:rsidR="001F4CBE" w:rsidRPr="00DE0932" w:rsidRDefault="00D21E19" w:rsidP="002F6934">
      <w:pPr>
        <w:ind w:left="360" w:hanging="360"/>
        <w:rPr>
          <w:rFonts w:ascii="Arial" w:hAnsi="Arial" w:cs="Arial"/>
          <w:b/>
          <w:sz w:val="20"/>
        </w:rPr>
      </w:pPr>
      <w:r>
        <w:rPr>
          <w:rFonts w:ascii="Arial" w:hAnsi="Arial" w:cs="Arial"/>
          <w:b/>
          <w:sz w:val="20"/>
        </w:rPr>
        <w:t>6</w:t>
      </w:r>
      <w:r w:rsidR="00586AED">
        <w:rPr>
          <w:rFonts w:ascii="Arial" w:hAnsi="Arial" w:cs="Arial"/>
          <w:b/>
          <w:sz w:val="20"/>
        </w:rPr>
        <w:t>.</w:t>
      </w:r>
      <w:r w:rsidR="00586AED">
        <w:rPr>
          <w:rFonts w:ascii="Arial" w:hAnsi="Arial" w:cs="Arial"/>
          <w:b/>
          <w:sz w:val="20"/>
        </w:rPr>
        <w:tab/>
      </w:r>
      <w:r w:rsidR="00427199" w:rsidRPr="00DE0932">
        <w:rPr>
          <w:rFonts w:ascii="Arial" w:hAnsi="Arial" w:cs="Arial"/>
          <w:b/>
          <w:sz w:val="20"/>
        </w:rPr>
        <w:t>RESULTS OF OPERATIONS</w:t>
      </w:r>
    </w:p>
    <w:p w14:paraId="5D261FAF" w14:textId="77777777" w:rsidR="00571A98" w:rsidRPr="00DE0932" w:rsidRDefault="00571A98" w:rsidP="00CD7E54">
      <w:pPr>
        <w:pStyle w:val="bn"/>
        <w:overflowPunct/>
        <w:autoSpaceDE/>
        <w:autoSpaceDN/>
        <w:adjustRightInd/>
        <w:spacing w:before="0" w:line="276" w:lineRule="auto"/>
        <w:textAlignment w:val="auto"/>
        <w:rPr>
          <w:rFonts w:cs="Arial"/>
          <w:b/>
          <w:lang w:val="en-US"/>
        </w:rPr>
      </w:pPr>
    </w:p>
    <w:p w14:paraId="1A9A724A" w14:textId="55E3DAE0" w:rsidR="00CF2E53" w:rsidRPr="00DE0932" w:rsidRDefault="00CF2E53" w:rsidP="00CD7E54">
      <w:pPr>
        <w:spacing w:line="276" w:lineRule="auto"/>
        <w:jc w:val="both"/>
        <w:rPr>
          <w:rFonts w:ascii="Arial" w:hAnsi="Arial" w:cs="Arial"/>
          <w:sz w:val="20"/>
        </w:rPr>
      </w:pPr>
      <w:r w:rsidRPr="00DE0932">
        <w:rPr>
          <w:rFonts w:ascii="Arial" w:hAnsi="Arial" w:cs="Arial"/>
          <w:sz w:val="20"/>
        </w:rPr>
        <w:t xml:space="preserve">Highlights of the results </w:t>
      </w:r>
      <w:r w:rsidR="008F390E">
        <w:rPr>
          <w:rFonts w:ascii="Arial" w:hAnsi="Arial" w:cs="Arial"/>
          <w:sz w:val="20"/>
        </w:rPr>
        <w:t xml:space="preserve">for the </w:t>
      </w:r>
      <w:r w:rsidR="00D21E19">
        <w:rPr>
          <w:rFonts w:ascii="Arial" w:hAnsi="Arial" w:cs="Arial"/>
          <w:sz w:val="20"/>
        </w:rPr>
        <w:t>three months</w:t>
      </w:r>
      <w:r w:rsidR="00B55BAE">
        <w:rPr>
          <w:rFonts w:ascii="Arial" w:hAnsi="Arial" w:cs="Arial"/>
          <w:sz w:val="20"/>
        </w:rPr>
        <w:t xml:space="preserve"> ended </w:t>
      </w:r>
      <w:r w:rsidR="00D21E19">
        <w:rPr>
          <w:rFonts w:ascii="Arial" w:hAnsi="Arial" w:cs="Arial"/>
          <w:sz w:val="20"/>
        </w:rPr>
        <w:t>November 30</w:t>
      </w:r>
      <w:r w:rsidR="00B73A8D">
        <w:rPr>
          <w:rFonts w:ascii="Arial" w:hAnsi="Arial" w:cs="Arial"/>
          <w:sz w:val="20"/>
        </w:rPr>
        <w:t>,</w:t>
      </w:r>
      <w:r w:rsidR="00B14D59">
        <w:rPr>
          <w:rFonts w:ascii="Arial" w:hAnsi="Arial" w:cs="Arial"/>
          <w:sz w:val="20"/>
        </w:rPr>
        <w:t xml:space="preserve"> </w:t>
      </w:r>
      <w:r w:rsidR="00B73A8D">
        <w:rPr>
          <w:rFonts w:ascii="Arial" w:hAnsi="Arial" w:cs="Arial"/>
          <w:sz w:val="20"/>
        </w:rPr>
        <w:t xml:space="preserve">2022 </w:t>
      </w:r>
      <w:r w:rsidRPr="00DE0932">
        <w:rPr>
          <w:rFonts w:ascii="Arial" w:hAnsi="Arial" w:cs="Arial"/>
          <w:sz w:val="20"/>
        </w:rPr>
        <w:t>include the following:</w:t>
      </w:r>
    </w:p>
    <w:p w14:paraId="321F4212" w14:textId="77777777" w:rsidR="00CF2E53" w:rsidRPr="00DE0932" w:rsidRDefault="00CF2E53" w:rsidP="00CD7E54">
      <w:pPr>
        <w:spacing w:line="276" w:lineRule="auto"/>
        <w:jc w:val="both"/>
        <w:rPr>
          <w:rFonts w:ascii="Arial" w:hAnsi="Arial" w:cs="Arial"/>
          <w:sz w:val="20"/>
        </w:rPr>
      </w:pPr>
    </w:p>
    <w:p w14:paraId="7436876D" w14:textId="529F0846" w:rsidR="00D83B74" w:rsidRDefault="00B90AE0" w:rsidP="00CD7E54">
      <w:pPr>
        <w:pStyle w:val="ListParagraph"/>
        <w:numPr>
          <w:ilvl w:val="0"/>
          <w:numId w:val="4"/>
        </w:numPr>
        <w:autoSpaceDE w:val="0"/>
        <w:autoSpaceDN w:val="0"/>
        <w:adjustRightInd w:val="0"/>
        <w:spacing w:line="276" w:lineRule="auto"/>
        <w:ind w:left="360"/>
        <w:jc w:val="both"/>
        <w:rPr>
          <w:rFonts w:ascii="Arial" w:hAnsi="Arial" w:cs="Arial"/>
          <w:sz w:val="20"/>
          <w:lang w:eastAsia="en-CA"/>
        </w:rPr>
      </w:pPr>
      <w:r>
        <w:rPr>
          <w:rFonts w:ascii="Arial" w:hAnsi="Arial" w:cs="Arial"/>
          <w:sz w:val="20"/>
          <w:lang w:eastAsia="en-CA"/>
        </w:rPr>
        <w:t>Kure</w:t>
      </w:r>
      <w:r w:rsidR="00D83B74" w:rsidRPr="00D167DC">
        <w:rPr>
          <w:rFonts w:ascii="Arial" w:hAnsi="Arial" w:cs="Arial"/>
          <w:sz w:val="20"/>
          <w:lang w:eastAsia="en-CA"/>
        </w:rPr>
        <w:t xml:space="preserve"> recorded </w:t>
      </w:r>
      <w:r w:rsidR="001A51D3">
        <w:rPr>
          <w:rFonts w:ascii="Arial" w:hAnsi="Arial" w:cs="Arial"/>
          <w:sz w:val="20"/>
          <w:lang w:eastAsia="en-CA"/>
        </w:rPr>
        <w:t>operating</w:t>
      </w:r>
      <w:r w:rsidR="00E57983">
        <w:rPr>
          <w:rFonts w:ascii="Arial" w:hAnsi="Arial" w:cs="Arial"/>
          <w:sz w:val="20"/>
          <w:lang w:eastAsia="en-CA"/>
        </w:rPr>
        <w:t xml:space="preserve"> loss</w:t>
      </w:r>
      <w:r w:rsidR="001A51D3">
        <w:rPr>
          <w:rFonts w:ascii="Arial" w:hAnsi="Arial" w:cs="Arial"/>
          <w:sz w:val="20"/>
          <w:lang w:eastAsia="en-CA"/>
        </w:rPr>
        <w:t>es</w:t>
      </w:r>
      <w:r w:rsidR="00E57983">
        <w:rPr>
          <w:rFonts w:ascii="Arial" w:hAnsi="Arial" w:cs="Arial"/>
          <w:sz w:val="20"/>
          <w:lang w:eastAsia="en-CA"/>
        </w:rPr>
        <w:t xml:space="preserve"> </w:t>
      </w:r>
      <w:r w:rsidR="001025C5">
        <w:rPr>
          <w:rFonts w:ascii="Arial" w:hAnsi="Arial" w:cs="Arial"/>
          <w:sz w:val="20"/>
          <w:lang w:eastAsia="en-CA"/>
        </w:rPr>
        <w:t>totaling</w:t>
      </w:r>
      <w:r w:rsidR="00322A3E">
        <w:rPr>
          <w:rFonts w:ascii="Arial" w:hAnsi="Arial" w:cs="Arial"/>
          <w:sz w:val="20"/>
          <w:lang w:eastAsia="en-CA"/>
        </w:rPr>
        <w:t xml:space="preserve"> </w:t>
      </w:r>
      <w:r w:rsidR="00A97D95">
        <w:rPr>
          <w:rFonts w:ascii="Arial" w:hAnsi="Arial" w:cs="Arial"/>
          <w:sz w:val="20"/>
          <w:lang w:eastAsia="en-CA"/>
        </w:rPr>
        <w:t>$</w:t>
      </w:r>
      <w:r w:rsidR="002D49A2">
        <w:rPr>
          <w:rFonts w:ascii="Arial" w:hAnsi="Arial" w:cs="Arial"/>
          <w:sz w:val="20"/>
          <w:lang w:eastAsia="en-CA"/>
        </w:rPr>
        <w:t>56</w:t>
      </w:r>
      <w:r w:rsidR="00886303">
        <w:rPr>
          <w:rFonts w:ascii="Arial" w:hAnsi="Arial" w:cs="Arial"/>
          <w:sz w:val="20"/>
          <w:lang w:eastAsia="en-CA"/>
        </w:rPr>
        <w:t xml:space="preserve"> </w:t>
      </w:r>
      <w:r w:rsidR="00F312E9">
        <w:rPr>
          <w:rFonts w:ascii="Arial" w:hAnsi="Arial" w:cs="Arial"/>
          <w:sz w:val="20"/>
          <w:lang w:eastAsia="en-CA"/>
        </w:rPr>
        <w:t>(</w:t>
      </w:r>
      <w:r w:rsidR="00D21E19">
        <w:rPr>
          <w:rFonts w:ascii="Arial" w:hAnsi="Arial" w:cs="Arial"/>
          <w:sz w:val="20"/>
          <w:lang w:eastAsia="en-CA"/>
        </w:rPr>
        <w:t>November 30</w:t>
      </w:r>
      <w:r w:rsidR="00FF5E37">
        <w:rPr>
          <w:rFonts w:ascii="Arial" w:hAnsi="Arial" w:cs="Arial"/>
          <w:sz w:val="20"/>
          <w:lang w:eastAsia="en-CA"/>
        </w:rPr>
        <w:t xml:space="preserve">, </w:t>
      </w:r>
      <w:r w:rsidR="00F312E9">
        <w:rPr>
          <w:rFonts w:ascii="Arial" w:hAnsi="Arial" w:cs="Arial"/>
          <w:sz w:val="20"/>
          <w:lang w:eastAsia="en-CA"/>
        </w:rPr>
        <w:t>202</w:t>
      </w:r>
      <w:r w:rsidR="00886303">
        <w:rPr>
          <w:rFonts w:ascii="Arial" w:hAnsi="Arial" w:cs="Arial"/>
          <w:sz w:val="20"/>
          <w:lang w:eastAsia="en-CA"/>
        </w:rPr>
        <w:t>1</w:t>
      </w:r>
      <w:r w:rsidR="00F312E9">
        <w:rPr>
          <w:rFonts w:ascii="Arial" w:hAnsi="Arial" w:cs="Arial"/>
          <w:sz w:val="20"/>
          <w:lang w:eastAsia="en-CA"/>
        </w:rPr>
        <w:t xml:space="preserve"> - $</w:t>
      </w:r>
      <w:r w:rsidR="002D49A2">
        <w:rPr>
          <w:rFonts w:ascii="Arial" w:hAnsi="Arial" w:cs="Arial"/>
          <w:sz w:val="20"/>
          <w:lang w:eastAsia="en-CA"/>
        </w:rPr>
        <w:t>70</w:t>
      </w:r>
      <w:proofErr w:type="gramStart"/>
      <w:r w:rsidR="00F312E9">
        <w:rPr>
          <w:rFonts w:ascii="Arial" w:hAnsi="Arial" w:cs="Arial"/>
          <w:sz w:val="20"/>
          <w:lang w:eastAsia="en-CA"/>
        </w:rPr>
        <w:t>)</w:t>
      </w:r>
      <w:r w:rsidR="00861D06">
        <w:rPr>
          <w:rFonts w:ascii="Arial" w:hAnsi="Arial" w:cs="Arial"/>
          <w:sz w:val="20"/>
          <w:lang w:eastAsia="en-CA"/>
        </w:rPr>
        <w:t>;</w:t>
      </w:r>
      <w:proofErr w:type="gramEnd"/>
    </w:p>
    <w:p w14:paraId="6AF64719" w14:textId="15B8695E" w:rsidR="00D9610F" w:rsidRPr="00BD47A0" w:rsidRDefault="00D83B74" w:rsidP="005F6B84">
      <w:pPr>
        <w:numPr>
          <w:ilvl w:val="0"/>
          <w:numId w:val="4"/>
        </w:numPr>
        <w:autoSpaceDE w:val="0"/>
        <w:autoSpaceDN w:val="0"/>
        <w:adjustRightInd w:val="0"/>
        <w:spacing w:line="276" w:lineRule="auto"/>
        <w:ind w:left="360"/>
        <w:jc w:val="both"/>
        <w:rPr>
          <w:rFonts w:ascii="Arial" w:hAnsi="Arial" w:cs="Arial"/>
          <w:b/>
          <w:bCs/>
          <w:sz w:val="20"/>
          <w:szCs w:val="24"/>
          <w:lang w:val="en-CA"/>
        </w:rPr>
      </w:pPr>
      <w:r w:rsidRPr="00BD47A0">
        <w:rPr>
          <w:rFonts w:ascii="Arial" w:hAnsi="Arial" w:cs="Arial"/>
          <w:sz w:val="20"/>
          <w:lang w:val="en-CA" w:eastAsia="en-CA"/>
        </w:rPr>
        <w:t xml:space="preserve">As </w:t>
      </w:r>
      <w:proofErr w:type="gramStart"/>
      <w:r w:rsidRPr="00BD47A0">
        <w:rPr>
          <w:rFonts w:ascii="Arial" w:hAnsi="Arial" w:cs="Arial"/>
          <w:sz w:val="20"/>
          <w:lang w:val="en-CA" w:eastAsia="en-CA"/>
        </w:rPr>
        <w:t>at</w:t>
      </w:r>
      <w:proofErr w:type="gramEnd"/>
      <w:r w:rsidR="002D49A2">
        <w:rPr>
          <w:rFonts w:ascii="Arial" w:hAnsi="Arial" w:cs="Arial"/>
          <w:sz w:val="20"/>
          <w:lang w:val="en-CA" w:eastAsia="en-CA"/>
        </w:rPr>
        <w:t xml:space="preserve"> November 30</w:t>
      </w:r>
      <w:r w:rsidR="0048472D">
        <w:rPr>
          <w:rFonts w:ascii="Arial" w:hAnsi="Arial" w:cs="Arial"/>
          <w:sz w:val="20"/>
          <w:lang w:val="en-CA" w:eastAsia="en-CA"/>
        </w:rPr>
        <w:t>, 202</w:t>
      </w:r>
      <w:r w:rsidR="008B78B5">
        <w:rPr>
          <w:rFonts w:ascii="Arial" w:hAnsi="Arial" w:cs="Arial"/>
          <w:sz w:val="20"/>
          <w:lang w:val="en-CA" w:eastAsia="en-CA"/>
        </w:rPr>
        <w:t>2</w:t>
      </w:r>
      <w:r w:rsidRPr="00BD47A0">
        <w:rPr>
          <w:rFonts w:ascii="Arial" w:hAnsi="Arial" w:cs="Arial"/>
          <w:sz w:val="20"/>
          <w:lang w:val="en-CA" w:eastAsia="en-CA"/>
        </w:rPr>
        <w:t xml:space="preserve">, </w:t>
      </w:r>
      <w:r w:rsidR="00B90AE0">
        <w:rPr>
          <w:rFonts w:ascii="Arial" w:hAnsi="Arial" w:cs="Arial"/>
          <w:sz w:val="20"/>
          <w:lang w:val="en-CA" w:eastAsia="en-CA"/>
        </w:rPr>
        <w:t>Kure</w:t>
      </w:r>
      <w:r w:rsidRPr="00BD47A0">
        <w:rPr>
          <w:rFonts w:ascii="Arial" w:hAnsi="Arial" w:cs="Arial"/>
          <w:sz w:val="20"/>
          <w:lang w:val="en-CA" w:eastAsia="en-CA"/>
        </w:rPr>
        <w:t xml:space="preserve"> held cash</w:t>
      </w:r>
      <w:r w:rsidR="00A01668">
        <w:rPr>
          <w:rFonts w:ascii="Arial" w:hAnsi="Arial" w:cs="Arial"/>
          <w:sz w:val="20"/>
          <w:lang w:val="en-CA" w:eastAsia="en-CA"/>
        </w:rPr>
        <w:t xml:space="preserve"> of $</w:t>
      </w:r>
      <w:r w:rsidR="002B5AEF">
        <w:rPr>
          <w:rFonts w:ascii="Arial" w:hAnsi="Arial" w:cs="Arial"/>
          <w:sz w:val="20"/>
          <w:lang w:val="en-CA" w:eastAsia="en-CA"/>
        </w:rPr>
        <w:t>2</w:t>
      </w:r>
      <w:r w:rsidR="004963D1">
        <w:rPr>
          <w:rFonts w:ascii="Arial" w:hAnsi="Arial" w:cs="Arial"/>
          <w:sz w:val="20"/>
          <w:lang w:val="en-CA" w:eastAsia="en-CA"/>
        </w:rPr>
        <w:t xml:space="preserve"> (</w:t>
      </w:r>
      <w:r w:rsidR="00205493">
        <w:rPr>
          <w:rFonts w:ascii="Arial" w:hAnsi="Arial" w:cs="Arial"/>
          <w:sz w:val="20"/>
          <w:lang w:val="en-CA" w:eastAsia="en-CA"/>
        </w:rPr>
        <w:t xml:space="preserve">August 31, </w:t>
      </w:r>
      <w:r w:rsidR="00803D0C">
        <w:rPr>
          <w:rFonts w:ascii="Arial" w:hAnsi="Arial" w:cs="Arial"/>
          <w:sz w:val="20"/>
          <w:lang w:val="en-CA" w:eastAsia="en-CA"/>
        </w:rPr>
        <w:t>20</w:t>
      </w:r>
      <w:r w:rsidR="00BE39C4">
        <w:rPr>
          <w:rFonts w:ascii="Arial" w:hAnsi="Arial" w:cs="Arial"/>
          <w:sz w:val="20"/>
          <w:lang w:val="en-CA" w:eastAsia="en-CA"/>
        </w:rPr>
        <w:t>2</w:t>
      </w:r>
      <w:r w:rsidR="002D49A2">
        <w:rPr>
          <w:rFonts w:ascii="Arial" w:hAnsi="Arial" w:cs="Arial"/>
          <w:sz w:val="20"/>
          <w:lang w:val="en-CA" w:eastAsia="en-CA"/>
        </w:rPr>
        <w:t>2</w:t>
      </w:r>
      <w:r w:rsidR="00803D0C">
        <w:rPr>
          <w:rFonts w:ascii="Arial" w:hAnsi="Arial" w:cs="Arial"/>
          <w:sz w:val="20"/>
          <w:lang w:val="en-CA" w:eastAsia="en-CA"/>
        </w:rPr>
        <w:t xml:space="preserve"> </w:t>
      </w:r>
      <w:r w:rsidR="004963D1">
        <w:rPr>
          <w:rFonts w:ascii="Arial" w:hAnsi="Arial" w:cs="Arial"/>
          <w:sz w:val="20"/>
          <w:lang w:val="en-CA" w:eastAsia="en-CA"/>
        </w:rPr>
        <w:t>- $</w:t>
      </w:r>
      <w:r w:rsidR="002D49A2">
        <w:rPr>
          <w:rFonts w:ascii="Arial" w:hAnsi="Arial" w:cs="Arial"/>
          <w:sz w:val="20"/>
          <w:lang w:val="en-CA" w:eastAsia="en-CA"/>
        </w:rPr>
        <w:t>2</w:t>
      </w:r>
      <w:r w:rsidR="004963D1">
        <w:rPr>
          <w:rFonts w:ascii="Arial" w:hAnsi="Arial" w:cs="Arial"/>
          <w:sz w:val="20"/>
          <w:lang w:val="en-CA" w:eastAsia="en-CA"/>
        </w:rPr>
        <w:t>)</w:t>
      </w:r>
      <w:r w:rsidRPr="00BD47A0">
        <w:rPr>
          <w:rFonts w:ascii="Arial" w:hAnsi="Arial" w:cs="Arial"/>
          <w:sz w:val="20"/>
          <w:lang w:val="en-CA" w:eastAsia="en-CA"/>
        </w:rPr>
        <w:t>.</w:t>
      </w:r>
    </w:p>
    <w:p w14:paraId="69B816E5" w14:textId="2977A4FF" w:rsidR="00861D06" w:rsidRDefault="00861D06">
      <w:pPr>
        <w:rPr>
          <w:rFonts w:ascii="Arial" w:hAnsi="Arial" w:cs="Arial"/>
          <w:b/>
          <w:bCs/>
          <w:sz w:val="20"/>
          <w:szCs w:val="24"/>
          <w:lang w:val="en-CA"/>
        </w:rPr>
      </w:pPr>
    </w:p>
    <w:p w14:paraId="30590669" w14:textId="230EAA65" w:rsidR="00290E9F" w:rsidRDefault="00290E9F" w:rsidP="00290E9F">
      <w:pPr>
        <w:pStyle w:val="Heading4"/>
        <w:spacing w:line="276" w:lineRule="auto"/>
        <w:jc w:val="both"/>
      </w:pPr>
      <w:r w:rsidRPr="00DE0932">
        <w:t>Operating expense</w:t>
      </w:r>
    </w:p>
    <w:tbl>
      <w:tblPr>
        <w:tblW w:w="9450" w:type="dxa"/>
        <w:tblInd w:w="-15" w:type="dxa"/>
        <w:tblLayout w:type="fixed"/>
        <w:tblLook w:val="0000" w:firstRow="0" w:lastRow="0" w:firstColumn="0" w:lastColumn="0" w:noHBand="0" w:noVBand="0"/>
      </w:tblPr>
      <w:tblGrid>
        <w:gridCol w:w="3240"/>
        <w:gridCol w:w="1620"/>
        <w:gridCol w:w="1620"/>
        <w:gridCol w:w="1530"/>
        <w:gridCol w:w="1440"/>
      </w:tblGrid>
      <w:tr w:rsidR="00C8359D" w:rsidRPr="00DE0932" w14:paraId="5C0F9D61" w14:textId="77777777" w:rsidTr="0079402E">
        <w:trPr>
          <w:trHeight w:val="303"/>
        </w:trPr>
        <w:tc>
          <w:tcPr>
            <w:tcW w:w="3240" w:type="dxa"/>
            <w:tcBorders>
              <w:top w:val="single" w:sz="6" w:space="0" w:color="auto"/>
              <w:left w:val="single" w:sz="6" w:space="0" w:color="auto"/>
            </w:tcBorders>
            <w:vAlign w:val="center"/>
          </w:tcPr>
          <w:p w14:paraId="10BB7B63" w14:textId="77777777" w:rsidR="00C8359D" w:rsidRPr="00DE0932" w:rsidRDefault="00C8359D" w:rsidP="00C8359D">
            <w:pPr>
              <w:tabs>
                <w:tab w:val="left" w:pos="5400"/>
                <w:tab w:val="left" w:pos="7560"/>
              </w:tabs>
              <w:spacing w:line="276" w:lineRule="auto"/>
              <w:jc w:val="both"/>
              <w:rPr>
                <w:rFonts w:ascii="Arial" w:hAnsi="Arial" w:cs="Arial"/>
                <w:i/>
                <w:sz w:val="18"/>
                <w:szCs w:val="18"/>
              </w:rPr>
            </w:pPr>
          </w:p>
        </w:tc>
        <w:tc>
          <w:tcPr>
            <w:tcW w:w="3240" w:type="dxa"/>
            <w:gridSpan w:val="2"/>
            <w:tcBorders>
              <w:top w:val="single" w:sz="4" w:space="0" w:color="auto"/>
              <w:right w:val="single" w:sz="4" w:space="0" w:color="auto"/>
            </w:tcBorders>
            <w:shd w:val="clear" w:color="auto" w:fill="auto"/>
            <w:vAlign w:val="center"/>
          </w:tcPr>
          <w:p w14:paraId="5EB26E56" w14:textId="31A3EB6D" w:rsidR="00C8359D" w:rsidRDefault="00C8359D" w:rsidP="00C8359D">
            <w:pPr>
              <w:spacing w:line="276" w:lineRule="auto"/>
              <w:jc w:val="center"/>
              <w:rPr>
                <w:rFonts w:ascii="Arial" w:hAnsi="Arial" w:cs="Arial"/>
                <w:b/>
                <w:sz w:val="18"/>
                <w:szCs w:val="18"/>
              </w:rPr>
            </w:pPr>
          </w:p>
        </w:tc>
        <w:tc>
          <w:tcPr>
            <w:tcW w:w="2970" w:type="dxa"/>
            <w:gridSpan w:val="2"/>
            <w:tcBorders>
              <w:top w:val="single" w:sz="6" w:space="0" w:color="auto"/>
              <w:left w:val="single" w:sz="4" w:space="0" w:color="auto"/>
              <w:bottom w:val="single" w:sz="6" w:space="0" w:color="auto"/>
              <w:right w:val="single" w:sz="6" w:space="0" w:color="auto"/>
            </w:tcBorders>
            <w:shd w:val="pct10" w:color="auto" w:fill="FFFFFF"/>
            <w:vAlign w:val="center"/>
          </w:tcPr>
          <w:p w14:paraId="007BF824" w14:textId="49E3AC7A" w:rsidR="00EA65CE" w:rsidRDefault="00EA65CE" w:rsidP="00A85456">
            <w:pPr>
              <w:spacing w:line="276" w:lineRule="auto"/>
              <w:jc w:val="center"/>
              <w:rPr>
                <w:rFonts w:ascii="Arial" w:hAnsi="Arial" w:cs="Arial"/>
                <w:b/>
                <w:sz w:val="18"/>
                <w:szCs w:val="18"/>
              </w:rPr>
            </w:pPr>
            <w:r>
              <w:rPr>
                <w:rFonts w:ascii="Arial" w:hAnsi="Arial" w:cs="Arial"/>
                <w:b/>
                <w:sz w:val="18"/>
                <w:szCs w:val="18"/>
              </w:rPr>
              <w:t>Three months</w:t>
            </w:r>
            <w:r w:rsidR="00A85456">
              <w:rPr>
                <w:rFonts w:ascii="Arial" w:hAnsi="Arial" w:cs="Arial"/>
                <w:b/>
                <w:sz w:val="18"/>
                <w:szCs w:val="18"/>
              </w:rPr>
              <w:t xml:space="preserve"> </w:t>
            </w:r>
            <w:proofErr w:type="gramStart"/>
            <w:r w:rsidR="00A85456">
              <w:rPr>
                <w:rFonts w:ascii="Arial" w:hAnsi="Arial" w:cs="Arial"/>
                <w:b/>
                <w:sz w:val="18"/>
                <w:szCs w:val="18"/>
              </w:rPr>
              <w:t>ended</w:t>
            </w:r>
            <w:proofErr w:type="gramEnd"/>
          </w:p>
          <w:p w14:paraId="037935BF" w14:textId="2946140D" w:rsidR="00C8359D" w:rsidRPr="00DE0932" w:rsidRDefault="00EA65CE" w:rsidP="00A85456">
            <w:pPr>
              <w:spacing w:line="276" w:lineRule="auto"/>
              <w:jc w:val="center"/>
              <w:rPr>
                <w:rFonts w:ascii="Arial" w:hAnsi="Arial" w:cs="Arial"/>
                <w:b/>
                <w:sz w:val="18"/>
                <w:szCs w:val="18"/>
              </w:rPr>
            </w:pPr>
            <w:r>
              <w:rPr>
                <w:rFonts w:ascii="Arial" w:hAnsi="Arial" w:cs="Arial"/>
                <w:b/>
                <w:sz w:val="18"/>
                <w:szCs w:val="18"/>
              </w:rPr>
              <w:t>November 30</w:t>
            </w:r>
            <w:r w:rsidR="00C8359D">
              <w:rPr>
                <w:rFonts w:ascii="Arial" w:hAnsi="Arial" w:cs="Arial"/>
                <w:b/>
                <w:sz w:val="18"/>
                <w:szCs w:val="18"/>
              </w:rPr>
              <w:t>,</w:t>
            </w:r>
          </w:p>
        </w:tc>
      </w:tr>
      <w:tr w:rsidR="00C8359D" w:rsidRPr="00DE0932" w14:paraId="7974C90F" w14:textId="77777777" w:rsidTr="0079402E">
        <w:trPr>
          <w:trHeight w:val="210"/>
        </w:trPr>
        <w:tc>
          <w:tcPr>
            <w:tcW w:w="3240" w:type="dxa"/>
            <w:tcBorders>
              <w:left w:val="single" w:sz="6" w:space="0" w:color="auto"/>
              <w:bottom w:val="single" w:sz="6" w:space="0" w:color="auto"/>
            </w:tcBorders>
            <w:vAlign w:val="center"/>
          </w:tcPr>
          <w:p w14:paraId="5E156688" w14:textId="77777777" w:rsidR="00C8359D" w:rsidRPr="00DE0932" w:rsidRDefault="00C8359D" w:rsidP="00C8359D">
            <w:pPr>
              <w:tabs>
                <w:tab w:val="left" w:pos="5400"/>
                <w:tab w:val="left" w:pos="7560"/>
              </w:tabs>
              <w:spacing w:line="276" w:lineRule="auto"/>
              <w:jc w:val="both"/>
              <w:rPr>
                <w:rFonts w:ascii="Arial" w:hAnsi="Arial" w:cs="Arial"/>
                <w:i/>
                <w:sz w:val="18"/>
                <w:szCs w:val="18"/>
              </w:rPr>
            </w:pPr>
          </w:p>
        </w:tc>
        <w:tc>
          <w:tcPr>
            <w:tcW w:w="1620" w:type="dxa"/>
            <w:tcBorders>
              <w:bottom w:val="single" w:sz="4" w:space="0" w:color="auto"/>
            </w:tcBorders>
            <w:shd w:val="clear" w:color="auto" w:fill="auto"/>
            <w:vAlign w:val="center"/>
          </w:tcPr>
          <w:p w14:paraId="1EDCBFC4" w14:textId="1D7F8062" w:rsidR="00C8359D" w:rsidRPr="00DE0932" w:rsidRDefault="00C8359D" w:rsidP="00C8359D">
            <w:pPr>
              <w:spacing w:line="276" w:lineRule="auto"/>
              <w:ind w:right="77"/>
              <w:jc w:val="right"/>
              <w:rPr>
                <w:rFonts w:ascii="Arial" w:hAnsi="Arial" w:cs="Arial"/>
                <w:b/>
                <w:sz w:val="18"/>
                <w:szCs w:val="18"/>
              </w:rPr>
            </w:pPr>
          </w:p>
        </w:tc>
        <w:tc>
          <w:tcPr>
            <w:tcW w:w="1620" w:type="dxa"/>
            <w:tcBorders>
              <w:bottom w:val="single" w:sz="4" w:space="0" w:color="auto"/>
              <w:right w:val="single" w:sz="4" w:space="0" w:color="auto"/>
            </w:tcBorders>
            <w:shd w:val="clear" w:color="auto" w:fill="FFFFFF"/>
            <w:vAlign w:val="center"/>
          </w:tcPr>
          <w:p w14:paraId="5506F539" w14:textId="788B927B" w:rsidR="00C8359D" w:rsidRPr="007C7BC4" w:rsidRDefault="00C8359D" w:rsidP="00C8359D">
            <w:pPr>
              <w:spacing w:line="276" w:lineRule="auto"/>
              <w:ind w:right="77"/>
              <w:jc w:val="right"/>
              <w:rPr>
                <w:rFonts w:ascii="Arial" w:hAnsi="Arial" w:cs="Arial"/>
                <w:bCs/>
                <w:sz w:val="18"/>
                <w:szCs w:val="18"/>
              </w:rPr>
            </w:pPr>
          </w:p>
        </w:tc>
        <w:tc>
          <w:tcPr>
            <w:tcW w:w="1530" w:type="dxa"/>
            <w:tcBorders>
              <w:top w:val="single" w:sz="6" w:space="0" w:color="auto"/>
              <w:left w:val="single" w:sz="4" w:space="0" w:color="auto"/>
              <w:bottom w:val="single" w:sz="6" w:space="0" w:color="auto"/>
              <w:right w:val="single" w:sz="6" w:space="0" w:color="auto"/>
            </w:tcBorders>
            <w:shd w:val="pct10" w:color="auto" w:fill="FFFFFF"/>
            <w:vAlign w:val="center"/>
          </w:tcPr>
          <w:p w14:paraId="760B5681" w14:textId="7438ACB2" w:rsidR="00C8359D" w:rsidRPr="00DE0932" w:rsidRDefault="00C8359D" w:rsidP="00C8359D">
            <w:pPr>
              <w:spacing w:line="276" w:lineRule="auto"/>
              <w:ind w:right="77"/>
              <w:jc w:val="right"/>
              <w:rPr>
                <w:rFonts w:ascii="Arial" w:hAnsi="Arial" w:cs="Arial"/>
                <w:b/>
                <w:sz w:val="18"/>
                <w:szCs w:val="18"/>
              </w:rPr>
            </w:pPr>
            <w:r>
              <w:rPr>
                <w:rFonts w:ascii="Arial" w:hAnsi="Arial" w:cs="Arial"/>
                <w:b/>
                <w:sz w:val="18"/>
                <w:szCs w:val="18"/>
              </w:rPr>
              <w:t>202</w:t>
            </w:r>
            <w:r w:rsidR="0097448C">
              <w:rPr>
                <w:rFonts w:ascii="Arial" w:hAnsi="Arial" w:cs="Arial"/>
                <w:b/>
                <w:sz w:val="18"/>
                <w:szCs w:val="18"/>
              </w:rPr>
              <w:t>2</w:t>
            </w:r>
          </w:p>
        </w:tc>
        <w:tc>
          <w:tcPr>
            <w:tcW w:w="1440" w:type="dxa"/>
            <w:tcBorders>
              <w:top w:val="single" w:sz="6" w:space="0" w:color="auto"/>
              <w:left w:val="single" w:sz="6" w:space="0" w:color="auto"/>
              <w:bottom w:val="single" w:sz="6" w:space="0" w:color="auto"/>
              <w:right w:val="single" w:sz="6" w:space="0" w:color="auto"/>
            </w:tcBorders>
            <w:vAlign w:val="center"/>
          </w:tcPr>
          <w:p w14:paraId="2C0290AB" w14:textId="44956142" w:rsidR="00C8359D" w:rsidRPr="007C7BC4" w:rsidRDefault="00C8359D" w:rsidP="00C8359D">
            <w:pPr>
              <w:spacing w:line="276" w:lineRule="auto"/>
              <w:ind w:right="77"/>
              <w:jc w:val="right"/>
              <w:rPr>
                <w:rFonts w:ascii="Arial" w:hAnsi="Arial" w:cs="Arial"/>
                <w:bCs/>
                <w:sz w:val="18"/>
                <w:szCs w:val="18"/>
              </w:rPr>
            </w:pPr>
            <w:r>
              <w:rPr>
                <w:rFonts w:ascii="Arial" w:hAnsi="Arial" w:cs="Arial"/>
                <w:bCs/>
                <w:sz w:val="18"/>
                <w:szCs w:val="18"/>
              </w:rPr>
              <w:t>202</w:t>
            </w:r>
            <w:r w:rsidR="0097448C">
              <w:rPr>
                <w:rFonts w:ascii="Arial" w:hAnsi="Arial" w:cs="Arial"/>
                <w:bCs/>
                <w:sz w:val="18"/>
                <w:szCs w:val="18"/>
              </w:rPr>
              <w:t>1</w:t>
            </w:r>
          </w:p>
        </w:tc>
      </w:tr>
      <w:tr w:rsidR="00C8359D" w:rsidRPr="00DE0932" w14:paraId="1CB1E5E4" w14:textId="77777777" w:rsidTr="0079402E">
        <w:trPr>
          <w:trHeight w:val="318"/>
        </w:trPr>
        <w:tc>
          <w:tcPr>
            <w:tcW w:w="3240" w:type="dxa"/>
            <w:tcBorders>
              <w:top w:val="single" w:sz="6" w:space="0" w:color="auto"/>
              <w:left w:val="single" w:sz="6" w:space="0" w:color="auto"/>
            </w:tcBorders>
            <w:vAlign w:val="bottom"/>
          </w:tcPr>
          <w:p w14:paraId="10523598" w14:textId="77777777" w:rsidR="00C8359D" w:rsidRPr="00DE0932" w:rsidRDefault="00C8359D" w:rsidP="00C8359D">
            <w:pPr>
              <w:tabs>
                <w:tab w:val="left" w:pos="5400"/>
                <w:tab w:val="left" w:pos="7560"/>
              </w:tabs>
              <w:spacing w:line="276" w:lineRule="auto"/>
              <w:rPr>
                <w:rFonts w:ascii="Arial" w:hAnsi="Arial" w:cs="Arial"/>
                <w:sz w:val="18"/>
                <w:szCs w:val="18"/>
              </w:rPr>
            </w:pPr>
            <w:r w:rsidRPr="00DE0932">
              <w:rPr>
                <w:rFonts w:ascii="Arial" w:hAnsi="Arial" w:cs="Arial"/>
                <w:sz w:val="18"/>
                <w:szCs w:val="18"/>
              </w:rPr>
              <w:t>Compensation</w:t>
            </w:r>
          </w:p>
        </w:tc>
        <w:tc>
          <w:tcPr>
            <w:tcW w:w="1620" w:type="dxa"/>
            <w:tcBorders>
              <w:top w:val="single" w:sz="4" w:space="0" w:color="auto"/>
            </w:tcBorders>
            <w:shd w:val="clear" w:color="auto" w:fill="auto"/>
            <w:vAlign w:val="bottom"/>
          </w:tcPr>
          <w:p w14:paraId="38D81068" w14:textId="6EF48CC9" w:rsidR="00C8359D" w:rsidRDefault="00C8359D" w:rsidP="00C8359D">
            <w:pPr>
              <w:tabs>
                <w:tab w:val="left" w:pos="612"/>
                <w:tab w:val="decimal" w:pos="1331"/>
              </w:tabs>
              <w:spacing w:line="276" w:lineRule="auto"/>
              <w:rPr>
                <w:rFonts w:ascii="Arial" w:hAnsi="Arial" w:cs="Arial"/>
                <w:b/>
                <w:sz w:val="18"/>
                <w:szCs w:val="18"/>
              </w:rPr>
            </w:pPr>
          </w:p>
        </w:tc>
        <w:tc>
          <w:tcPr>
            <w:tcW w:w="1620" w:type="dxa"/>
            <w:tcBorders>
              <w:top w:val="single" w:sz="4" w:space="0" w:color="auto"/>
              <w:right w:val="single" w:sz="4" w:space="0" w:color="auto"/>
            </w:tcBorders>
            <w:shd w:val="clear" w:color="auto" w:fill="FFFFFF"/>
            <w:vAlign w:val="bottom"/>
          </w:tcPr>
          <w:p w14:paraId="214D9B69" w14:textId="7822ED3F" w:rsidR="00C8359D" w:rsidRPr="007C7BC4" w:rsidRDefault="00C8359D" w:rsidP="00C8359D">
            <w:pPr>
              <w:spacing w:line="276" w:lineRule="auto"/>
              <w:ind w:right="71"/>
              <w:jc w:val="right"/>
              <w:rPr>
                <w:rFonts w:ascii="Arial" w:hAnsi="Arial" w:cs="Arial"/>
                <w:bCs/>
                <w:sz w:val="18"/>
                <w:szCs w:val="18"/>
              </w:rPr>
            </w:pPr>
          </w:p>
        </w:tc>
        <w:tc>
          <w:tcPr>
            <w:tcW w:w="1530" w:type="dxa"/>
            <w:tcBorders>
              <w:top w:val="single" w:sz="6" w:space="0" w:color="auto"/>
              <w:left w:val="single" w:sz="4" w:space="0" w:color="auto"/>
              <w:right w:val="single" w:sz="6" w:space="0" w:color="auto"/>
            </w:tcBorders>
            <w:shd w:val="pct10" w:color="auto" w:fill="FFFFFF"/>
            <w:vAlign w:val="bottom"/>
          </w:tcPr>
          <w:p w14:paraId="3CDEC67C" w14:textId="2B405526" w:rsidR="00C8359D" w:rsidRPr="00DE0932" w:rsidRDefault="00C8359D" w:rsidP="00C8359D">
            <w:pPr>
              <w:tabs>
                <w:tab w:val="left" w:pos="521"/>
                <w:tab w:val="decimal" w:pos="1241"/>
              </w:tabs>
              <w:spacing w:line="276" w:lineRule="auto"/>
              <w:rPr>
                <w:rFonts w:ascii="Arial" w:hAnsi="Arial" w:cs="Arial"/>
                <w:b/>
                <w:sz w:val="18"/>
                <w:szCs w:val="18"/>
              </w:rPr>
            </w:pPr>
            <w:r>
              <w:rPr>
                <w:rFonts w:ascii="Arial" w:hAnsi="Arial" w:cs="Arial"/>
                <w:b/>
                <w:sz w:val="18"/>
                <w:szCs w:val="18"/>
              </w:rPr>
              <w:tab/>
              <w:t>$</w:t>
            </w:r>
            <w:r>
              <w:rPr>
                <w:rFonts w:ascii="Arial" w:hAnsi="Arial" w:cs="Arial"/>
                <w:b/>
                <w:sz w:val="18"/>
                <w:szCs w:val="18"/>
              </w:rPr>
              <w:tab/>
            </w:r>
            <w:r w:rsidR="00EA65CE">
              <w:rPr>
                <w:rFonts w:ascii="Arial" w:hAnsi="Arial" w:cs="Arial"/>
                <w:b/>
                <w:sz w:val="18"/>
                <w:szCs w:val="18"/>
              </w:rPr>
              <w:t>46</w:t>
            </w:r>
          </w:p>
        </w:tc>
        <w:tc>
          <w:tcPr>
            <w:tcW w:w="1440" w:type="dxa"/>
            <w:tcBorders>
              <w:top w:val="single" w:sz="6" w:space="0" w:color="auto"/>
              <w:left w:val="single" w:sz="6" w:space="0" w:color="auto"/>
              <w:right w:val="single" w:sz="6" w:space="0" w:color="auto"/>
            </w:tcBorders>
            <w:vAlign w:val="bottom"/>
          </w:tcPr>
          <w:p w14:paraId="49715AB6" w14:textId="490F764C" w:rsidR="00C8359D" w:rsidRPr="007C7BC4" w:rsidRDefault="00C8359D" w:rsidP="00C8359D">
            <w:pPr>
              <w:tabs>
                <w:tab w:val="left" w:pos="435"/>
                <w:tab w:val="decimal" w:pos="1372"/>
              </w:tabs>
              <w:spacing w:line="276" w:lineRule="auto"/>
              <w:ind w:right="71"/>
              <w:rPr>
                <w:rFonts w:ascii="Arial" w:hAnsi="Arial" w:cs="Arial"/>
                <w:bCs/>
                <w:sz w:val="18"/>
                <w:szCs w:val="18"/>
              </w:rPr>
            </w:pPr>
            <w:r w:rsidRPr="007C7BC4">
              <w:rPr>
                <w:rFonts w:ascii="Arial" w:hAnsi="Arial" w:cs="Arial"/>
                <w:bCs/>
                <w:sz w:val="18"/>
                <w:szCs w:val="18"/>
              </w:rPr>
              <w:tab/>
              <w:t>$</w:t>
            </w:r>
            <w:r w:rsidRPr="007C7BC4">
              <w:rPr>
                <w:rFonts w:ascii="Arial" w:hAnsi="Arial" w:cs="Arial"/>
                <w:bCs/>
                <w:sz w:val="18"/>
                <w:szCs w:val="18"/>
              </w:rPr>
              <w:tab/>
            </w:r>
            <w:r w:rsidR="00EA65CE">
              <w:rPr>
                <w:rFonts w:ascii="Arial" w:hAnsi="Arial" w:cs="Arial"/>
                <w:bCs/>
                <w:sz w:val="18"/>
                <w:szCs w:val="18"/>
              </w:rPr>
              <w:t>46</w:t>
            </w:r>
          </w:p>
        </w:tc>
      </w:tr>
      <w:tr w:rsidR="00C8359D" w:rsidRPr="00DE0932" w14:paraId="2D3CF2BE" w14:textId="77777777" w:rsidTr="0079402E">
        <w:trPr>
          <w:trHeight w:val="318"/>
        </w:trPr>
        <w:tc>
          <w:tcPr>
            <w:tcW w:w="3240" w:type="dxa"/>
            <w:tcBorders>
              <w:left w:val="single" w:sz="6" w:space="0" w:color="auto"/>
              <w:bottom w:val="single" w:sz="4" w:space="0" w:color="auto"/>
            </w:tcBorders>
            <w:vAlign w:val="bottom"/>
          </w:tcPr>
          <w:p w14:paraId="6FCD1346" w14:textId="77777777" w:rsidR="00C8359D" w:rsidRPr="00DE0932" w:rsidRDefault="00C8359D" w:rsidP="00C8359D">
            <w:pPr>
              <w:tabs>
                <w:tab w:val="left" w:pos="5400"/>
                <w:tab w:val="left" w:pos="7560"/>
              </w:tabs>
              <w:spacing w:line="276" w:lineRule="auto"/>
              <w:rPr>
                <w:rFonts w:ascii="Arial" w:hAnsi="Arial" w:cs="Arial"/>
                <w:sz w:val="18"/>
                <w:szCs w:val="18"/>
              </w:rPr>
            </w:pPr>
            <w:r w:rsidRPr="00DE0932">
              <w:rPr>
                <w:rFonts w:ascii="Arial" w:hAnsi="Arial" w:cs="Arial"/>
                <w:sz w:val="18"/>
                <w:szCs w:val="18"/>
              </w:rPr>
              <w:t>General and administrative</w:t>
            </w:r>
          </w:p>
        </w:tc>
        <w:tc>
          <w:tcPr>
            <w:tcW w:w="1620" w:type="dxa"/>
            <w:tcBorders>
              <w:bottom w:val="single" w:sz="4" w:space="0" w:color="auto"/>
            </w:tcBorders>
            <w:shd w:val="clear" w:color="auto" w:fill="auto"/>
            <w:vAlign w:val="bottom"/>
          </w:tcPr>
          <w:p w14:paraId="0C1D6CD3" w14:textId="79DAB7F0" w:rsidR="00C8359D" w:rsidRPr="00DE0932" w:rsidRDefault="00C8359D" w:rsidP="00C8359D">
            <w:pPr>
              <w:tabs>
                <w:tab w:val="decimal" w:pos="1331"/>
              </w:tabs>
              <w:spacing w:line="276" w:lineRule="auto"/>
              <w:rPr>
                <w:rFonts w:ascii="Arial" w:hAnsi="Arial" w:cs="Arial"/>
                <w:b/>
                <w:sz w:val="18"/>
                <w:szCs w:val="18"/>
              </w:rPr>
            </w:pPr>
          </w:p>
        </w:tc>
        <w:tc>
          <w:tcPr>
            <w:tcW w:w="1620" w:type="dxa"/>
            <w:tcBorders>
              <w:bottom w:val="single" w:sz="4" w:space="0" w:color="auto"/>
              <w:right w:val="single" w:sz="4" w:space="0" w:color="auto"/>
            </w:tcBorders>
            <w:shd w:val="clear" w:color="auto" w:fill="FFFFFF"/>
            <w:vAlign w:val="bottom"/>
          </w:tcPr>
          <w:p w14:paraId="22E1DAB0" w14:textId="36C9E173" w:rsidR="00C8359D" w:rsidRPr="007C7BC4" w:rsidRDefault="00C8359D" w:rsidP="00C8359D">
            <w:pPr>
              <w:spacing w:line="276" w:lineRule="auto"/>
              <w:ind w:right="71"/>
              <w:jc w:val="right"/>
              <w:rPr>
                <w:rFonts w:ascii="Arial" w:hAnsi="Arial" w:cs="Arial"/>
                <w:bCs/>
                <w:sz w:val="18"/>
                <w:szCs w:val="18"/>
              </w:rPr>
            </w:pPr>
          </w:p>
        </w:tc>
        <w:tc>
          <w:tcPr>
            <w:tcW w:w="1530" w:type="dxa"/>
            <w:tcBorders>
              <w:left w:val="single" w:sz="4" w:space="0" w:color="auto"/>
              <w:bottom w:val="single" w:sz="4" w:space="0" w:color="auto"/>
              <w:right w:val="single" w:sz="6" w:space="0" w:color="auto"/>
            </w:tcBorders>
            <w:shd w:val="pct10" w:color="auto" w:fill="FFFFFF"/>
            <w:vAlign w:val="bottom"/>
          </w:tcPr>
          <w:p w14:paraId="29694E28" w14:textId="73B402C4" w:rsidR="00C8359D" w:rsidRPr="00DE0932" w:rsidRDefault="00C8359D" w:rsidP="00C8359D">
            <w:pPr>
              <w:tabs>
                <w:tab w:val="left" w:pos="521"/>
                <w:tab w:val="decimal" w:pos="1241"/>
              </w:tabs>
              <w:spacing w:line="276" w:lineRule="auto"/>
              <w:rPr>
                <w:rFonts w:ascii="Arial" w:hAnsi="Arial" w:cs="Arial"/>
                <w:b/>
                <w:bCs/>
                <w:sz w:val="18"/>
                <w:szCs w:val="18"/>
              </w:rPr>
            </w:pPr>
            <w:r>
              <w:rPr>
                <w:rFonts w:ascii="Arial" w:hAnsi="Arial" w:cs="Arial"/>
                <w:b/>
                <w:sz w:val="18"/>
                <w:szCs w:val="18"/>
              </w:rPr>
              <w:tab/>
            </w:r>
            <w:r>
              <w:rPr>
                <w:rFonts w:ascii="Arial" w:hAnsi="Arial" w:cs="Arial"/>
                <w:b/>
                <w:sz w:val="18"/>
                <w:szCs w:val="18"/>
              </w:rPr>
              <w:tab/>
            </w:r>
            <w:r w:rsidR="00EA65CE">
              <w:rPr>
                <w:rFonts w:ascii="Arial" w:hAnsi="Arial" w:cs="Arial"/>
                <w:b/>
                <w:sz w:val="18"/>
                <w:szCs w:val="18"/>
              </w:rPr>
              <w:t>10</w:t>
            </w:r>
          </w:p>
        </w:tc>
        <w:tc>
          <w:tcPr>
            <w:tcW w:w="1440" w:type="dxa"/>
            <w:tcBorders>
              <w:left w:val="single" w:sz="6" w:space="0" w:color="auto"/>
              <w:bottom w:val="single" w:sz="4" w:space="0" w:color="auto"/>
              <w:right w:val="single" w:sz="6" w:space="0" w:color="auto"/>
            </w:tcBorders>
            <w:vAlign w:val="bottom"/>
          </w:tcPr>
          <w:p w14:paraId="47E81365" w14:textId="4D04CBAF" w:rsidR="00C8359D" w:rsidRPr="007C7BC4" w:rsidRDefault="00EA65CE" w:rsidP="00C8359D">
            <w:pPr>
              <w:tabs>
                <w:tab w:val="decimal" w:pos="1372"/>
              </w:tabs>
              <w:spacing w:line="276" w:lineRule="auto"/>
              <w:ind w:right="71"/>
              <w:rPr>
                <w:rFonts w:ascii="Arial" w:hAnsi="Arial" w:cs="Arial"/>
                <w:bCs/>
                <w:sz w:val="18"/>
                <w:szCs w:val="18"/>
              </w:rPr>
            </w:pPr>
            <w:r>
              <w:rPr>
                <w:rFonts w:ascii="Arial" w:hAnsi="Arial" w:cs="Arial"/>
                <w:bCs/>
                <w:sz w:val="18"/>
                <w:szCs w:val="18"/>
              </w:rPr>
              <w:t>24</w:t>
            </w:r>
          </w:p>
        </w:tc>
      </w:tr>
      <w:tr w:rsidR="00C8359D" w:rsidRPr="00DE0932" w14:paraId="452090A3" w14:textId="77777777" w:rsidTr="0079402E">
        <w:trPr>
          <w:trHeight w:val="332"/>
        </w:trPr>
        <w:tc>
          <w:tcPr>
            <w:tcW w:w="3240" w:type="dxa"/>
            <w:tcBorders>
              <w:top w:val="single" w:sz="4" w:space="0" w:color="auto"/>
              <w:left w:val="single" w:sz="6" w:space="0" w:color="auto"/>
              <w:bottom w:val="single" w:sz="6" w:space="0" w:color="auto"/>
            </w:tcBorders>
            <w:vAlign w:val="bottom"/>
          </w:tcPr>
          <w:p w14:paraId="16392FD4" w14:textId="77777777" w:rsidR="00C8359D" w:rsidRPr="00DE0932" w:rsidRDefault="00C8359D" w:rsidP="00C8359D">
            <w:pPr>
              <w:tabs>
                <w:tab w:val="left" w:pos="5400"/>
                <w:tab w:val="left" w:pos="7560"/>
              </w:tabs>
              <w:spacing w:line="276" w:lineRule="auto"/>
              <w:rPr>
                <w:rFonts w:ascii="Arial" w:hAnsi="Arial" w:cs="Arial"/>
                <w:sz w:val="18"/>
                <w:szCs w:val="18"/>
              </w:rPr>
            </w:pPr>
            <w:r w:rsidRPr="00DE0932">
              <w:rPr>
                <w:rFonts w:ascii="Arial" w:hAnsi="Arial" w:cs="Arial"/>
                <w:sz w:val="18"/>
                <w:szCs w:val="18"/>
              </w:rPr>
              <w:t>To</w:t>
            </w:r>
            <w:r>
              <w:rPr>
                <w:rFonts w:ascii="Arial" w:hAnsi="Arial" w:cs="Arial"/>
                <w:sz w:val="18"/>
                <w:szCs w:val="18"/>
              </w:rPr>
              <w:t>tal operating expense</w:t>
            </w:r>
          </w:p>
        </w:tc>
        <w:tc>
          <w:tcPr>
            <w:tcW w:w="1620" w:type="dxa"/>
            <w:tcBorders>
              <w:top w:val="single" w:sz="4" w:space="0" w:color="auto"/>
              <w:bottom w:val="single" w:sz="4" w:space="0" w:color="auto"/>
            </w:tcBorders>
            <w:shd w:val="clear" w:color="auto" w:fill="auto"/>
            <w:vAlign w:val="bottom"/>
          </w:tcPr>
          <w:p w14:paraId="0A4AE35F" w14:textId="70195000" w:rsidR="00C8359D" w:rsidRPr="00DE0932" w:rsidRDefault="00C8359D" w:rsidP="00C8359D">
            <w:pPr>
              <w:tabs>
                <w:tab w:val="left" w:pos="612"/>
                <w:tab w:val="decimal" w:pos="1331"/>
              </w:tabs>
              <w:spacing w:line="276" w:lineRule="auto"/>
              <w:rPr>
                <w:rFonts w:ascii="Arial" w:hAnsi="Arial" w:cs="Arial"/>
                <w:b/>
                <w:sz w:val="18"/>
                <w:szCs w:val="18"/>
              </w:rPr>
            </w:pPr>
          </w:p>
        </w:tc>
        <w:tc>
          <w:tcPr>
            <w:tcW w:w="1620" w:type="dxa"/>
            <w:tcBorders>
              <w:top w:val="single" w:sz="4" w:space="0" w:color="auto"/>
              <w:bottom w:val="single" w:sz="4" w:space="0" w:color="auto"/>
              <w:right w:val="single" w:sz="4" w:space="0" w:color="auto"/>
            </w:tcBorders>
            <w:shd w:val="clear" w:color="auto" w:fill="FFFFFF"/>
            <w:vAlign w:val="bottom"/>
          </w:tcPr>
          <w:p w14:paraId="7A53B61D" w14:textId="56CF771C" w:rsidR="00C8359D" w:rsidRPr="007C7BC4" w:rsidRDefault="00C8359D" w:rsidP="00C8359D">
            <w:pPr>
              <w:spacing w:line="276" w:lineRule="auto"/>
              <w:ind w:right="71"/>
              <w:jc w:val="right"/>
              <w:rPr>
                <w:rFonts w:ascii="Arial" w:hAnsi="Arial" w:cs="Arial"/>
                <w:bCs/>
                <w:sz w:val="18"/>
                <w:szCs w:val="18"/>
              </w:rPr>
            </w:pPr>
          </w:p>
        </w:tc>
        <w:tc>
          <w:tcPr>
            <w:tcW w:w="1530" w:type="dxa"/>
            <w:tcBorders>
              <w:top w:val="single" w:sz="4" w:space="0" w:color="auto"/>
              <w:left w:val="single" w:sz="4" w:space="0" w:color="auto"/>
              <w:bottom w:val="single" w:sz="6" w:space="0" w:color="auto"/>
              <w:right w:val="single" w:sz="6" w:space="0" w:color="auto"/>
            </w:tcBorders>
            <w:shd w:val="pct10" w:color="auto" w:fill="FFFFFF"/>
            <w:vAlign w:val="bottom"/>
          </w:tcPr>
          <w:p w14:paraId="2AEC9276" w14:textId="5263F241" w:rsidR="00C8359D" w:rsidRPr="00DE0932" w:rsidRDefault="00C8359D" w:rsidP="00C8359D">
            <w:pPr>
              <w:tabs>
                <w:tab w:val="left" w:pos="521"/>
                <w:tab w:val="decimal" w:pos="1241"/>
              </w:tabs>
              <w:spacing w:line="276" w:lineRule="auto"/>
              <w:rPr>
                <w:rFonts w:ascii="Arial" w:hAnsi="Arial" w:cs="Arial"/>
                <w:b/>
                <w:sz w:val="18"/>
                <w:szCs w:val="18"/>
              </w:rPr>
            </w:pPr>
            <w:r w:rsidRPr="00DE0932">
              <w:rPr>
                <w:rFonts w:ascii="Arial" w:hAnsi="Arial" w:cs="Arial"/>
                <w:b/>
                <w:sz w:val="18"/>
                <w:szCs w:val="18"/>
              </w:rPr>
              <w:tab/>
              <w:t>$</w:t>
            </w:r>
            <w:r w:rsidRPr="00DE0932">
              <w:rPr>
                <w:rFonts w:ascii="Arial" w:hAnsi="Arial" w:cs="Arial"/>
                <w:b/>
                <w:sz w:val="18"/>
                <w:szCs w:val="18"/>
              </w:rPr>
              <w:tab/>
            </w:r>
            <w:r w:rsidR="00EA65CE">
              <w:rPr>
                <w:rFonts w:ascii="Arial" w:hAnsi="Arial" w:cs="Arial"/>
                <w:b/>
                <w:sz w:val="18"/>
                <w:szCs w:val="18"/>
              </w:rPr>
              <w:t>56</w:t>
            </w:r>
          </w:p>
        </w:tc>
        <w:tc>
          <w:tcPr>
            <w:tcW w:w="1440" w:type="dxa"/>
            <w:tcBorders>
              <w:top w:val="single" w:sz="4" w:space="0" w:color="auto"/>
              <w:left w:val="single" w:sz="6" w:space="0" w:color="auto"/>
              <w:bottom w:val="single" w:sz="6" w:space="0" w:color="auto"/>
              <w:right w:val="single" w:sz="6" w:space="0" w:color="auto"/>
            </w:tcBorders>
            <w:vAlign w:val="bottom"/>
          </w:tcPr>
          <w:p w14:paraId="50BB866B" w14:textId="4A1069C8" w:rsidR="00C8359D" w:rsidRPr="007C7BC4" w:rsidRDefault="00C8359D" w:rsidP="00C8359D">
            <w:pPr>
              <w:tabs>
                <w:tab w:val="left" w:pos="435"/>
                <w:tab w:val="decimal" w:pos="1372"/>
              </w:tabs>
              <w:spacing w:line="276" w:lineRule="auto"/>
              <w:ind w:right="71"/>
              <w:rPr>
                <w:rFonts w:ascii="Arial" w:hAnsi="Arial" w:cs="Arial"/>
                <w:bCs/>
                <w:sz w:val="18"/>
                <w:szCs w:val="18"/>
              </w:rPr>
            </w:pPr>
            <w:r w:rsidRPr="007C7BC4">
              <w:rPr>
                <w:rFonts w:ascii="Arial" w:hAnsi="Arial" w:cs="Arial"/>
                <w:bCs/>
                <w:sz w:val="18"/>
                <w:szCs w:val="18"/>
              </w:rPr>
              <w:tab/>
              <w:t>$</w:t>
            </w:r>
            <w:r w:rsidRPr="007C7BC4">
              <w:rPr>
                <w:rFonts w:ascii="Arial" w:hAnsi="Arial" w:cs="Arial"/>
                <w:bCs/>
                <w:sz w:val="18"/>
                <w:szCs w:val="18"/>
              </w:rPr>
              <w:tab/>
            </w:r>
            <w:r w:rsidR="004B4455">
              <w:rPr>
                <w:rFonts w:ascii="Arial" w:hAnsi="Arial" w:cs="Arial"/>
                <w:bCs/>
                <w:sz w:val="18"/>
                <w:szCs w:val="18"/>
              </w:rPr>
              <w:t>70</w:t>
            </w:r>
          </w:p>
        </w:tc>
      </w:tr>
    </w:tbl>
    <w:p w14:paraId="74B64D2C" w14:textId="77777777" w:rsidR="002E249B" w:rsidRDefault="002E249B" w:rsidP="00E0523A">
      <w:pPr>
        <w:pStyle w:val="Heading4"/>
        <w:spacing w:line="276" w:lineRule="auto"/>
        <w:jc w:val="both"/>
        <w:rPr>
          <w:szCs w:val="20"/>
        </w:rPr>
      </w:pPr>
    </w:p>
    <w:p w14:paraId="03566AFC" w14:textId="58815568" w:rsidR="00DF5990" w:rsidRPr="00E0523A" w:rsidRDefault="00DF5990" w:rsidP="00E0523A">
      <w:pPr>
        <w:pStyle w:val="Heading4"/>
        <w:spacing w:line="276" w:lineRule="auto"/>
        <w:jc w:val="both"/>
        <w:rPr>
          <w:b w:val="0"/>
          <w:szCs w:val="20"/>
        </w:rPr>
      </w:pPr>
      <w:r w:rsidRPr="00E0523A">
        <w:rPr>
          <w:szCs w:val="20"/>
        </w:rPr>
        <w:t>Compensation</w:t>
      </w:r>
    </w:p>
    <w:p w14:paraId="79762060" w14:textId="5E79B76A" w:rsidR="00703F3B" w:rsidRPr="00C0491F" w:rsidRDefault="007F40A0" w:rsidP="00E0523A">
      <w:pPr>
        <w:spacing w:line="276" w:lineRule="auto"/>
        <w:jc w:val="both"/>
        <w:rPr>
          <w:rFonts w:ascii="Arial" w:hAnsi="Arial" w:cs="Arial"/>
          <w:sz w:val="20"/>
        </w:rPr>
      </w:pPr>
      <w:r w:rsidRPr="00C0491F">
        <w:rPr>
          <w:rFonts w:ascii="Arial" w:hAnsi="Arial" w:cs="Arial"/>
          <w:sz w:val="20"/>
        </w:rPr>
        <w:t>Compensation expense include</w:t>
      </w:r>
      <w:r w:rsidR="00CC5941" w:rsidRPr="00C0491F">
        <w:rPr>
          <w:rFonts w:ascii="Arial" w:hAnsi="Arial" w:cs="Arial"/>
          <w:sz w:val="20"/>
        </w:rPr>
        <w:t>s</w:t>
      </w:r>
      <w:r w:rsidRPr="00C0491F">
        <w:rPr>
          <w:rFonts w:ascii="Arial" w:hAnsi="Arial" w:cs="Arial"/>
          <w:sz w:val="20"/>
        </w:rPr>
        <w:t xml:space="preserve"> </w:t>
      </w:r>
      <w:r w:rsidR="007315C8" w:rsidRPr="00C0491F">
        <w:rPr>
          <w:rFonts w:ascii="Arial" w:hAnsi="Arial" w:cs="Arial"/>
          <w:sz w:val="20"/>
        </w:rPr>
        <w:t xml:space="preserve">mainly </w:t>
      </w:r>
      <w:r w:rsidRPr="00C0491F">
        <w:rPr>
          <w:rFonts w:ascii="Arial" w:hAnsi="Arial" w:cs="Arial"/>
          <w:sz w:val="20"/>
        </w:rPr>
        <w:t>wages</w:t>
      </w:r>
      <w:r w:rsidR="008D3489">
        <w:rPr>
          <w:rFonts w:ascii="Arial" w:hAnsi="Arial" w:cs="Arial"/>
          <w:sz w:val="20"/>
        </w:rPr>
        <w:t>, consulting fees</w:t>
      </w:r>
      <w:r w:rsidRPr="00C0491F">
        <w:rPr>
          <w:rFonts w:ascii="Arial" w:hAnsi="Arial" w:cs="Arial"/>
          <w:sz w:val="20"/>
        </w:rPr>
        <w:t>, salaries</w:t>
      </w:r>
      <w:r w:rsidR="007315C8" w:rsidRPr="00C0491F">
        <w:rPr>
          <w:rFonts w:ascii="Arial" w:hAnsi="Arial" w:cs="Arial"/>
          <w:sz w:val="20"/>
        </w:rPr>
        <w:t xml:space="preserve"> and </w:t>
      </w:r>
      <w:r w:rsidRPr="00C0491F">
        <w:rPr>
          <w:rFonts w:ascii="Arial" w:hAnsi="Arial" w:cs="Arial"/>
          <w:sz w:val="20"/>
        </w:rPr>
        <w:t>benefits</w:t>
      </w:r>
      <w:r w:rsidR="007315C8" w:rsidRPr="00C0491F">
        <w:rPr>
          <w:rFonts w:ascii="Arial" w:hAnsi="Arial" w:cs="Arial"/>
          <w:sz w:val="20"/>
        </w:rPr>
        <w:t>.</w:t>
      </w:r>
    </w:p>
    <w:p w14:paraId="43C50B18" w14:textId="77777777" w:rsidR="00703F3B" w:rsidRPr="00C0491F" w:rsidRDefault="00703F3B" w:rsidP="00E0523A">
      <w:pPr>
        <w:spacing w:line="276" w:lineRule="auto"/>
        <w:jc w:val="both"/>
        <w:rPr>
          <w:rFonts w:ascii="Arial" w:hAnsi="Arial" w:cs="Arial"/>
          <w:sz w:val="20"/>
        </w:rPr>
      </w:pPr>
    </w:p>
    <w:p w14:paraId="1D3B7DCD" w14:textId="3FD12CA8" w:rsidR="00745006" w:rsidRDefault="00C0491F" w:rsidP="00923C3A">
      <w:pPr>
        <w:spacing w:line="276" w:lineRule="auto"/>
        <w:jc w:val="both"/>
        <w:rPr>
          <w:rFonts w:ascii="Arial" w:hAnsi="Arial" w:cs="Arial"/>
          <w:sz w:val="20"/>
        </w:rPr>
      </w:pPr>
      <w:r w:rsidRPr="00C0491F">
        <w:rPr>
          <w:rFonts w:ascii="Arial" w:hAnsi="Arial" w:cs="Arial"/>
          <w:sz w:val="20"/>
        </w:rPr>
        <w:t xml:space="preserve">During the </w:t>
      </w:r>
      <w:r w:rsidR="00BA2A2C">
        <w:rPr>
          <w:rFonts w:ascii="Arial" w:hAnsi="Arial" w:cs="Arial"/>
          <w:sz w:val="20"/>
        </w:rPr>
        <w:t>three months ended November 30</w:t>
      </w:r>
      <w:r w:rsidR="00B73A8D">
        <w:rPr>
          <w:rFonts w:ascii="Arial" w:hAnsi="Arial" w:cs="Arial"/>
          <w:sz w:val="20"/>
        </w:rPr>
        <w:t>,</w:t>
      </w:r>
      <w:r w:rsidR="00EA3DA7">
        <w:rPr>
          <w:rFonts w:ascii="Arial" w:hAnsi="Arial" w:cs="Arial"/>
          <w:sz w:val="20"/>
        </w:rPr>
        <w:t xml:space="preserve"> 202</w:t>
      </w:r>
      <w:r w:rsidR="00425323">
        <w:rPr>
          <w:rFonts w:ascii="Arial" w:hAnsi="Arial" w:cs="Arial"/>
          <w:sz w:val="20"/>
        </w:rPr>
        <w:t>2</w:t>
      </w:r>
      <w:r w:rsidRPr="00C0491F">
        <w:rPr>
          <w:rFonts w:ascii="Arial" w:hAnsi="Arial" w:cs="Arial"/>
          <w:sz w:val="20"/>
        </w:rPr>
        <w:t xml:space="preserve">, the Company expensed </w:t>
      </w:r>
      <w:r w:rsidR="00EA3DA7">
        <w:rPr>
          <w:rFonts w:ascii="Arial" w:hAnsi="Arial" w:cs="Arial"/>
          <w:sz w:val="20"/>
        </w:rPr>
        <w:t>$</w:t>
      </w:r>
      <w:r w:rsidR="004B4455">
        <w:rPr>
          <w:rFonts w:ascii="Arial" w:hAnsi="Arial" w:cs="Arial"/>
          <w:sz w:val="20"/>
        </w:rPr>
        <w:t>46</w:t>
      </w:r>
      <w:r w:rsidR="00D4615A">
        <w:rPr>
          <w:rFonts w:ascii="Arial" w:hAnsi="Arial" w:cs="Arial"/>
          <w:sz w:val="20"/>
        </w:rPr>
        <w:t xml:space="preserve"> </w:t>
      </w:r>
      <w:r w:rsidRPr="00C0491F">
        <w:rPr>
          <w:rFonts w:ascii="Arial" w:hAnsi="Arial" w:cs="Arial"/>
          <w:sz w:val="20"/>
        </w:rPr>
        <w:t>in compensation (</w:t>
      </w:r>
      <w:r w:rsidR="004B4455">
        <w:rPr>
          <w:rFonts w:ascii="Arial" w:hAnsi="Arial" w:cs="Arial"/>
          <w:sz w:val="20"/>
        </w:rPr>
        <w:t>November 30</w:t>
      </w:r>
      <w:r w:rsidR="001E6022">
        <w:rPr>
          <w:rFonts w:ascii="Arial" w:hAnsi="Arial" w:cs="Arial"/>
          <w:sz w:val="20"/>
        </w:rPr>
        <w:t xml:space="preserve">, </w:t>
      </w:r>
      <w:r w:rsidR="00D67A56">
        <w:rPr>
          <w:rFonts w:ascii="Arial" w:hAnsi="Arial" w:cs="Arial"/>
          <w:sz w:val="20"/>
        </w:rPr>
        <w:t>202</w:t>
      </w:r>
      <w:r w:rsidR="00D4615A">
        <w:rPr>
          <w:rFonts w:ascii="Arial" w:hAnsi="Arial" w:cs="Arial"/>
          <w:sz w:val="20"/>
        </w:rPr>
        <w:t>1</w:t>
      </w:r>
      <w:r w:rsidR="00D20C5F">
        <w:rPr>
          <w:rFonts w:ascii="Arial" w:hAnsi="Arial" w:cs="Arial"/>
          <w:sz w:val="20"/>
        </w:rPr>
        <w:t xml:space="preserve"> - $</w:t>
      </w:r>
      <w:r w:rsidR="004B4455">
        <w:rPr>
          <w:rFonts w:ascii="Arial" w:hAnsi="Arial" w:cs="Arial"/>
          <w:sz w:val="20"/>
        </w:rPr>
        <w:t>46</w:t>
      </w:r>
      <w:r w:rsidRPr="00C0491F">
        <w:rPr>
          <w:rFonts w:ascii="Arial" w:hAnsi="Arial" w:cs="Arial"/>
          <w:sz w:val="20"/>
        </w:rPr>
        <w:t>)</w:t>
      </w:r>
      <w:r w:rsidR="00B03270">
        <w:rPr>
          <w:rFonts w:ascii="Arial" w:hAnsi="Arial" w:cs="Arial"/>
          <w:sz w:val="20"/>
        </w:rPr>
        <w:t>.</w:t>
      </w:r>
      <w:r w:rsidR="00E17B2D">
        <w:rPr>
          <w:rFonts w:ascii="Arial" w:hAnsi="Arial" w:cs="Arial"/>
          <w:sz w:val="20"/>
        </w:rPr>
        <w:t xml:space="preserve"> </w:t>
      </w:r>
      <w:r w:rsidR="00B03270">
        <w:rPr>
          <w:rFonts w:ascii="Arial" w:hAnsi="Arial" w:cs="Arial"/>
          <w:sz w:val="20"/>
        </w:rPr>
        <w:t xml:space="preserve"> </w:t>
      </w:r>
      <w:r w:rsidR="00A97D95">
        <w:rPr>
          <w:rFonts w:ascii="Arial" w:hAnsi="Arial" w:cs="Arial"/>
          <w:sz w:val="20"/>
        </w:rPr>
        <w:t xml:space="preserve">A summary of fees is detailed </w:t>
      </w:r>
      <w:r w:rsidR="00516A0A">
        <w:rPr>
          <w:rFonts w:ascii="Arial" w:hAnsi="Arial" w:cs="Arial"/>
          <w:sz w:val="20"/>
        </w:rPr>
        <w:t>in</w:t>
      </w:r>
      <w:r w:rsidRPr="00C0491F">
        <w:rPr>
          <w:rFonts w:ascii="Arial" w:hAnsi="Arial" w:cs="Arial"/>
          <w:sz w:val="20"/>
        </w:rPr>
        <w:t xml:space="preserve"> the section</w:t>
      </w:r>
      <w:r w:rsidR="00B73E08">
        <w:rPr>
          <w:rFonts w:ascii="Arial" w:hAnsi="Arial" w:cs="Arial"/>
          <w:sz w:val="20"/>
        </w:rPr>
        <w:t xml:space="preserve"> entitled</w:t>
      </w:r>
      <w:r w:rsidRPr="00C0491F">
        <w:rPr>
          <w:rFonts w:ascii="Arial" w:hAnsi="Arial" w:cs="Arial"/>
          <w:sz w:val="20"/>
        </w:rPr>
        <w:t xml:space="preserve"> “Related party transactions – Compensation of key management personnel”.</w:t>
      </w:r>
    </w:p>
    <w:p w14:paraId="5E57F790" w14:textId="71690C59" w:rsidR="00E62FD8" w:rsidRDefault="00E62FD8">
      <w:pPr>
        <w:rPr>
          <w:rFonts w:ascii="Arial" w:hAnsi="Arial" w:cs="Arial"/>
          <w:b/>
          <w:sz w:val="20"/>
        </w:rPr>
      </w:pPr>
    </w:p>
    <w:p w14:paraId="50C142A8" w14:textId="6A97D875" w:rsidR="00D51293" w:rsidRPr="00DE0932" w:rsidRDefault="00D51293" w:rsidP="00EA1691">
      <w:pPr>
        <w:spacing w:line="276" w:lineRule="auto"/>
        <w:rPr>
          <w:rFonts w:ascii="Arial" w:hAnsi="Arial" w:cs="Arial"/>
          <w:sz w:val="20"/>
        </w:rPr>
      </w:pPr>
      <w:r w:rsidRPr="00DE0932">
        <w:rPr>
          <w:rFonts w:ascii="Arial" w:hAnsi="Arial" w:cs="Arial"/>
          <w:b/>
          <w:sz w:val="20"/>
        </w:rPr>
        <w:t xml:space="preserve">General and </w:t>
      </w:r>
      <w:r w:rsidR="00273AA3" w:rsidRPr="00DE0932">
        <w:rPr>
          <w:rFonts w:ascii="Arial" w:hAnsi="Arial" w:cs="Arial"/>
          <w:b/>
          <w:sz w:val="20"/>
        </w:rPr>
        <w:t>administrative</w:t>
      </w:r>
      <w:r w:rsidR="00770780" w:rsidRPr="00DE0932">
        <w:rPr>
          <w:rFonts w:ascii="Arial" w:hAnsi="Arial" w:cs="Arial"/>
          <w:b/>
          <w:sz w:val="20"/>
        </w:rPr>
        <w:t xml:space="preserve"> expense</w:t>
      </w:r>
      <w:r w:rsidR="00C650C6" w:rsidRPr="00DE0932">
        <w:rPr>
          <w:rFonts w:ascii="Arial" w:hAnsi="Arial" w:cs="Arial"/>
          <w:b/>
          <w:sz w:val="20"/>
        </w:rPr>
        <w:t xml:space="preserve"> </w:t>
      </w:r>
    </w:p>
    <w:p w14:paraId="539310F5" w14:textId="77777777" w:rsidR="00E7129B" w:rsidRDefault="00AC103C" w:rsidP="00E7129B">
      <w:pPr>
        <w:pStyle w:val="Heading4"/>
        <w:spacing w:line="276" w:lineRule="auto"/>
        <w:jc w:val="both"/>
        <w:rPr>
          <w:b w:val="0"/>
          <w:bCs w:val="0"/>
        </w:rPr>
      </w:pPr>
      <w:r w:rsidRPr="00E7129B">
        <w:rPr>
          <w:b w:val="0"/>
          <w:bCs w:val="0"/>
        </w:rPr>
        <w:t xml:space="preserve">General and </w:t>
      </w:r>
      <w:r w:rsidR="00273AA3" w:rsidRPr="00E7129B">
        <w:rPr>
          <w:b w:val="0"/>
          <w:bCs w:val="0"/>
        </w:rPr>
        <w:t>administrative</w:t>
      </w:r>
      <w:r w:rsidR="005B54EE" w:rsidRPr="00E7129B">
        <w:rPr>
          <w:b w:val="0"/>
          <w:bCs w:val="0"/>
        </w:rPr>
        <w:t xml:space="preserve"> expense</w:t>
      </w:r>
      <w:r w:rsidRPr="00E7129B">
        <w:rPr>
          <w:b w:val="0"/>
          <w:bCs w:val="0"/>
        </w:rPr>
        <w:t xml:space="preserve"> include</w:t>
      </w:r>
      <w:r w:rsidR="005B54EE" w:rsidRPr="00E7129B">
        <w:rPr>
          <w:b w:val="0"/>
          <w:bCs w:val="0"/>
        </w:rPr>
        <w:t>s</w:t>
      </w:r>
      <w:r w:rsidRPr="00E7129B">
        <w:rPr>
          <w:b w:val="0"/>
          <w:bCs w:val="0"/>
        </w:rPr>
        <w:t xml:space="preserve"> </w:t>
      </w:r>
      <w:r w:rsidR="00105812" w:rsidRPr="00E7129B">
        <w:rPr>
          <w:b w:val="0"/>
          <w:bCs w:val="0"/>
        </w:rPr>
        <w:t xml:space="preserve">mainly </w:t>
      </w:r>
      <w:r w:rsidR="00B956D3" w:rsidRPr="00E7129B">
        <w:rPr>
          <w:b w:val="0"/>
          <w:bCs w:val="0"/>
        </w:rPr>
        <w:t>p</w:t>
      </w:r>
      <w:r w:rsidRPr="00E7129B">
        <w:rPr>
          <w:b w:val="0"/>
          <w:bCs w:val="0"/>
        </w:rPr>
        <w:t xml:space="preserve">rofessional fees, </w:t>
      </w:r>
      <w:r w:rsidR="00B57DA9" w:rsidRPr="00E7129B">
        <w:rPr>
          <w:b w:val="0"/>
          <w:bCs w:val="0"/>
        </w:rPr>
        <w:t xml:space="preserve">board of director fees, </w:t>
      </w:r>
      <w:r w:rsidR="00D13332" w:rsidRPr="00E7129B">
        <w:rPr>
          <w:b w:val="0"/>
          <w:bCs w:val="0"/>
        </w:rPr>
        <w:t>general occupancy</w:t>
      </w:r>
      <w:r w:rsidR="00B956D3" w:rsidRPr="00E7129B">
        <w:rPr>
          <w:b w:val="0"/>
          <w:bCs w:val="0"/>
        </w:rPr>
        <w:t xml:space="preserve">, </w:t>
      </w:r>
      <w:r w:rsidRPr="00E7129B">
        <w:rPr>
          <w:b w:val="0"/>
          <w:bCs w:val="0"/>
        </w:rPr>
        <w:t xml:space="preserve">and other administrative overheads for the Company.  A summary of the general and </w:t>
      </w:r>
      <w:r w:rsidR="00273AA3" w:rsidRPr="00E7129B">
        <w:rPr>
          <w:b w:val="0"/>
          <w:bCs w:val="0"/>
        </w:rPr>
        <w:t>administrative</w:t>
      </w:r>
      <w:r w:rsidR="006F77FF" w:rsidRPr="00E7129B">
        <w:rPr>
          <w:b w:val="0"/>
          <w:bCs w:val="0"/>
        </w:rPr>
        <w:t xml:space="preserve"> </w:t>
      </w:r>
      <w:r w:rsidR="002F6934" w:rsidRPr="00E7129B">
        <w:rPr>
          <w:b w:val="0"/>
          <w:bCs w:val="0"/>
        </w:rPr>
        <w:t xml:space="preserve">key components </w:t>
      </w:r>
      <w:r w:rsidRPr="00E7129B">
        <w:rPr>
          <w:b w:val="0"/>
          <w:bCs w:val="0"/>
        </w:rPr>
        <w:t>is set out below:</w:t>
      </w:r>
      <w:r w:rsidR="00D51293" w:rsidRPr="00E7129B">
        <w:rPr>
          <w:b w:val="0"/>
          <w:bCs w:val="0"/>
        </w:rPr>
        <w:t xml:space="preserve"> </w:t>
      </w:r>
    </w:p>
    <w:p w14:paraId="68352A10" w14:textId="77777777" w:rsidR="002B5AEF" w:rsidRPr="002B5AEF" w:rsidRDefault="002B5AEF" w:rsidP="002B5AEF">
      <w:pPr>
        <w:rPr>
          <w:lang w:val="en-CA"/>
        </w:rPr>
      </w:pPr>
    </w:p>
    <w:tbl>
      <w:tblPr>
        <w:tblW w:w="9450" w:type="dxa"/>
        <w:tblInd w:w="-15" w:type="dxa"/>
        <w:tblLayout w:type="fixed"/>
        <w:tblLook w:val="0000" w:firstRow="0" w:lastRow="0" w:firstColumn="0" w:lastColumn="0" w:noHBand="0" w:noVBand="0"/>
      </w:tblPr>
      <w:tblGrid>
        <w:gridCol w:w="3240"/>
        <w:gridCol w:w="1620"/>
        <w:gridCol w:w="1620"/>
        <w:gridCol w:w="1530"/>
        <w:gridCol w:w="1440"/>
      </w:tblGrid>
      <w:tr w:rsidR="00E7129B" w:rsidRPr="00DE0932" w14:paraId="06109C84" w14:textId="77777777" w:rsidTr="0026281D">
        <w:trPr>
          <w:trHeight w:val="303"/>
        </w:trPr>
        <w:tc>
          <w:tcPr>
            <w:tcW w:w="3240" w:type="dxa"/>
            <w:tcBorders>
              <w:top w:val="single" w:sz="4" w:space="0" w:color="auto"/>
              <w:left w:val="single" w:sz="4" w:space="0" w:color="auto"/>
            </w:tcBorders>
            <w:vAlign w:val="center"/>
          </w:tcPr>
          <w:p w14:paraId="4BFE7227" w14:textId="77777777" w:rsidR="00E7129B" w:rsidRPr="00DE0932" w:rsidRDefault="00E7129B" w:rsidP="007C3E62">
            <w:pPr>
              <w:tabs>
                <w:tab w:val="left" w:pos="5400"/>
                <w:tab w:val="left" w:pos="7560"/>
              </w:tabs>
              <w:spacing w:line="276" w:lineRule="auto"/>
              <w:jc w:val="both"/>
              <w:rPr>
                <w:rFonts w:ascii="Arial" w:hAnsi="Arial" w:cs="Arial"/>
                <w:i/>
                <w:sz w:val="18"/>
                <w:szCs w:val="18"/>
              </w:rPr>
            </w:pPr>
          </w:p>
        </w:tc>
        <w:tc>
          <w:tcPr>
            <w:tcW w:w="3240" w:type="dxa"/>
            <w:gridSpan w:val="2"/>
            <w:tcBorders>
              <w:top w:val="single" w:sz="4" w:space="0" w:color="auto"/>
              <w:right w:val="single" w:sz="4" w:space="0" w:color="auto"/>
            </w:tcBorders>
            <w:shd w:val="clear" w:color="auto" w:fill="auto"/>
            <w:vAlign w:val="center"/>
          </w:tcPr>
          <w:p w14:paraId="48BF9B36" w14:textId="022D54B6" w:rsidR="00E7129B" w:rsidRDefault="00E7129B" w:rsidP="007C3E62">
            <w:pPr>
              <w:spacing w:line="276" w:lineRule="auto"/>
              <w:jc w:val="center"/>
              <w:rPr>
                <w:rFonts w:ascii="Arial" w:hAnsi="Arial" w:cs="Arial"/>
                <w:b/>
                <w:sz w:val="18"/>
                <w:szCs w:val="18"/>
              </w:rPr>
            </w:pPr>
          </w:p>
        </w:tc>
        <w:tc>
          <w:tcPr>
            <w:tcW w:w="2970" w:type="dxa"/>
            <w:gridSpan w:val="2"/>
            <w:tcBorders>
              <w:top w:val="single" w:sz="6" w:space="0" w:color="auto"/>
              <w:left w:val="single" w:sz="4" w:space="0" w:color="auto"/>
              <w:bottom w:val="single" w:sz="6" w:space="0" w:color="auto"/>
              <w:right w:val="single" w:sz="6" w:space="0" w:color="auto"/>
            </w:tcBorders>
            <w:shd w:val="pct10" w:color="auto" w:fill="FFFFFF"/>
            <w:vAlign w:val="center"/>
          </w:tcPr>
          <w:p w14:paraId="16BFF6EE" w14:textId="5D70C287" w:rsidR="00B011C7" w:rsidRDefault="00B011C7" w:rsidP="001E346A">
            <w:pPr>
              <w:spacing w:line="276" w:lineRule="auto"/>
              <w:jc w:val="center"/>
              <w:rPr>
                <w:rFonts w:ascii="Arial" w:hAnsi="Arial" w:cs="Arial"/>
                <w:b/>
                <w:sz w:val="18"/>
                <w:szCs w:val="18"/>
              </w:rPr>
            </w:pPr>
            <w:r>
              <w:rPr>
                <w:rFonts w:ascii="Arial" w:hAnsi="Arial" w:cs="Arial"/>
                <w:b/>
                <w:sz w:val="18"/>
                <w:szCs w:val="18"/>
              </w:rPr>
              <w:t xml:space="preserve">Three months </w:t>
            </w:r>
            <w:proofErr w:type="gramStart"/>
            <w:r w:rsidR="00E7129B">
              <w:rPr>
                <w:rFonts w:ascii="Arial" w:hAnsi="Arial" w:cs="Arial"/>
                <w:b/>
                <w:sz w:val="18"/>
                <w:szCs w:val="18"/>
              </w:rPr>
              <w:t>ended</w:t>
            </w:r>
            <w:proofErr w:type="gramEnd"/>
          </w:p>
          <w:p w14:paraId="461A9D48" w14:textId="44233BF5" w:rsidR="00E7129B" w:rsidRPr="00DE0932" w:rsidRDefault="00B011C7" w:rsidP="001E346A">
            <w:pPr>
              <w:spacing w:line="276" w:lineRule="auto"/>
              <w:jc w:val="center"/>
              <w:rPr>
                <w:rFonts w:ascii="Arial" w:hAnsi="Arial" w:cs="Arial"/>
                <w:b/>
                <w:sz w:val="18"/>
                <w:szCs w:val="18"/>
              </w:rPr>
            </w:pPr>
            <w:r>
              <w:rPr>
                <w:rFonts w:ascii="Arial" w:hAnsi="Arial" w:cs="Arial"/>
                <w:b/>
                <w:sz w:val="18"/>
                <w:szCs w:val="18"/>
              </w:rPr>
              <w:t>November 30</w:t>
            </w:r>
            <w:r w:rsidR="00E7129B">
              <w:rPr>
                <w:rFonts w:ascii="Arial" w:hAnsi="Arial" w:cs="Arial"/>
                <w:b/>
                <w:sz w:val="18"/>
                <w:szCs w:val="18"/>
              </w:rPr>
              <w:t>,</w:t>
            </w:r>
          </w:p>
        </w:tc>
      </w:tr>
      <w:tr w:rsidR="00E7129B" w:rsidRPr="00DE0932" w14:paraId="1EA8FB2B" w14:textId="77777777" w:rsidTr="0026281D">
        <w:trPr>
          <w:trHeight w:val="210"/>
        </w:trPr>
        <w:tc>
          <w:tcPr>
            <w:tcW w:w="3240" w:type="dxa"/>
            <w:tcBorders>
              <w:left w:val="single" w:sz="4" w:space="0" w:color="auto"/>
              <w:bottom w:val="single" w:sz="4" w:space="0" w:color="auto"/>
            </w:tcBorders>
            <w:vAlign w:val="center"/>
          </w:tcPr>
          <w:p w14:paraId="465120C3" w14:textId="77777777" w:rsidR="00E7129B" w:rsidRPr="00DE0932" w:rsidRDefault="00E7129B" w:rsidP="007C3E62">
            <w:pPr>
              <w:tabs>
                <w:tab w:val="left" w:pos="5400"/>
                <w:tab w:val="left" w:pos="7560"/>
              </w:tabs>
              <w:spacing w:line="276" w:lineRule="auto"/>
              <w:jc w:val="both"/>
              <w:rPr>
                <w:rFonts w:ascii="Arial" w:hAnsi="Arial" w:cs="Arial"/>
                <w:i/>
                <w:sz w:val="18"/>
                <w:szCs w:val="18"/>
              </w:rPr>
            </w:pPr>
          </w:p>
        </w:tc>
        <w:tc>
          <w:tcPr>
            <w:tcW w:w="1620" w:type="dxa"/>
            <w:tcBorders>
              <w:bottom w:val="single" w:sz="4" w:space="0" w:color="auto"/>
            </w:tcBorders>
            <w:shd w:val="clear" w:color="auto" w:fill="auto"/>
            <w:vAlign w:val="center"/>
          </w:tcPr>
          <w:p w14:paraId="3162A425" w14:textId="3F7C4A6E" w:rsidR="00E7129B" w:rsidRPr="00DE0932" w:rsidRDefault="00E7129B" w:rsidP="007C3E62">
            <w:pPr>
              <w:spacing w:line="276" w:lineRule="auto"/>
              <w:ind w:right="77"/>
              <w:jc w:val="right"/>
              <w:rPr>
                <w:rFonts w:ascii="Arial" w:hAnsi="Arial" w:cs="Arial"/>
                <w:b/>
                <w:sz w:val="18"/>
                <w:szCs w:val="18"/>
              </w:rPr>
            </w:pPr>
          </w:p>
        </w:tc>
        <w:tc>
          <w:tcPr>
            <w:tcW w:w="1620" w:type="dxa"/>
            <w:tcBorders>
              <w:bottom w:val="single" w:sz="4" w:space="0" w:color="auto"/>
              <w:right w:val="single" w:sz="4" w:space="0" w:color="auto"/>
            </w:tcBorders>
            <w:shd w:val="clear" w:color="auto" w:fill="auto"/>
            <w:vAlign w:val="center"/>
          </w:tcPr>
          <w:p w14:paraId="303FE7F9" w14:textId="201778A6" w:rsidR="00E7129B" w:rsidRPr="007C7BC4" w:rsidRDefault="00E7129B" w:rsidP="007C3E62">
            <w:pPr>
              <w:spacing w:line="276" w:lineRule="auto"/>
              <w:ind w:right="77"/>
              <w:jc w:val="right"/>
              <w:rPr>
                <w:rFonts w:ascii="Arial" w:hAnsi="Arial" w:cs="Arial"/>
                <w:bCs/>
                <w:sz w:val="18"/>
                <w:szCs w:val="18"/>
              </w:rPr>
            </w:pPr>
          </w:p>
        </w:tc>
        <w:tc>
          <w:tcPr>
            <w:tcW w:w="1530" w:type="dxa"/>
            <w:tcBorders>
              <w:top w:val="single" w:sz="6" w:space="0" w:color="auto"/>
              <w:left w:val="single" w:sz="4" w:space="0" w:color="auto"/>
              <w:bottom w:val="single" w:sz="6" w:space="0" w:color="auto"/>
              <w:right w:val="single" w:sz="6" w:space="0" w:color="auto"/>
            </w:tcBorders>
            <w:shd w:val="pct10" w:color="auto" w:fill="FFFFFF"/>
            <w:vAlign w:val="center"/>
          </w:tcPr>
          <w:p w14:paraId="1EB30EB4" w14:textId="77777777" w:rsidR="00E7129B" w:rsidRPr="00DE0932" w:rsidRDefault="00E7129B" w:rsidP="007C3E62">
            <w:pPr>
              <w:spacing w:line="276" w:lineRule="auto"/>
              <w:ind w:right="77"/>
              <w:jc w:val="right"/>
              <w:rPr>
                <w:rFonts w:ascii="Arial" w:hAnsi="Arial" w:cs="Arial"/>
                <w:b/>
                <w:sz w:val="18"/>
                <w:szCs w:val="18"/>
              </w:rPr>
            </w:pPr>
            <w:r>
              <w:rPr>
                <w:rFonts w:ascii="Arial" w:hAnsi="Arial" w:cs="Arial"/>
                <w:b/>
                <w:sz w:val="18"/>
                <w:szCs w:val="18"/>
              </w:rPr>
              <w:t>2022</w:t>
            </w:r>
          </w:p>
        </w:tc>
        <w:tc>
          <w:tcPr>
            <w:tcW w:w="1440" w:type="dxa"/>
            <w:tcBorders>
              <w:top w:val="single" w:sz="6" w:space="0" w:color="auto"/>
              <w:left w:val="single" w:sz="6" w:space="0" w:color="auto"/>
              <w:bottom w:val="single" w:sz="6" w:space="0" w:color="auto"/>
              <w:right w:val="single" w:sz="6" w:space="0" w:color="auto"/>
            </w:tcBorders>
            <w:vAlign w:val="center"/>
          </w:tcPr>
          <w:p w14:paraId="5647E1A9" w14:textId="77777777" w:rsidR="00E7129B" w:rsidRPr="007C7BC4" w:rsidRDefault="00E7129B" w:rsidP="007C3E62">
            <w:pPr>
              <w:spacing w:line="276" w:lineRule="auto"/>
              <w:ind w:right="77"/>
              <w:jc w:val="right"/>
              <w:rPr>
                <w:rFonts w:ascii="Arial" w:hAnsi="Arial" w:cs="Arial"/>
                <w:bCs/>
                <w:sz w:val="18"/>
                <w:szCs w:val="18"/>
              </w:rPr>
            </w:pPr>
            <w:r>
              <w:rPr>
                <w:rFonts w:ascii="Arial" w:hAnsi="Arial" w:cs="Arial"/>
                <w:bCs/>
                <w:sz w:val="18"/>
                <w:szCs w:val="18"/>
              </w:rPr>
              <w:t>2021</w:t>
            </w:r>
          </w:p>
        </w:tc>
      </w:tr>
      <w:tr w:rsidR="00E7129B" w:rsidRPr="00DE0932" w14:paraId="12204B04" w14:textId="77777777" w:rsidTr="0026281D">
        <w:trPr>
          <w:trHeight w:val="318"/>
        </w:trPr>
        <w:tc>
          <w:tcPr>
            <w:tcW w:w="3240" w:type="dxa"/>
            <w:tcBorders>
              <w:top w:val="single" w:sz="4" w:space="0" w:color="auto"/>
              <w:left w:val="single" w:sz="4" w:space="0" w:color="auto"/>
            </w:tcBorders>
            <w:vAlign w:val="bottom"/>
          </w:tcPr>
          <w:p w14:paraId="53B8743D" w14:textId="28E3F967" w:rsidR="00E7129B" w:rsidRPr="00DE0932" w:rsidRDefault="00F4730F" w:rsidP="007C3E62">
            <w:pPr>
              <w:tabs>
                <w:tab w:val="left" w:pos="5400"/>
                <w:tab w:val="left" w:pos="7560"/>
              </w:tabs>
              <w:spacing w:line="276" w:lineRule="auto"/>
              <w:rPr>
                <w:rFonts w:ascii="Arial" w:hAnsi="Arial" w:cs="Arial"/>
                <w:sz w:val="18"/>
                <w:szCs w:val="18"/>
              </w:rPr>
            </w:pPr>
            <w:r>
              <w:rPr>
                <w:rFonts w:ascii="Arial" w:hAnsi="Arial" w:cs="Arial"/>
                <w:sz w:val="18"/>
                <w:szCs w:val="18"/>
              </w:rPr>
              <w:t>Professional expenses</w:t>
            </w:r>
          </w:p>
        </w:tc>
        <w:tc>
          <w:tcPr>
            <w:tcW w:w="1620" w:type="dxa"/>
            <w:tcBorders>
              <w:top w:val="single" w:sz="4" w:space="0" w:color="auto"/>
            </w:tcBorders>
            <w:shd w:val="clear" w:color="auto" w:fill="auto"/>
            <w:vAlign w:val="bottom"/>
          </w:tcPr>
          <w:p w14:paraId="66503D45" w14:textId="1ECF3A7C" w:rsidR="00E7129B" w:rsidRDefault="00E7129B" w:rsidP="007C3E62">
            <w:pPr>
              <w:tabs>
                <w:tab w:val="left" w:pos="612"/>
                <w:tab w:val="decimal" w:pos="1331"/>
              </w:tabs>
              <w:spacing w:line="276" w:lineRule="auto"/>
              <w:rPr>
                <w:rFonts w:ascii="Arial" w:hAnsi="Arial" w:cs="Arial"/>
                <w:b/>
                <w:sz w:val="18"/>
                <w:szCs w:val="18"/>
              </w:rPr>
            </w:pPr>
          </w:p>
        </w:tc>
        <w:tc>
          <w:tcPr>
            <w:tcW w:w="1620" w:type="dxa"/>
            <w:tcBorders>
              <w:top w:val="single" w:sz="4" w:space="0" w:color="auto"/>
              <w:right w:val="single" w:sz="4" w:space="0" w:color="auto"/>
            </w:tcBorders>
            <w:shd w:val="clear" w:color="auto" w:fill="auto"/>
            <w:vAlign w:val="bottom"/>
          </w:tcPr>
          <w:p w14:paraId="2F4B7C99" w14:textId="1E402B70" w:rsidR="00E7129B" w:rsidRPr="007C7BC4" w:rsidRDefault="00E7129B" w:rsidP="007C3E62">
            <w:pPr>
              <w:spacing w:line="276" w:lineRule="auto"/>
              <w:ind w:right="71"/>
              <w:jc w:val="right"/>
              <w:rPr>
                <w:rFonts w:ascii="Arial" w:hAnsi="Arial" w:cs="Arial"/>
                <w:bCs/>
                <w:sz w:val="18"/>
                <w:szCs w:val="18"/>
              </w:rPr>
            </w:pPr>
          </w:p>
        </w:tc>
        <w:tc>
          <w:tcPr>
            <w:tcW w:w="1530" w:type="dxa"/>
            <w:tcBorders>
              <w:top w:val="single" w:sz="6" w:space="0" w:color="auto"/>
              <w:left w:val="single" w:sz="4" w:space="0" w:color="auto"/>
              <w:right w:val="single" w:sz="6" w:space="0" w:color="auto"/>
            </w:tcBorders>
            <w:shd w:val="pct10" w:color="auto" w:fill="FFFFFF"/>
            <w:vAlign w:val="bottom"/>
          </w:tcPr>
          <w:p w14:paraId="7DF7CF12" w14:textId="050C1D73" w:rsidR="00E7129B" w:rsidRPr="00DE0932" w:rsidRDefault="00E7129B" w:rsidP="007C3E62">
            <w:pPr>
              <w:tabs>
                <w:tab w:val="left" w:pos="521"/>
                <w:tab w:val="decimal" w:pos="1241"/>
              </w:tabs>
              <w:spacing w:line="276" w:lineRule="auto"/>
              <w:rPr>
                <w:rFonts w:ascii="Arial" w:hAnsi="Arial" w:cs="Arial"/>
                <w:b/>
                <w:sz w:val="18"/>
                <w:szCs w:val="18"/>
              </w:rPr>
            </w:pPr>
            <w:r>
              <w:rPr>
                <w:rFonts w:ascii="Arial" w:hAnsi="Arial" w:cs="Arial"/>
                <w:b/>
                <w:sz w:val="18"/>
                <w:szCs w:val="18"/>
              </w:rPr>
              <w:tab/>
              <w:t>$</w:t>
            </w:r>
            <w:r>
              <w:rPr>
                <w:rFonts w:ascii="Arial" w:hAnsi="Arial" w:cs="Arial"/>
                <w:b/>
                <w:sz w:val="18"/>
                <w:szCs w:val="18"/>
              </w:rPr>
              <w:tab/>
            </w:r>
            <w:r w:rsidR="00C36989">
              <w:rPr>
                <w:rFonts w:ascii="Arial" w:hAnsi="Arial" w:cs="Arial"/>
                <w:b/>
                <w:sz w:val="18"/>
                <w:szCs w:val="18"/>
              </w:rPr>
              <w:t>9</w:t>
            </w:r>
          </w:p>
        </w:tc>
        <w:tc>
          <w:tcPr>
            <w:tcW w:w="1440" w:type="dxa"/>
            <w:tcBorders>
              <w:top w:val="single" w:sz="6" w:space="0" w:color="auto"/>
              <w:left w:val="single" w:sz="6" w:space="0" w:color="auto"/>
              <w:right w:val="single" w:sz="6" w:space="0" w:color="auto"/>
            </w:tcBorders>
            <w:vAlign w:val="bottom"/>
          </w:tcPr>
          <w:p w14:paraId="26CFEF69" w14:textId="22F0B489" w:rsidR="00E7129B" w:rsidRPr="007C7BC4" w:rsidRDefault="00E7129B" w:rsidP="007C3E62">
            <w:pPr>
              <w:tabs>
                <w:tab w:val="left" w:pos="435"/>
                <w:tab w:val="decimal" w:pos="1372"/>
              </w:tabs>
              <w:spacing w:line="276" w:lineRule="auto"/>
              <w:ind w:right="71"/>
              <w:rPr>
                <w:rFonts w:ascii="Arial" w:hAnsi="Arial" w:cs="Arial"/>
                <w:bCs/>
                <w:sz w:val="18"/>
                <w:szCs w:val="18"/>
              </w:rPr>
            </w:pPr>
            <w:r w:rsidRPr="007C7BC4">
              <w:rPr>
                <w:rFonts w:ascii="Arial" w:hAnsi="Arial" w:cs="Arial"/>
                <w:bCs/>
                <w:sz w:val="18"/>
                <w:szCs w:val="18"/>
              </w:rPr>
              <w:tab/>
              <w:t>$</w:t>
            </w:r>
            <w:r w:rsidRPr="007C7BC4">
              <w:rPr>
                <w:rFonts w:ascii="Arial" w:hAnsi="Arial" w:cs="Arial"/>
                <w:bCs/>
                <w:sz w:val="18"/>
                <w:szCs w:val="18"/>
              </w:rPr>
              <w:tab/>
            </w:r>
            <w:r w:rsidR="00C36989">
              <w:rPr>
                <w:rFonts w:ascii="Arial" w:hAnsi="Arial" w:cs="Arial"/>
                <w:bCs/>
                <w:sz w:val="18"/>
                <w:szCs w:val="18"/>
              </w:rPr>
              <w:t>23</w:t>
            </w:r>
          </w:p>
        </w:tc>
      </w:tr>
      <w:tr w:rsidR="00E7129B" w:rsidRPr="00DE0932" w14:paraId="425C852A" w14:textId="77777777" w:rsidTr="001E346A">
        <w:trPr>
          <w:trHeight w:val="318"/>
        </w:trPr>
        <w:tc>
          <w:tcPr>
            <w:tcW w:w="3240" w:type="dxa"/>
            <w:tcBorders>
              <w:left w:val="single" w:sz="4" w:space="0" w:color="auto"/>
              <w:bottom w:val="single" w:sz="4" w:space="0" w:color="auto"/>
            </w:tcBorders>
            <w:vAlign w:val="bottom"/>
          </w:tcPr>
          <w:p w14:paraId="7BEA90F2" w14:textId="36182D11" w:rsidR="00E7129B" w:rsidRPr="00DE0932" w:rsidRDefault="00F4730F" w:rsidP="007C3E62">
            <w:pPr>
              <w:tabs>
                <w:tab w:val="left" w:pos="5400"/>
                <w:tab w:val="left" w:pos="7560"/>
              </w:tabs>
              <w:spacing w:line="276" w:lineRule="auto"/>
              <w:rPr>
                <w:rFonts w:ascii="Arial" w:hAnsi="Arial" w:cs="Arial"/>
                <w:sz w:val="18"/>
                <w:szCs w:val="18"/>
              </w:rPr>
            </w:pPr>
            <w:r>
              <w:rPr>
                <w:rFonts w:ascii="Arial" w:hAnsi="Arial" w:cs="Arial"/>
                <w:sz w:val="18"/>
                <w:szCs w:val="18"/>
              </w:rPr>
              <w:t>Office and general</w:t>
            </w:r>
          </w:p>
        </w:tc>
        <w:tc>
          <w:tcPr>
            <w:tcW w:w="1620" w:type="dxa"/>
            <w:tcBorders>
              <w:bottom w:val="single" w:sz="4" w:space="0" w:color="auto"/>
            </w:tcBorders>
            <w:shd w:val="clear" w:color="auto" w:fill="auto"/>
            <w:vAlign w:val="bottom"/>
          </w:tcPr>
          <w:p w14:paraId="70C79277" w14:textId="12CDC927" w:rsidR="00E7129B" w:rsidRPr="00DE0932" w:rsidRDefault="00E7129B" w:rsidP="007C3E62">
            <w:pPr>
              <w:tabs>
                <w:tab w:val="decimal" w:pos="1331"/>
              </w:tabs>
              <w:spacing w:line="276" w:lineRule="auto"/>
              <w:rPr>
                <w:rFonts w:ascii="Arial" w:hAnsi="Arial" w:cs="Arial"/>
                <w:b/>
                <w:sz w:val="18"/>
                <w:szCs w:val="18"/>
              </w:rPr>
            </w:pPr>
          </w:p>
        </w:tc>
        <w:tc>
          <w:tcPr>
            <w:tcW w:w="1620" w:type="dxa"/>
            <w:tcBorders>
              <w:bottom w:val="single" w:sz="4" w:space="0" w:color="auto"/>
              <w:right w:val="single" w:sz="4" w:space="0" w:color="auto"/>
            </w:tcBorders>
            <w:shd w:val="clear" w:color="auto" w:fill="auto"/>
            <w:vAlign w:val="bottom"/>
          </w:tcPr>
          <w:p w14:paraId="334AD77E" w14:textId="0F0375E0" w:rsidR="00E7129B" w:rsidRPr="007C7BC4" w:rsidRDefault="00E7129B" w:rsidP="007C3E62">
            <w:pPr>
              <w:spacing w:line="276" w:lineRule="auto"/>
              <w:ind w:right="71"/>
              <w:jc w:val="right"/>
              <w:rPr>
                <w:rFonts w:ascii="Arial" w:hAnsi="Arial" w:cs="Arial"/>
                <w:bCs/>
                <w:sz w:val="18"/>
                <w:szCs w:val="18"/>
              </w:rPr>
            </w:pPr>
          </w:p>
        </w:tc>
        <w:tc>
          <w:tcPr>
            <w:tcW w:w="1530" w:type="dxa"/>
            <w:tcBorders>
              <w:left w:val="single" w:sz="4" w:space="0" w:color="auto"/>
              <w:bottom w:val="single" w:sz="4" w:space="0" w:color="auto"/>
              <w:right w:val="single" w:sz="6" w:space="0" w:color="auto"/>
            </w:tcBorders>
            <w:shd w:val="pct10" w:color="auto" w:fill="FFFFFF"/>
            <w:vAlign w:val="bottom"/>
          </w:tcPr>
          <w:p w14:paraId="5939C4C7" w14:textId="6EE0E3DD" w:rsidR="00E7129B" w:rsidRPr="00DE0932" w:rsidRDefault="00E7129B" w:rsidP="007C3E62">
            <w:pPr>
              <w:tabs>
                <w:tab w:val="left" w:pos="521"/>
                <w:tab w:val="decimal" w:pos="1241"/>
              </w:tabs>
              <w:spacing w:line="276" w:lineRule="auto"/>
              <w:rPr>
                <w:rFonts w:ascii="Arial" w:hAnsi="Arial" w:cs="Arial"/>
                <w:b/>
                <w:bCs/>
                <w:sz w:val="18"/>
                <w:szCs w:val="18"/>
              </w:rPr>
            </w:pPr>
            <w:r>
              <w:rPr>
                <w:rFonts w:ascii="Arial" w:hAnsi="Arial" w:cs="Arial"/>
                <w:b/>
                <w:sz w:val="18"/>
                <w:szCs w:val="18"/>
              </w:rPr>
              <w:tab/>
            </w:r>
            <w:r>
              <w:rPr>
                <w:rFonts w:ascii="Arial" w:hAnsi="Arial" w:cs="Arial"/>
                <w:b/>
                <w:sz w:val="18"/>
                <w:szCs w:val="18"/>
              </w:rPr>
              <w:tab/>
            </w:r>
            <w:r w:rsidR="00C36989">
              <w:rPr>
                <w:rFonts w:ascii="Arial" w:hAnsi="Arial" w:cs="Arial"/>
                <w:b/>
                <w:sz w:val="18"/>
                <w:szCs w:val="18"/>
              </w:rPr>
              <w:t>1</w:t>
            </w:r>
          </w:p>
        </w:tc>
        <w:tc>
          <w:tcPr>
            <w:tcW w:w="1440" w:type="dxa"/>
            <w:tcBorders>
              <w:left w:val="single" w:sz="6" w:space="0" w:color="auto"/>
              <w:bottom w:val="single" w:sz="4" w:space="0" w:color="auto"/>
              <w:right w:val="single" w:sz="6" w:space="0" w:color="auto"/>
            </w:tcBorders>
            <w:vAlign w:val="bottom"/>
          </w:tcPr>
          <w:p w14:paraId="183EF57D" w14:textId="074AB1AE" w:rsidR="00E7129B" w:rsidRPr="007C7BC4" w:rsidRDefault="008C1558" w:rsidP="007C3E62">
            <w:pPr>
              <w:tabs>
                <w:tab w:val="decimal" w:pos="1372"/>
              </w:tabs>
              <w:spacing w:line="276" w:lineRule="auto"/>
              <w:ind w:right="71"/>
              <w:rPr>
                <w:rFonts w:ascii="Arial" w:hAnsi="Arial" w:cs="Arial"/>
                <w:bCs/>
                <w:sz w:val="18"/>
                <w:szCs w:val="18"/>
              </w:rPr>
            </w:pPr>
            <w:r>
              <w:rPr>
                <w:rFonts w:ascii="Arial" w:hAnsi="Arial" w:cs="Arial"/>
                <w:bCs/>
                <w:sz w:val="18"/>
                <w:szCs w:val="18"/>
              </w:rPr>
              <w:t>1</w:t>
            </w:r>
          </w:p>
        </w:tc>
      </w:tr>
      <w:tr w:rsidR="00E7129B" w:rsidRPr="00DE0932" w14:paraId="43494B5F" w14:textId="77777777" w:rsidTr="001E346A">
        <w:trPr>
          <w:trHeight w:val="332"/>
        </w:trPr>
        <w:tc>
          <w:tcPr>
            <w:tcW w:w="3240" w:type="dxa"/>
            <w:tcBorders>
              <w:top w:val="single" w:sz="4" w:space="0" w:color="auto"/>
              <w:left w:val="single" w:sz="4" w:space="0" w:color="auto"/>
              <w:bottom w:val="single" w:sz="4" w:space="0" w:color="auto"/>
            </w:tcBorders>
            <w:vAlign w:val="bottom"/>
          </w:tcPr>
          <w:p w14:paraId="726D8468" w14:textId="3379DDC0" w:rsidR="00E7129B" w:rsidRPr="00DE0932" w:rsidRDefault="00F4730F" w:rsidP="007C3E62">
            <w:pPr>
              <w:tabs>
                <w:tab w:val="left" w:pos="5400"/>
                <w:tab w:val="left" w:pos="7560"/>
              </w:tabs>
              <w:spacing w:line="276" w:lineRule="auto"/>
              <w:rPr>
                <w:rFonts w:ascii="Arial" w:hAnsi="Arial" w:cs="Arial"/>
                <w:sz w:val="18"/>
                <w:szCs w:val="18"/>
              </w:rPr>
            </w:pPr>
            <w:r>
              <w:rPr>
                <w:rFonts w:ascii="Arial" w:hAnsi="Arial" w:cs="Arial"/>
                <w:sz w:val="18"/>
                <w:szCs w:val="18"/>
              </w:rPr>
              <w:t>Total general and administrative</w:t>
            </w:r>
          </w:p>
        </w:tc>
        <w:tc>
          <w:tcPr>
            <w:tcW w:w="1620" w:type="dxa"/>
            <w:tcBorders>
              <w:top w:val="single" w:sz="4" w:space="0" w:color="auto"/>
              <w:bottom w:val="single" w:sz="4" w:space="0" w:color="auto"/>
            </w:tcBorders>
            <w:shd w:val="clear" w:color="auto" w:fill="auto"/>
            <w:vAlign w:val="bottom"/>
          </w:tcPr>
          <w:p w14:paraId="6E7D760D" w14:textId="58370A3A" w:rsidR="00E7129B" w:rsidRPr="00DE0932" w:rsidRDefault="00E7129B" w:rsidP="007C3E62">
            <w:pPr>
              <w:tabs>
                <w:tab w:val="left" w:pos="612"/>
                <w:tab w:val="decimal" w:pos="1331"/>
              </w:tabs>
              <w:spacing w:line="276" w:lineRule="auto"/>
              <w:rPr>
                <w:rFonts w:ascii="Arial" w:hAnsi="Arial" w:cs="Arial"/>
                <w:b/>
                <w:sz w:val="18"/>
                <w:szCs w:val="18"/>
              </w:rPr>
            </w:pPr>
          </w:p>
        </w:tc>
        <w:tc>
          <w:tcPr>
            <w:tcW w:w="1620" w:type="dxa"/>
            <w:tcBorders>
              <w:top w:val="single" w:sz="4" w:space="0" w:color="auto"/>
              <w:bottom w:val="single" w:sz="4" w:space="0" w:color="auto"/>
              <w:right w:val="single" w:sz="4" w:space="0" w:color="auto"/>
            </w:tcBorders>
            <w:shd w:val="clear" w:color="auto" w:fill="auto"/>
            <w:vAlign w:val="bottom"/>
          </w:tcPr>
          <w:p w14:paraId="5E26BCB1" w14:textId="7BAA882C" w:rsidR="00E7129B" w:rsidRPr="007C7BC4" w:rsidRDefault="00E7129B" w:rsidP="007C3E62">
            <w:pPr>
              <w:spacing w:line="276" w:lineRule="auto"/>
              <w:ind w:right="71"/>
              <w:jc w:val="right"/>
              <w:rPr>
                <w:rFonts w:ascii="Arial" w:hAnsi="Arial" w:cs="Arial"/>
                <w:bCs/>
                <w:sz w:val="18"/>
                <w:szCs w:val="18"/>
              </w:rPr>
            </w:pPr>
          </w:p>
        </w:tc>
        <w:tc>
          <w:tcPr>
            <w:tcW w:w="1530" w:type="dxa"/>
            <w:tcBorders>
              <w:top w:val="single" w:sz="4" w:space="0" w:color="auto"/>
              <w:left w:val="single" w:sz="4" w:space="0" w:color="auto"/>
              <w:bottom w:val="single" w:sz="6" w:space="0" w:color="auto"/>
              <w:right w:val="single" w:sz="6" w:space="0" w:color="auto"/>
            </w:tcBorders>
            <w:shd w:val="pct10" w:color="auto" w:fill="FFFFFF"/>
            <w:vAlign w:val="bottom"/>
          </w:tcPr>
          <w:p w14:paraId="0F21C8C4" w14:textId="51C3D9A8" w:rsidR="00E7129B" w:rsidRPr="00DE0932" w:rsidRDefault="00E7129B" w:rsidP="007C3E62">
            <w:pPr>
              <w:tabs>
                <w:tab w:val="left" w:pos="521"/>
                <w:tab w:val="decimal" w:pos="1241"/>
              </w:tabs>
              <w:spacing w:line="276" w:lineRule="auto"/>
              <w:rPr>
                <w:rFonts w:ascii="Arial" w:hAnsi="Arial" w:cs="Arial"/>
                <w:b/>
                <w:sz w:val="18"/>
                <w:szCs w:val="18"/>
              </w:rPr>
            </w:pPr>
            <w:r w:rsidRPr="00DE0932">
              <w:rPr>
                <w:rFonts w:ascii="Arial" w:hAnsi="Arial" w:cs="Arial"/>
                <w:b/>
                <w:sz w:val="18"/>
                <w:szCs w:val="18"/>
              </w:rPr>
              <w:tab/>
              <w:t>$</w:t>
            </w:r>
            <w:r w:rsidRPr="00DE0932">
              <w:rPr>
                <w:rFonts w:ascii="Arial" w:hAnsi="Arial" w:cs="Arial"/>
                <w:b/>
                <w:sz w:val="18"/>
                <w:szCs w:val="18"/>
              </w:rPr>
              <w:tab/>
            </w:r>
            <w:r w:rsidR="00C36989">
              <w:rPr>
                <w:rFonts w:ascii="Arial" w:hAnsi="Arial" w:cs="Arial"/>
                <w:b/>
                <w:sz w:val="18"/>
                <w:szCs w:val="18"/>
              </w:rPr>
              <w:t>1</w:t>
            </w:r>
            <w:r w:rsidR="00A13717">
              <w:rPr>
                <w:rFonts w:ascii="Arial" w:hAnsi="Arial" w:cs="Arial"/>
                <w:b/>
                <w:sz w:val="18"/>
                <w:szCs w:val="18"/>
              </w:rPr>
              <w:t>0</w:t>
            </w:r>
          </w:p>
        </w:tc>
        <w:tc>
          <w:tcPr>
            <w:tcW w:w="1440" w:type="dxa"/>
            <w:tcBorders>
              <w:top w:val="single" w:sz="4" w:space="0" w:color="auto"/>
              <w:left w:val="single" w:sz="6" w:space="0" w:color="auto"/>
              <w:bottom w:val="single" w:sz="6" w:space="0" w:color="auto"/>
              <w:right w:val="single" w:sz="6" w:space="0" w:color="auto"/>
            </w:tcBorders>
            <w:vAlign w:val="bottom"/>
          </w:tcPr>
          <w:p w14:paraId="1E1FC15A" w14:textId="3879F150" w:rsidR="00E7129B" w:rsidRPr="007C7BC4" w:rsidRDefault="00E7129B" w:rsidP="007C3E62">
            <w:pPr>
              <w:tabs>
                <w:tab w:val="left" w:pos="435"/>
                <w:tab w:val="decimal" w:pos="1372"/>
              </w:tabs>
              <w:spacing w:line="276" w:lineRule="auto"/>
              <w:ind w:right="71"/>
              <w:rPr>
                <w:rFonts w:ascii="Arial" w:hAnsi="Arial" w:cs="Arial"/>
                <w:bCs/>
                <w:sz w:val="18"/>
                <w:szCs w:val="18"/>
              </w:rPr>
            </w:pPr>
            <w:r w:rsidRPr="007C7BC4">
              <w:rPr>
                <w:rFonts w:ascii="Arial" w:hAnsi="Arial" w:cs="Arial"/>
                <w:bCs/>
                <w:sz w:val="18"/>
                <w:szCs w:val="18"/>
              </w:rPr>
              <w:tab/>
              <w:t>$</w:t>
            </w:r>
            <w:r w:rsidRPr="007C7BC4">
              <w:rPr>
                <w:rFonts w:ascii="Arial" w:hAnsi="Arial" w:cs="Arial"/>
                <w:bCs/>
                <w:sz w:val="18"/>
                <w:szCs w:val="18"/>
              </w:rPr>
              <w:tab/>
            </w:r>
            <w:r w:rsidR="00C36989">
              <w:rPr>
                <w:rFonts w:ascii="Arial" w:hAnsi="Arial" w:cs="Arial"/>
                <w:bCs/>
                <w:sz w:val="18"/>
                <w:szCs w:val="18"/>
              </w:rPr>
              <w:t>24</w:t>
            </w:r>
          </w:p>
        </w:tc>
      </w:tr>
    </w:tbl>
    <w:p w14:paraId="6DDD65C2" w14:textId="77777777" w:rsidR="00E7129B" w:rsidRDefault="00E7129B" w:rsidP="00E7129B">
      <w:pPr>
        <w:pStyle w:val="Heading4"/>
        <w:spacing w:line="276" w:lineRule="auto"/>
        <w:jc w:val="both"/>
        <w:rPr>
          <w:szCs w:val="20"/>
        </w:rPr>
      </w:pPr>
    </w:p>
    <w:p w14:paraId="4F46FB63" w14:textId="77777777" w:rsidR="00C36989" w:rsidRDefault="00C36989">
      <w:pPr>
        <w:rPr>
          <w:rFonts w:ascii="Arial" w:hAnsi="Arial" w:cs="Arial"/>
          <w:sz w:val="20"/>
          <w:u w:val="single"/>
        </w:rPr>
      </w:pPr>
      <w:r>
        <w:rPr>
          <w:rFonts w:ascii="Arial" w:hAnsi="Arial" w:cs="Arial"/>
          <w:sz w:val="20"/>
          <w:u w:val="single"/>
        </w:rPr>
        <w:br w:type="page"/>
      </w:r>
    </w:p>
    <w:p w14:paraId="01F03AB3" w14:textId="6181E54F" w:rsidR="00B57DA9" w:rsidRPr="004963D1" w:rsidRDefault="00B57DA9" w:rsidP="004963D1">
      <w:pPr>
        <w:rPr>
          <w:rFonts w:ascii="Arial" w:hAnsi="Arial" w:cs="Arial"/>
          <w:sz w:val="20"/>
          <w:u w:val="single"/>
        </w:rPr>
      </w:pPr>
      <w:r w:rsidRPr="00DE0932">
        <w:rPr>
          <w:rFonts w:ascii="Arial" w:hAnsi="Arial" w:cs="Arial"/>
          <w:sz w:val="20"/>
          <w:u w:val="single"/>
        </w:rPr>
        <w:lastRenderedPageBreak/>
        <w:t>Professional fees</w:t>
      </w:r>
    </w:p>
    <w:p w14:paraId="78088F0F" w14:textId="4ED0AA53" w:rsidR="0090683F" w:rsidRPr="00DE0932" w:rsidRDefault="00B57DA9" w:rsidP="00CD7E54">
      <w:pPr>
        <w:pStyle w:val="ListParagraph"/>
        <w:spacing w:line="276" w:lineRule="auto"/>
        <w:ind w:left="0" w:hanging="7"/>
        <w:jc w:val="both"/>
        <w:rPr>
          <w:rFonts w:ascii="Arial" w:hAnsi="Arial" w:cs="Arial"/>
          <w:sz w:val="20"/>
        </w:rPr>
      </w:pPr>
      <w:r w:rsidRPr="00DE0932">
        <w:rPr>
          <w:rFonts w:ascii="Arial" w:hAnsi="Arial" w:cs="Arial"/>
          <w:sz w:val="20"/>
        </w:rPr>
        <w:t>Professional fees include mainly corporate legal, audit, accounting</w:t>
      </w:r>
      <w:r w:rsidR="002F6934">
        <w:rPr>
          <w:rFonts w:ascii="Arial" w:hAnsi="Arial" w:cs="Arial"/>
          <w:sz w:val="20"/>
        </w:rPr>
        <w:t>, filing fees</w:t>
      </w:r>
      <w:r w:rsidR="00C75B06">
        <w:rPr>
          <w:rFonts w:ascii="Arial" w:hAnsi="Arial" w:cs="Arial"/>
          <w:sz w:val="20"/>
        </w:rPr>
        <w:t xml:space="preserve"> and </w:t>
      </w:r>
      <w:r w:rsidR="00B27C06">
        <w:rPr>
          <w:rFonts w:ascii="Arial" w:hAnsi="Arial" w:cs="Arial"/>
          <w:sz w:val="20"/>
        </w:rPr>
        <w:t xml:space="preserve">general </w:t>
      </w:r>
      <w:r w:rsidR="002F6934">
        <w:rPr>
          <w:rFonts w:ascii="Arial" w:hAnsi="Arial" w:cs="Arial"/>
          <w:sz w:val="20"/>
        </w:rPr>
        <w:t xml:space="preserve">shareholder </w:t>
      </w:r>
      <w:r w:rsidR="00B27C06">
        <w:rPr>
          <w:rFonts w:ascii="Arial" w:hAnsi="Arial" w:cs="Arial"/>
          <w:sz w:val="20"/>
        </w:rPr>
        <w:t>meeting</w:t>
      </w:r>
      <w:r w:rsidR="00847B7E">
        <w:rPr>
          <w:rFonts w:ascii="Arial" w:hAnsi="Arial" w:cs="Arial"/>
          <w:sz w:val="20"/>
        </w:rPr>
        <w:t xml:space="preserve"> costs</w:t>
      </w:r>
      <w:r w:rsidR="0079015B" w:rsidRPr="00DE0932">
        <w:rPr>
          <w:rFonts w:ascii="Arial" w:hAnsi="Arial" w:cs="Arial"/>
          <w:sz w:val="20"/>
        </w:rPr>
        <w:t>.</w:t>
      </w:r>
      <w:r w:rsidR="00E554C5">
        <w:rPr>
          <w:rFonts w:ascii="Arial" w:hAnsi="Arial" w:cs="Arial"/>
          <w:sz w:val="20"/>
        </w:rPr>
        <w:t xml:space="preserve">  </w:t>
      </w:r>
    </w:p>
    <w:p w14:paraId="60B28A83" w14:textId="2EC7E44A" w:rsidR="00377C20" w:rsidRDefault="00377C20">
      <w:pPr>
        <w:rPr>
          <w:rFonts w:ascii="Arial" w:hAnsi="Arial" w:cs="Arial"/>
          <w:sz w:val="20"/>
          <w:szCs w:val="24"/>
          <w:lang w:val="en-CA"/>
        </w:rPr>
      </w:pPr>
    </w:p>
    <w:p w14:paraId="09759CB9" w14:textId="27BE3281" w:rsidR="00D74CDC" w:rsidRDefault="007C0A76" w:rsidP="00D74CDC">
      <w:pPr>
        <w:pStyle w:val="ListParagraph"/>
        <w:spacing w:line="276" w:lineRule="auto"/>
        <w:ind w:left="0" w:hanging="7"/>
        <w:jc w:val="both"/>
        <w:rPr>
          <w:rFonts w:ascii="Arial" w:hAnsi="Arial" w:cs="Arial"/>
          <w:sz w:val="20"/>
          <w:szCs w:val="20"/>
        </w:rPr>
      </w:pPr>
      <w:r>
        <w:rPr>
          <w:rFonts w:ascii="Arial" w:hAnsi="Arial" w:cs="Arial"/>
          <w:sz w:val="20"/>
        </w:rPr>
        <w:t>During the</w:t>
      </w:r>
      <w:r w:rsidR="00B27C06">
        <w:rPr>
          <w:rFonts w:ascii="Arial" w:hAnsi="Arial" w:cs="Arial"/>
          <w:sz w:val="20"/>
        </w:rPr>
        <w:t xml:space="preserve"> </w:t>
      </w:r>
      <w:r w:rsidR="00DC0213">
        <w:rPr>
          <w:rFonts w:ascii="Arial" w:hAnsi="Arial" w:cs="Arial"/>
          <w:sz w:val="20"/>
        </w:rPr>
        <w:t>three months</w:t>
      </w:r>
      <w:r w:rsidR="00B55BAE">
        <w:rPr>
          <w:rFonts w:ascii="Arial" w:hAnsi="Arial" w:cs="Arial"/>
          <w:sz w:val="20"/>
        </w:rPr>
        <w:t xml:space="preserve"> ended </w:t>
      </w:r>
      <w:r w:rsidR="00DC0213">
        <w:rPr>
          <w:rFonts w:ascii="Arial" w:hAnsi="Arial" w:cs="Arial"/>
          <w:sz w:val="20"/>
        </w:rPr>
        <w:t>November 30</w:t>
      </w:r>
      <w:r w:rsidR="00B73A8D">
        <w:rPr>
          <w:rFonts w:ascii="Arial" w:hAnsi="Arial" w:cs="Arial"/>
          <w:sz w:val="20"/>
        </w:rPr>
        <w:t>,</w:t>
      </w:r>
      <w:r w:rsidR="00540027">
        <w:rPr>
          <w:rFonts w:ascii="Arial" w:hAnsi="Arial" w:cs="Arial"/>
          <w:sz w:val="20"/>
        </w:rPr>
        <w:t xml:space="preserve"> 202</w:t>
      </w:r>
      <w:r w:rsidR="00B05485">
        <w:rPr>
          <w:rFonts w:ascii="Arial" w:hAnsi="Arial" w:cs="Arial"/>
          <w:sz w:val="20"/>
        </w:rPr>
        <w:t>2</w:t>
      </w:r>
      <w:r>
        <w:rPr>
          <w:rFonts w:ascii="Arial" w:hAnsi="Arial" w:cs="Arial"/>
          <w:sz w:val="20"/>
        </w:rPr>
        <w:t>, the Company recorded $</w:t>
      </w:r>
      <w:r w:rsidR="00DC0213">
        <w:rPr>
          <w:rFonts w:ascii="Arial" w:hAnsi="Arial" w:cs="Arial"/>
          <w:sz w:val="20"/>
        </w:rPr>
        <w:t>10</w:t>
      </w:r>
      <w:r w:rsidR="00B05485">
        <w:rPr>
          <w:rFonts w:ascii="Arial" w:hAnsi="Arial" w:cs="Arial"/>
          <w:sz w:val="20"/>
        </w:rPr>
        <w:t xml:space="preserve"> </w:t>
      </w:r>
      <w:r w:rsidR="00272ACB">
        <w:rPr>
          <w:rFonts w:ascii="Arial" w:hAnsi="Arial" w:cs="Arial"/>
          <w:sz w:val="20"/>
          <w:szCs w:val="20"/>
        </w:rPr>
        <w:t>in professional fees</w:t>
      </w:r>
      <w:r w:rsidR="00F1073D">
        <w:rPr>
          <w:rFonts w:ascii="Arial" w:hAnsi="Arial" w:cs="Arial"/>
          <w:sz w:val="20"/>
          <w:szCs w:val="20"/>
        </w:rPr>
        <w:t xml:space="preserve"> (</w:t>
      </w:r>
      <w:r w:rsidR="00DC0213">
        <w:rPr>
          <w:rFonts w:ascii="Arial" w:hAnsi="Arial" w:cs="Arial"/>
          <w:sz w:val="20"/>
          <w:szCs w:val="20"/>
        </w:rPr>
        <w:t>November 30</w:t>
      </w:r>
      <w:r w:rsidR="001A63F8">
        <w:rPr>
          <w:rFonts w:ascii="Arial" w:hAnsi="Arial" w:cs="Arial"/>
          <w:sz w:val="20"/>
          <w:szCs w:val="20"/>
        </w:rPr>
        <w:t xml:space="preserve">, </w:t>
      </w:r>
      <w:r w:rsidR="00D67A56">
        <w:rPr>
          <w:rFonts w:ascii="Arial" w:hAnsi="Arial" w:cs="Arial"/>
          <w:sz w:val="20"/>
          <w:szCs w:val="20"/>
        </w:rPr>
        <w:t>202</w:t>
      </w:r>
      <w:r w:rsidR="00B05485">
        <w:rPr>
          <w:rFonts w:ascii="Arial" w:hAnsi="Arial" w:cs="Arial"/>
          <w:sz w:val="20"/>
          <w:szCs w:val="20"/>
        </w:rPr>
        <w:t>1</w:t>
      </w:r>
      <w:r w:rsidR="00F1073D">
        <w:rPr>
          <w:rFonts w:ascii="Arial" w:hAnsi="Arial" w:cs="Arial"/>
          <w:sz w:val="20"/>
          <w:szCs w:val="20"/>
        </w:rPr>
        <w:t xml:space="preserve"> - $</w:t>
      </w:r>
      <w:r w:rsidR="00DC0213">
        <w:rPr>
          <w:rFonts w:ascii="Arial" w:hAnsi="Arial" w:cs="Arial"/>
          <w:sz w:val="20"/>
          <w:szCs w:val="20"/>
        </w:rPr>
        <w:t>23</w:t>
      </w:r>
      <w:r w:rsidR="009626AC">
        <w:rPr>
          <w:rFonts w:ascii="Arial" w:hAnsi="Arial" w:cs="Arial"/>
          <w:sz w:val="20"/>
          <w:szCs w:val="20"/>
        </w:rPr>
        <w:t>)</w:t>
      </w:r>
      <w:r w:rsidR="007F2EE2">
        <w:rPr>
          <w:rFonts w:ascii="Arial" w:hAnsi="Arial" w:cs="Arial"/>
          <w:sz w:val="20"/>
          <w:szCs w:val="20"/>
        </w:rPr>
        <w:t xml:space="preserve">.  Higher expenses during the three months ended November 30, 2021 related mainly to </w:t>
      </w:r>
      <w:r w:rsidR="00394435">
        <w:rPr>
          <w:rFonts w:ascii="Arial" w:hAnsi="Arial" w:cs="Arial"/>
          <w:sz w:val="20"/>
          <w:szCs w:val="20"/>
        </w:rPr>
        <w:t>Annual General Meeting costs ($9) included in the total.</w:t>
      </w:r>
    </w:p>
    <w:p w14:paraId="06243EA6" w14:textId="77777777" w:rsidR="006C70B8" w:rsidRDefault="006C70B8" w:rsidP="00D74CDC">
      <w:pPr>
        <w:pStyle w:val="ListParagraph"/>
        <w:spacing w:line="276" w:lineRule="auto"/>
        <w:ind w:left="0" w:hanging="7"/>
        <w:jc w:val="both"/>
        <w:rPr>
          <w:rFonts w:ascii="Arial" w:hAnsi="Arial" w:cs="Arial"/>
          <w:sz w:val="20"/>
          <w:szCs w:val="20"/>
        </w:rPr>
      </w:pPr>
    </w:p>
    <w:p w14:paraId="64730195" w14:textId="69028272" w:rsidR="006C70B8" w:rsidRPr="006C70B8" w:rsidRDefault="006C70B8" w:rsidP="00D74CDC">
      <w:pPr>
        <w:pStyle w:val="ListParagraph"/>
        <w:spacing w:line="276" w:lineRule="auto"/>
        <w:ind w:left="0" w:hanging="7"/>
        <w:jc w:val="both"/>
        <w:rPr>
          <w:rFonts w:ascii="Arial" w:hAnsi="Arial" w:cs="Arial"/>
          <w:sz w:val="20"/>
          <w:szCs w:val="20"/>
          <w:u w:val="single"/>
        </w:rPr>
      </w:pPr>
      <w:r w:rsidRPr="006C70B8">
        <w:rPr>
          <w:rFonts w:ascii="Arial" w:hAnsi="Arial" w:cs="Arial"/>
          <w:sz w:val="20"/>
          <w:szCs w:val="20"/>
          <w:u w:val="single"/>
        </w:rPr>
        <w:t>Office and general</w:t>
      </w:r>
    </w:p>
    <w:p w14:paraId="3772AE73" w14:textId="6EB4C7DD" w:rsidR="006C70B8" w:rsidRDefault="00D06232" w:rsidP="00D74CDC">
      <w:pPr>
        <w:pStyle w:val="ListParagraph"/>
        <w:spacing w:line="276" w:lineRule="auto"/>
        <w:ind w:left="0" w:hanging="7"/>
        <w:jc w:val="both"/>
        <w:rPr>
          <w:rFonts w:ascii="Arial" w:hAnsi="Arial" w:cs="Arial"/>
          <w:sz w:val="20"/>
          <w:szCs w:val="20"/>
        </w:rPr>
      </w:pPr>
      <w:r>
        <w:rPr>
          <w:rFonts w:ascii="Arial" w:hAnsi="Arial" w:cs="Arial"/>
          <w:sz w:val="20"/>
          <w:szCs w:val="20"/>
        </w:rPr>
        <w:t>Office and general</w:t>
      </w:r>
      <w:r w:rsidR="00322F6F">
        <w:rPr>
          <w:rFonts w:ascii="Arial" w:hAnsi="Arial" w:cs="Arial"/>
          <w:sz w:val="20"/>
          <w:szCs w:val="20"/>
        </w:rPr>
        <w:t xml:space="preserve"> expenses</w:t>
      </w:r>
      <w:r>
        <w:rPr>
          <w:rFonts w:ascii="Arial" w:hAnsi="Arial" w:cs="Arial"/>
          <w:sz w:val="20"/>
          <w:szCs w:val="20"/>
        </w:rPr>
        <w:t xml:space="preserve"> </w:t>
      </w:r>
      <w:r w:rsidR="00692005">
        <w:rPr>
          <w:rFonts w:ascii="Arial" w:hAnsi="Arial" w:cs="Arial"/>
          <w:sz w:val="20"/>
          <w:szCs w:val="20"/>
        </w:rPr>
        <w:t>include mainly overhead and miscellaneous expenses</w:t>
      </w:r>
      <w:r w:rsidR="00251EB6">
        <w:rPr>
          <w:rFonts w:ascii="Arial" w:hAnsi="Arial" w:cs="Arial"/>
          <w:sz w:val="20"/>
          <w:szCs w:val="20"/>
        </w:rPr>
        <w:t xml:space="preserve">.  </w:t>
      </w:r>
    </w:p>
    <w:p w14:paraId="12E8B206" w14:textId="77777777" w:rsidR="009626AC" w:rsidRPr="00DE0932" w:rsidRDefault="009626AC" w:rsidP="00D74CDC">
      <w:pPr>
        <w:pStyle w:val="ListParagraph"/>
        <w:spacing w:line="276" w:lineRule="auto"/>
        <w:ind w:left="0" w:hanging="7"/>
        <w:jc w:val="both"/>
        <w:rPr>
          <w:rFonts w:ascii="Arial" w:hAnsi="Arial" w:cs="Arial"/>
          <w:sz w:val="20"/>
        </w:rPr>
      </w:pPr>
    </w:p>
    <w:p w14:paraId="5A188F3B" w14:textId="7CB28C17" w:rsidR="00A717C9" w:rsidRPr="00DE0932" w:rsidRDefault="00A717C9" w:rsidP="00B80D4B">
      <w:pPr>
        <w:rPr>
          <w:rFonts w:ascii="Arial" w:hAnsi="Arial" w:cs="Arial"/>
          <w:b/>
          <w:sz w:val="20"/>
        </w:rPr>
      </w:pPr>
      <w:r w:rsidRPr="00DE0932">
        <w:rPr>
          <w:rFonts w:ascii="Arial" w:hAnsi="Arial" w:cs="Arial"/>
          <w:b/>
          <w:sz w:val="20"/>
        </w:rPr>
        <w:t>Interest</w:t>
      </w:r>
      <w:r w:rsidR="006F1B25">
        <w:rPr>
          <w:rFonts w:ascii="Arial" w:hAnsi="Arial" w:cs="Arial"/>
          <w:b/>
          <w:sz w:val="20"/>
        </w:rPr>
        <w:t>, accretion</w:t>
      </w:r>
      <w:r w:rsidRPr="00DE0932">
        <w:rPr>
          <w:rFonts w:ascii="Arial" w:hAnsi="Arial" w:cs="Arial"/>
          <w:b/>
          <w:sz w:val="20"/>
        </w:rPr>
        <w:t xml:space="preserve"> and </w:t>
      </w:r>
      <w:r w:rsidR="00353639" w:rsidRPr="00DE0932">
        <w:rPr>
          <w:rFonts w:ascii="Arial" w:hAnsi="Arial" w:cs="Arial"/>
          <w:b/>
          <w:sz w:val="20"/>
        </w:rPr>
        <w:t>f</w:t>
      </w:r>
      <w:r w:rsidRPr="00DE0932">
        <w:rPr>
          <w:rFonts w:ascii="Arial" w:hAnsi="Arial" w:cs="Arial"/>
          <w:b/>
          <w:sz w:val="20"/>
        </w:rPr>
        <w:t xml:space="preserve">inancing </w:t>
      </w:r>
      <w:r w:rsidR="00353639" w:rsidRPr="00DE0932">
        <w:rPr>
          <w:rFonts w:ascii="Arial" w:hAnsi="Arial" w:cs="Arial"/>
          <w:b/>
          <w:sz w:val="20"/>
        </w:rPr>
        <w:t>c</w:t>
      </w:r>
      <w:r w:rsidRPr="00DE0932">
        <w:rPr>
          <w:rFonts w:ascii="Arial" w:hAnsi="Arial" w:cs="Arial"/>
          <w:b/>
          <w:sz w:val="20"/>
        </w:rPr>
        <w:t xml:space="preserve">harges </w:t>
      </w:r>
    </w:p>
    <w:p w14:paraId="40281B06" w14:textId="5F84BA67" w:rsidR="00E0523A" w:rsidRDefault="00154E0F" w:rsidP="004236A9">
      <w:pPr>
        <w:spacing w:line="276" w:lineRule="auto"/>
        <w:jc w:val="both"/>
        <w:rPr>
          <w:rFonts w:ascii="Arial" w:hAnsi="Arial" w:cs="Arial"/>
          <w:sz w:val="20"/>
        </w:rPr>
      </w:pPr>
      <w:r>
        <w:rPr>
          <w:rFonts w:ascii="Arial" w:hAnsi="Arial" w:cs="Arial"/>
          <w:sz w:val="20"/>
        </w:rPr>
        <w:t>Interest</w:t>
      </w:r>
      <w:r w:rsidR="00F16C23">
        <w:rPr>
          <w:rFonts w:ascii="Arial" w:hAnsi="Arial" w:cs="Arial"/>
          <w:sz w:val="20"/>
        </w:rPr>
        <w:t xml:space="preserve">, accretion </w:t>
      </w:r>
      <w:r w:rsidR="006F1B25">
        <w:rPr>
          <w:rFonts w:ascii="Arial" w:hAnsi="Arial" w:cs="Arial"/>
          <w:sz w:val="20"/>
        </w:rPr>
        <w:t>and financing</w:t>
      </w:r>
      <w:r w:rsidR="009B0E7D">
        <w:rPr>
          <w:rFonts w:ascii="Arial" w:hAnsi="Arial" w:cs="Arial"/>
          <w:sz w:val="20"/>
        </w:rPr>
        <w:t xml:space="preserve"> expense</w:t>
      </w:r>
      <w:r>
        <w:rPr>
          <w:rFonts w:ascii="Arial" w:hAnsi="Arial" w:cs="Arial"/>
          <w:sz w:val="20"/>
        </w:rPr>
        <w:t xml:space="preserve"> </w:t>
      </w:r>
      <w:r w:rsidR="008F390E">
        <w:rPr>
          <w:rFonts w:ascii="Arial" w:hAnsi="Arial" w:cs="Arial"/>
          <w:sz w:val="20"/>
        </w:rPr>
        <w:t xml:space="preserve">for the </w:t>
      </w:r>
      <w:r w:rsidR="003008ED">
        <w:rPr>
          <w:rFonts w:ascii="Arial" w:hAnsi="Arial" w:cs="Arial"/>
          <w:sz w:val="20"/>
        </w:rPr>
        <w:t>three months</w:t>
      </w:r>
      <w:r w:rsidR="00B55BAE">
        <w:rPr>
          <w:rFonts w:ascii="Arial" w:hAnsi="Arial" w:cs="Arial"/>
          <w:sz w:val="20"/>
        </w:rPr>
        <w:t xml:space="preserve"> ended </w:t>
      </w:r>
      <w:r w:rsidR="003008ED">
        <w:rPr>
          <w:rFonts w:ascii="Arial" w:hAnsi="Arial" w:cs="Arial"/>
          <w:sz w:val="20"/>
        </w:rPr>
        <w:t>November 30</w:t>
      </w:r>
      <w:r w:rsidR="00B73A8D">
        <w:rPr>
          <w:rFonts w:ascii="Arial" w:hAnsi="Arial" w:cs="Arial"/>
          <w:sz w:val="20"/>
        </w:rPr>
        <w:t>,</w:t>
      </w:r>
      <w:r w:rsidR="002450FF">
        <w:rPr>
          <w:rFonts w:ascii="Arial" w:hAnsi="Arial" w:cs="Arial"/>
          <w:sz w:val="20"/>
        </w:rPr>
        <w:t xml:space="preserve"> 202</w:t>
      </w:r>
      <w:r w:rsidR="008F390E">
        <w:rPr>
          <w:rFonts w:ascii="Arial" w:hAnsi="Arial" w:cs="Arial"/>
          <w:sz w:val="20"/>
        </w:rPr>
        <w:t>2</w:t>
      </w:r>
      <w:r w:rsidR="008E1AEE">
        <w:rPr>
          <w:rFonts w:ascii="Arial" w:hAnsi="Arial" w:cs="Arial"/>
          <w:sz w:val="20"/>
        </w:rPr>
        <w:t xml:space="preserve">, </w:t>
      </w:r>
      <w:r w:rsidR="00CF4004">
        <w:rPr>
          <w:rFonts w:ascii="Arial" w:hAnsi="Arial" w:cs="Arial"/>
          <w:sz w:val="20"/>
        </w:rPr>
        <w:t>totaling</w:t>
      </w:r>
      <w:r>
        <w:rPr>
          <w:rFonts w:ascii="Arial" w:hAnsi="Arial" w:cs="Arial"/>
          <w:sz w:val="20"/>
        </w:rPr>
        <w:t xml:space="preserve"> </w:t>
      </w:r>
      <w:r w:rsidR="007D7713">
        <w:rPr>
          <w:rFonts w:ascii="Arial" w:hAnsi="Arial" w:cs="Arial"/>
          <w:sz w:val="20"/>
        </w:rPr>
        <w:t>$</w:t>
      </w:r>
      <w:r w:rsidR="003008ED">
        <w:rPr>
          <w:rFonts w:ascii="Arial" w:hAnsi="Arial" w:cs="Arial"/>
          <w:sz w:val="20"/>
        </w:rPr>
        <w:t>12</w:t>
      </w:r>
      <w:r w:rsidR="004E332B">
        <w:rPr>
          <w:rFonts w:ascii="Arial" w:hAnsi="Arial" w:cs="Arial"/>
          <w:sz w:val="20"/>
        </w:rPr>
        <w:t xml:space="preserve"> </w:t>
      </w:r>
      <w:r w:rsidR="007D7713">
        <w:rPr>
          <w:rFonts w:ascii="Arial" w:hAnsi="Arial" w:cs="Arial"/>
          <w:sz w:val="20"/>
        </w:rPr>
        <w:t>(</w:t>
      </w:r>
      <w:r w:rsidR="003008ED">
        <w:rPr>
          <w:rFonts w:ascii="Arial" w:hAnsi="Arial" w:cs="Arial"/>
          <w:sz w:val="20"/>
        </w:rPr>
        <w:t>November 30</w:t>
      </w:r>
      <w:r w:rsidR="00CF4652">
        <w:rPr>
          <w:rFonts w:ascii="Arial" w:hAnsi="Arial" w:cs="Arial"/>
          <w:sz w:val="20"/>
        </w:rPr>
        <w:t xml:space="preserve">, </w:t>
      </w:r>
      <w:r w:rsidR="00D67A56">
        <w:rPr>
          <w:rFonts w:ascii="Arial" w:hAnsi="Arial" w:cs="Arial"/>
          <w:sz w:val="20"/>
        </w:rPr>
        <w:t>202</w:t>
      </w:r>
      <w:r w:rsidR="004015C6">
        <w:rPr>
          <w:rFonts w:ascii="Arial" w:hAnsi="Arial" w:cs="Arial"/>
          <w:sz w:val="20"/>
        </w:rPr>
        <w:t>1</w:t>
      </w:r>
      <w:r w:rsidR="00A31228">
        <w:rPr>
          <w:rFonts w:ascii="Arial" w:hAnsi="Arial" w:cs="Arial"/>
          <w:sz w:val="20"/>
        </w:rPr>
        <w:t xml:space="preserve"> - </w:t>
      </w:r>
      <w:r w:rsidR="00515E68">
        <w:rPr>
          <w:rFonts w:ascii="Arial" w:hAnsi="Arial" w:cs="Arial"/>
          <w:sz w:val="20"/>
        </w:rPr>
        <w:t>$</w:t>
      </w:r>
      <w:r w:rsidR="003008ED">
        <w:rPr>
          <w:rFonts w:ascii="Arial" w:hAnsi="Arial" w:cs="Arial"/>
          <w:sz w:val="20"/>
        </w:rPr>
        <w:t>12</w:t>
      </w:r>
      <w:r w:rsidR="007D7713">
        <w:rPr>
          <w:rFonts w:ascii="Arial" w:hAnsi="Arial" w:cs="Arial"/>
          <w:sz w:val="20"/>
        </w:rPr>
        <w:t>)</w:t>
      </w:r>
      <w:r w:rsidR="007861F2">
        <w:rPr>
          <w:rFonts w:ascii="Arial" w:hAnsi="Arial" w:cs="Arial"/>
          <w:sz w:val="20"/>
        </w:rPr>
        <w:t>,</w:t>
      </w:r>
      <w:r w:rsidR="00D21A15">
        <w:rPr>
          <w:rFonts w:ascii="Arial" w:hAnsi="Arial" w:cs="Arial"/>
          <w:sz w:val="20"/>
        </w:rPr>
        <w:t xml:space="preserve"> </w:t>
      </w:r>
      <w:r w:rsidR="00E0523A">
        <w:rPr>
          <w:rFonts w:ascii="Arial" w:hAnsi="Arial" w:cs="Arial"/>
          <w:sz w:val="20"/>
        </w:rPr>
        <w:t>arose</w:t>
      </w:r>
      <w:r w:rsidR="008A3865">
        <w:rPr>
          <w:rFonts w:ascii="Arial" w:hAnsi="Arial" w:cs="Arial"/>
          <w:sz w:val="20"/>
        </w:rPr>
        <w:t xml:space="preserve"> mainly</w:t>
      </w:r>
      <w:r w:rsidR="00E0523A">
        <w:rPr>
          <w:rFonts w:ascii="Arial" w:hAnsi="Arial" w:cs="Arial"/>
          <w:sz w:val="20"/>
        </w:rPr>
        <w:t xml:space="preserve"> from</w:t>
      </w:r>
      <w:r w:rsidR="00676E25">
        <w:rPr>
          <w:rFonts w:ascii="Arial" w:hAnsi="Arial" w:cs="Arial"/>
          <w:sz w:val="20"/>
        </w:rPr>
        <w:t xml:space="preserve"> </w:t>
      </w:r>
      <w:r w:rsidR="00E0523A">
        <w:rPr>
          <w:rFonts w:ascii="Arial" w:hAnsi="Arial" w:cs="Arial"/>
          <w:sz w:val="20"/>
        </w:rPr>
        <w:t xml:space="preserve">unsecured </w:t>
      </w:r>
      <w:r w:rsidR="00976EC5">
        <w:rPr>
          <w:rFonts w:ascii="Arial" w:hAnsi="Arial" w:cs="Arial"/>
          <w:sz w:val="20"/>
        </w:rPr>
        <w:t xml:space="preserve">demand </w:t>
      </w:r>
      <w:r w:rsidR="00C16CD9">
        <w:rPr>
          <w:rFonts w:ascii="Arial" w:hAnsi="Arial" w:cs="Arial"/>
          <w:sz w:val="20"/>
        </w:rPr>
        <w:t>loans</w:t>
      </w:r>
      <w:r w:rsidR="007D7713">
        <w:rPr>
          <w:rFonts w:ascii="Arial" w:hAnsi="Arial" w:cs="Arial"/>
          <w:sz w:val="20"/>
        </w:rPr>
        <w:t xml:space="preserve"> outstanding, as </w:t>
      </w:r>
      <w:r w:rsidR="00D57113">
        <w:rPr>
          <w:rFonts w:ascii="Arial" w:hAnsi="Arial" w:cs="Arial"/>
          <w:sz w:val="20"/>
        </w:rPr>
        <w:t>detailed</w:t>
      </w:r>
      <w:r w:rsidR="007D7713">
        <w:rPr>
          <w:rFonts w:ascii="Arial" w:hAnsi="Arial" w:cs="Arial"/>
          <w:sz w:val="20"/>
        </w:rPr>
        <w:t xml:space="preserve"> in the section entitled “Related party transactions –</w:t>
      </w:r>
      <w:r w:rsidR="00976EC5">
        <w:rPr>
          <w:rFonts w:ascii="Arial" w:hAnsi="Arial" w:cs="Arial"/>
          <w:sz w:val="20"/>
        </w:rPr>
        <w:t xml:space="preserve">Loans </w:t>
      </w:r>
      <w:r w:rsidR="007D7713">
        <w:rPr>
          <w:rFonts w:ascii="Arial" w:hAnsi="Arial" w:cs="Arial"/>
          <w:sz w:val="20"/>
        </w:rPr>
        <w:t>payable”</w:t>
      </w:r>
      <w:r w:rsidR="00F16C23">
        <w:rPr>
          <w:rFonts w:ascii="Arial" w:hAnsi="Arial" w:cs="Arial"/>
          <w:sz w:val="20"/>
        </w:rPr>
        <w:t xml:space="preserve"> and </w:t>
      </w:r>
      <w:r w:rsidR="00CB44C6">
        <w:rPr>
          <w:rFonts w:ascii="Arial" w:hAnsi="Arial" w:cs="Arial"/>
          <w:sz w:val="20"/>
        </w:rPr>
        <w:t>f</w:t>
      </w:r>
      <w:r w:rsidR="00CD72D3">
        <w:rPr>
          <w:rFonts w:ascii="Arial" w:hAnsi="Arial" w:cs="Arial"/>
          <w:sz w:val="20"/>
        </w:rPr>
        <w:t>rom</w:t>
      </w:r>
      <w:r w:rsidR="00CB44C6">
        <w:rPr>
          <w:rFonts w:ascii="Arial" w:hAnsi="Arial" w:cs="Arial"/>
          <w:sz w:val="20"/>
        </w:rPr>
        <w:t xml:space="preserve"> the convertible debentures outstanding, as detailed in the section entitled "</w:t>
      </w:r>
      <w:r w:rsidR="00236FE4">
        <w:rPr>
          <w:rFonts w:ascii="Arial" w:hAnsi="Arial" w:cs="Arial"/>
          <w:sz w:val="20"/>
        </w:rPr>
        <w:t xml:space="preserve">Overview – </w:t>
      </w:r>
      <w:r w:rsidR="008156E6">
        <w:rPr>
          <w:rFonts w:ascii="Arial" w:hAnsi="Arial" w:cs="Arial"/>
          <w:sz w:val="20"/>
        </w:rPr>
        <w:t>Convertible debentures</w:t>
      </w:r>
      <w:r w:rsidR="00236FE4">
        <w:rPr>
          <w:rFonts w:ascii="Arial" w:hAnsi="Arial" w:cs="Arial"/>
          <w:sz w:val="20"/>
        </w:rPr>
        <w:t>”</w:t>
      </w:r>
      <w:r w:rsidR="00676E25">
        <w:rPr>
          <w:rFonts w:ascii="Arial" w:hAnsi="Arial" w:cs="Arial"/>
          <w:sz w:val="20"/>
        </w:rPr>
        <w:t>.</w:t>
      </w:r>
    </w:p>
    <w:p w14:paraId="33C69993" w14:textId="77777777" w:rsidR="001F76BA" w:rsidRDefault="001F76BA" w:rsidP="00CD7E54">
      <w:pPr>
        <w:spacing w:line="276" w:lineRule="auto"/>
        <w:rPr>
          <w:rFonts w:ascii="Arial" w:hAnsi="Arial" w:cs="Arial"/>
          <w:b/>
          <w:sz w:val="20"/>
        </w:rPr>
      </w:pPr>
    </w:p>
    <w:p w14:paraId="3A659407" w14:textId="678D536E" w:rsidR="002E0644" w:rsidRPr="007868A2" w:rsidRDefault="002E0644" w:rsidP="00CD7E54">
      <w:pPr>
        <w:spacing w:line="276" w:lineRule="auto"/>
        <w:rPr>
          <w:rFonts w:ascii="Arial" w:hAnsi="Arial" w:cs="Arial"/>
          <w:b/>
          <w:sz w:val="20"/>
        </w:rPr>
      </w:pPr>
      <w:r w:rsidRPr="007868A2">
        <w:rPr>
          <w:rFonts w:ascii="Arial" w:hAnsi="Arial" w:cs="Arial"/>
          <w:b/>
          <w:sz w:val="20"/>
        </w:rPr>
        <w:t>Income taxes</w:t>
      </w:r>
    </w:p>
    <w:p w14:paraId="43570304" w14:textId="20300098" w:rsidR="002E0644" w:rsidRDefault="00F74300" w:rsidP="00CD7E54">
      <w:pPr>
        <w:pStyle w:val="bn1"/>
        <w:spacing w:before="0" w:line="276" w:lineRule="auto"/>
        <w:ind w:left="0"/>
        <w:rPr>
          <w:rFonts w:cs="Arial"/>
          <w:lang w:eastAsia="en-CA"/>
        </w:rPr>
      </w:pPr>
      <w:r w:rsidRPr="00F27505">
        <w:rPr>
          <w:rFonts w:cs="Arial"/>
          <w:lang w:eastAsia="en-CA"/>
        </w:rPr>
        <w:t>As at</w:t>
      </w:r>
      <w:r w:rsidR="00CD72D3">
        <w:rPr>
          <w:rFonts w:cs="Arial"/>
          <w:lang w:eastAsia="en-CA"/>
        </w:rPr>
        <w:t xml:space="preserve"> </w:t>
      </w:r>
      <w:r w:rsidR="00F00F9B">
        <w:rPr>
          <w:rFonts w:cs="Arial"/>
          <w:lang w:eastAsia="en-CA"/>
        </w:rPr>
        <w:t>November 30</w:t>
      </w:r>
      <w:r w:rsidR="00515E68" w:rsidRPr="00F27505">
        <w:rPr>
          <w:rFonts w:cs="Arial"/>
          <w:lang w:eastAsia="en-CA"/>
        </w:rPr>
        <w:t>, 202</w:t>
      </w:r>
      <w:r w:rsidR="004015C6">
        <w:rPr>
          <w:rFonts w:cs="Arial"/>
          <w:lang w:eastAsia="en-CA"/>
        </w:rPr>
        <w:t>2</w:t>
      </w:r>
      <w:r w:rsidR="007861F2" w:rsidRPr="00F27505">
        <w:rPr>
          <w:rFonts w:cs="Arial"/>
          <w:lang w:eastAsia="en-CA"/>
        </w:rPr>
        <w:t>,</w:t>
      </w:r>
      <w:r w:rsidRPr="00F27505">
        <w:rPr>
          <w:rFonts w:cs="Arial"/>
          <w:lang w:eastAsia="en-CA"/>
        </w:rPr>
        <w:t xml:space="preserve"> the Company ha</w:t>
      </w:r>
      <w:r w:rsidR="007D7713" w:rsidRPr="00F27505">
        <w:rPr>
          <w:rFonts w:cs="Arial"/>
          <w:lang w:eastAsia="en-CA"/>
        </w:rPr>
        <w:t>d</w:t>
      </w:r>
      <w:r w:rsidRPr="00F27505">
        <w:rPr>
          <w:rFonts w:cs="Arial"/>
          <w:lang w:eastAsia="en-CA"/>
        </w:rPr>
        <w:t xml:space="preserve"> </w:t>
      </w:r>
      <w:r w:rsidR="00373FB7" w:rsidRPr="00F27505">
        <w:rPr>
          <w:rFonts w:cs="Arial"/>
          <w:lang w:eastAsia="en-CA"/>
        </w:rPr>
        <w:t xml:space="preserve">approximately </w:t>
      </w:r>
      <w:r w:rsidRPr="00F27505">
        <w:rPr>
          <w:rFonts w:cs="Arial"/>
          <w:lang w:eastAsia="en-CA"/>
        </w:rPr>
        <w:t>$2</w:t>
      </w:r>
      <w:r w:rsidR="00CE54DC">
        <w:rPr>
          <w:rFonts w:cs="Arial"/>
          <w:lang w:eastAsia="en-CA"/>
        </w:rPr>
        <w:t>1,437</w:t>
      </w:r>
      <w:r w:rsidRPr="00F27505">
        <w:rPr>
          <w:rFonts w:cs="Arial"/>
          <w:lang w:eastAsia="en-CA"/>
        </w:rPr>
        <w:t xml:space="preserve"> in non-capital </w:t>
      </w:r>
      <w:r w:rsidR="007D7713" w:rsidRPr="00F27505">
        <w:rPr>
          <w:rFonts w:cs="Arial"/>
          <w:lang w:eastAsia="en-CA"/>
        </w:rPr>
        <w:t xml:space="preserve">income tax </w:t>
      </w:r>
      <w:r w:rsidRPr="00F27505">
        <w:rPr>
          <w:rFonts w:cs="Arial"/>
          <w:lang w:eastAsia="en-CA"/>
        </w:rPr>
        <w:t xml:space="preserve">losses </w:t>
      </w:r>
      <w:r w:rsidR="007D7713" w:rsidRPr="00F27505">
        <w:rPr>
          <w:rFonts w:cs="Arial"/>
          <w:lang w:eastAsia="en-CA"/>
        </w:rPr>
        <w:t xml:space="preserve">with </w:t>
      </w:r>
      <w:r w:rsidRPr="00F27505">
        <w:rPr>
          <w:rFonts w:cs="Arial"/>
          <w:lang w:eastAsia="en-CA"/>
        </w:rPr>
        <w:t>expir</w:t>
      </w:r>
      <w:r w:rsidR="007D7713" w:rsidRPr="00F27505">
        <w:rPr>
          <w:rFonts w:cs="Arial"/>
          <w:lang w:eastAsia="en-CA"/>
        </w:rPr>
        <w:t>y dates</w:t>
      </w:r>
      <w:r w:rsidRPr="00F27505">
        <w:rPr>
          <w:rFonts w:cs="Arial"/>
          <w:lang w:eastAsia="en-CA"/>
        </w:rPr>
        <w:t xml:space="preserve"> between 2027 and 20</w:t>
      </w:r>
      <w:r w:rsidR="00373FB7" w:rsidRPr="00F27505">
        <w:rPr>
          <w:rFonts w:cs="Arial"/>
          <w:lang w:eastAsia="en-CA"/>
        </w:rPr>
        <w:t>4</w:t>
      </w:r>
      <w:r w:rsidR="00515E68" w:rsidRPr="00F27505">
        <w:rPr>
          <w:rFonts w:cs="Arial"/>
          <w:lang w:eastAsia="en-CA"/>
        </w:rPr>
        <w:t>1</w:t>
      </w:r>
      <w:r w:rsidRPr="00F27505">
        <w:rPr>
          <w:rFonts w:cs="Arial"/>
          <w:lang w:eastAsia="en-CA"/>
        </w:rPr>
        <w:t>, SRED pool carry</w:t>
      </w:r>
      <w:r w:rsidR="0044086B" w:rsidRPr="00F27505">
        <w:rPr>
          <w:rFonts w:cs="Arial"/>
          <w:lang w:eastAsia="en-CA"/>
        </w:rPr>
        <w:t>-</w:t>
      </w:r>
      <w:r w:rsidRPr="00F27505">
        <w:rPr>
          <w:rFonts w:cs="Arial"/>
          <w:lang w:eastAsia="en-CA"/>
        </w:rPr>
        <w:t>forwards of $</w:t>
      </w:r>
      <w:r w:rsidR="00267BFF">
        <w:rPr>
          <w:rFonts w:cs="Arial"/>
          <w:lang w:eastAsia="en-CA"/>
        </w:rPr>
        <w:t>3,117</w:t>
      </w:r>
      <w:r w:rsidRPr="00F27505">
        <w:rPr>
          <w:rFonts w:cs="Arial"/>
          <w:lang w:eastAsia="en-CA"/>
        </w:rPr>
        <w:t>, capital loss carry</w:t>
      </w:r>
      <w:r w:rsidR="0044086B" w:rsidRPr="00F27505">
        <w:rPr>
          <w:rFonts w:cs="Arial"/>
          <w:lang w:eastAsia="en-CA"/>
        </w:rPr>
        <w:t>-</w:t>
      </w:r>
      <w:r w:rsidRPr="00F27505">
        <w:rPr>
          <w:rFonts w:cs="Arial"/>
          <w:lang w:eastAsia="en-CA"/>
        </w:rPr>
        <w:t>forwards of $25,530,</w:t>
      </w:r>
      <w:r w:rsidR="006D2ED0" w:rsidRPr="00F27505">
        <w:rPr>
          <w:rFonts w:cs="Arial"/>
          <w:lang w:eastAsia="en-CA"/>
        </w:rPr>
        <w:t xml:space="preserve"> </w:t>
      </w:r>
      <w:r w:rsidRPr="00F27505">
        <w:rPr>
          <w:rFonts w:cs="Arial"/>
          <w:lang w:eastAsia="en-CA"/>
        </w:rPr>
        <w:t>and non-tax deductible reserves of $6</w:t>
      </w:r>
      <w:r w:rsidR="00A6123C" w:rsidRPr="00F27505">
        <w:rPr>
          <w:rFonts w:cs="Arial"/>
          <w:lang w:eastAsia="en-CA"/>
        </w:rPr>
        <w:t>5</w:t>
      </w:r>
      <w:r w:rsidRPr="00F27505">
        <w:rPr>
          <w:rFonts w:cs="Arial"/>
          <w:lang w:eastAsia="en-CA"/>
        </w:rPr>
        <w:t>.</w:t>
      </w:r>
    </w:p>
    <w:p w14:paraId="3323133D" w14:textId="63A5D423" w:rsidR="001E0342" w:rsidRDefault="001E0342" w:rsidP="00CD7E54">
      <w:pPr>
        <w:pStyle w:val="bn1"/>
        <w:spacing w:before="0" w:line="276" w:lineRule="auto"/>
        <w:ind w:left="0"/>
        <w:rPr>
          <w:rFonts w:cs="Arial"/>
          <w:lang w:eastAsia="en-CA"/>
        </w:rPr>
      </w:pPr>
    </w:p>
    <w:p w14:paraId="6BC83FC5" w14:textId="0E8A665C" w:rsidR="001E0342" w:rsidRDefault="001E0342" w:rsidP="00CD7E54">
      <w:pPr>
        <w:pStyle w:val="bn1"/>
        <w:spacing w:before="0" w:line="276" w:lineRule="auto"/>
        <w:ind w:left="0"/>
        <w:rPr>
          <w:rFonts w:cs="Arial"/>
          <w:lang w:eastAsia="en-CA"/>
        </w:rPr>
      </w:pPr>
      <w:r>
        <w:rPr>
          <w:rFonts w:cs="Arial"/>
          <w:lang w:eastAsia="en-CA"/>
        </w:rPr>
        <w:t>Tax attributes are subject to review, and potential adjustment, by tax authorities.</w:t>
      </w:r>
    </w:p>
    <w:p w14:paraId="116FFC6E" w14:textId="77777777" w:rsidR="00FB6A9D" w:rsidRPr="00DE0932" w:rsidRDefault="00FB6A9D" w:rsidP="00CD7E54">
      <w:pPr>
        <w:pStyle w:val="bn1"/>
        <w:spacing w:before="0" w:line="276" w:lineRule="auto"/>
        <w:ind w:left="0"/>
        <w:rPr>
          <w:rFonts w:cs="Arial"/>
        </w:rPr>
      </w:pPr>
    </w:p>
    <w:p w14:paraId="4647BFEB" w14:textId="7A89BD6F" w:rsidR="001B674B" w:rsidRPr="00DE0932" w:rsidRDefault="009045A1" w:rsidP="00CD7E54">
      <w:pPr>
        <w:pStyle w:val="Heading4"/>
        <w:spacing w:line="276" w:lineRule="auto"/>
        <w:jc w:val="both"/>
      </w:pPr>
      <w:r>
        <w:t>L</w:t>
      </w:r>
      <w:r w:rsidR="00A731AA" w:rsidRPr="00DE0932">
        <w:t>oss</w:t>
      </w:r>
      <w:r>
        <w:t xml:space="preserve"> </w:t>
      </w:r>
      <w:r w:rsidR="001B674B" w:rsidRPr="00DE0932">
        <w:t xml:space="preserve">and </w:t>
      </w:r>
      <w:r w:rsidR="00353639" w:rsidRPr="00DE0932">
        <w:t>c</w:t>
      </w:r>
      <w:r w:rsidR="001B674B" w:rsidRPr="00DE0932">
        <w:t>omprehensive</w:t>
      </w:r>
      <w:r w:rsidR="000312FC">
        <w:t xml:space="preserve"> </w:t>
      </w:r>
      <w:r w:rsidR="00157C9B">
        <w:t>loss</w:t>
      </w:r>
    </w:p>
    <w:p w14:paraId="0F1091DB" w14:textId="6706B590" w:rsidR="00745006" w:rsidRDefault="008F390E" w:rsidP="00507786">
      <w:pPr>
        <w:autoSpaceDE w:val="0"/>
        <w:autoSpaceDN w:val="0"/>
        <w:adjustRightInd w:val="0"/>
        <w:spacing w:line="276" w:lineRule="auto"/>
        <w:jc w:val="both"/>
        <w:rPr>
          <w:rFonts w:ascii="Arial" w:hAnsi="Arial" w:cs="Arial"/>
          <w:sz w:val="20"/>
          <w:lang w:eastAsia="en-CA"/>
        </w:rPr>
      </w:pPr>
      <w:r>
        <w:rPr>
          <w:rFonts w:ascii="Arial" w:hAnsi="Arial" w:cs="Arial"/>
          <w:sz w:val="20"/>
        </w:rPr>
        <w:t xml:space="preserve">For the </w:t>
      </w:r>
      <w:r w:rsidR="00BA2A2C">
        <w:rPr>
          <w:rFonts w:ascii="Arial" w:hAnsi="Arial" w:cs="Arial"/>
          <w:sz w:val="20"/>
        </w:rPr>
        <w:t>three months ended November 30</w:t>
      </w:r>
      <w:r w:rsidR="00B73A8D">
        <w:rPr>
          <w:rFonts w:ascii="Arial" w:hAnsi="Arial" w:cs="Arial"/>
          <w:sz w:val="20"/>
        </w:rPr>
        <w:t>,</w:t>
      </w:r>
      <w:r w:rsidR="00451E48">
        <w:rPr>
          <w:rFonts w:ascii="Arial" w:hAnsi="Arial" w:cs="Arial"/>
          <w:sz w:val="20"/>
        </w:rPr>
        <w:t xml:space="preserve"> 202</w:t>
      </w:r>
      <w:r w:rsidR="009045A1">
        <w:rPr>
          <w:rFonts w:ascii="Arial" w:hAnsi="Arial" w:cs="Arial"/>
          <w:sz w:val="20"/>
        </w:rPr>
        <w:t>2</w:t>
      </w:r>
      <w:r w:rsidR="001E0342">
        <w:rPr>
          <w:rFonts w:ascii="Arial" w:hAnsi="Arial" w:cs="Arial"/>
          <w:sz w:val="20"/>
        </w:rPr>
        <w:t>, t</w:t>
      </w:r>
      <w:r w:rsidR="001E0342" w:rsidRPr="00997B0C">
        <w:rPr>
          <w:rFonts w:ascii="Arial" w:hAnsi="Arial" w:cs="Arial"/>
          <w:sz w:val="20"/>
        </w:rPr>
        <w:t xml:space="preserve">he </w:t>
      </w:r>
      <w:r w:rsidR="007D3996">
        <w:rPr>
          <w:rFonts w:ascii="Arial" w:hAnsi="Arial" w:cs="Arial"/>
          <w:sz w:val="20"/>
        </w:rPr>
        <w:t>loss</w:t>
      </w:r>
      <w:r w:rsidR="00B317C2">
        <w:rPr>
          <w:rFonts w:ascii="Arial" w:hAnsi="Arial" w:cs="Arial"/>
          <w:sz w:val="20"/>
        </w:rPr>
        <w:t xml:space="preserve"> </w:t>
      </w:r>
      <w:r w:rsidR="00F97147">
        <w:rPr>
          <w:rFonts w:ascii="Arial" w:hAnsi="Arial" w:cs="Arial"/>
          <w:sz w:val="20"/>
        </w:rPr>
        <w:t xml:space="preserve">and </w:t>
      </w:r>
      <w:r w:rsidR="001E0342" w:rsidRPr="00997B0C">
        <w:rPr>
          <w:rFonts w:ascii="Arial" w:hAnsi="Arial" w:cs="Arial"/>
          <w:sz w:val="20"/>
        </w:rPr>
        <w:t xml:space="preserve">comprehensive </w:t>
      </w:r>
      <w:r w:rsidR="007D3996">
        <w:rPr>
          <w:rFonts w:ascii="Arial" w:hAnsi="Arial" w:cs="Arial"/>
          <w:sz w:val="20"/>
        </w:rPr>
        <w:t xml:space="preserve">loss </w:t>
      </w:r>
      <w:r w:rsidR="001E0342" w:rsidRPr="00997B0C">
        <w:rPr>
          <w:rFonts w:ascii="Arial" w:hAnsi="Arial" w:cs="Arial"/>
          <w:sz w:val="20"/>
        </w:rPr>
        <w:t>amounted to $</w:t>
      </w:r>
      <w:r w:rsidR="00E32481">
        <w:rPr>
          <w:rFonts w:ascii="Arial" w:hAnsi="Arial" w:cs="Arial"/>
          <w:sz w:val="20"/>
        </w:rPr>
        <w:t>68</w:t>
      </w:r>
      <w:r w:rsidR="007D3996">
        <w:rPr>
          <w:rFonts w:ascii="Arial" w:hAnsi="Arial" w:cs="Arial"/>
          <w:sz w:val="20"/>
        </w:rPr>
        <w:t xml:space="preserve"> </w:t>
      </w:r>
      <w:r w:rsidR="001E0342" w:rsidRPr="00997B0C">
        <w:rPr>
          <w:rFonts w:ascii="Arial" w:hAnsi="Arial" w:cs="Arial"/>
          <w:sz w:val="20"/>
        </w:rPr>
        <w:t xml:space="preserve">or </w:t>
      </w:r>
      <w:r w:rsidR="001E0342" w:rsidRPr="00997B0C">
        <w:rPr>
          <w:rFonts w:ascii="Arial" w:hAnsi="Arial" w:cs="Arial"/>
          <w:sz w:val="20"/>
          <w:lang w:eastAsia="en-CA"/>
        </w:rPr>
        <w:t>$0.</w:t>
      </w:r>
      <w:r w:rsidR="001E0342">
        <w:rPr>
          <w:rFonts w:ascii="Arial" w:hAnsi="Arial" w:cs="Arial"/>
          <w:sz w:val="20"/>
          <w:lang w:eastAsia="en-CA"/>
        </w:rPr>
        <w:t>0</w:t>
      </w:r>
      <w:r w:rsidR="00727222">
        <w:rPr>
          <w:rFonts w:ascii="Arial" w:hAnsi="Arial" w:cs="Arial"/>
          <w:sz w:val="20"/>
          <w:lang w:eastAsia="en-CA"/>
        </w:rPr>
        <w:t>1</w:t>
      </w:r>
      <w:r w:rsidR="00F965E6">
        <w:rPr>
          <w:rFonts w:ascii="Arial" w:hAnsi="Arial" w:cs="Arial"/>
          <w:sz w:val="20"/>
          <w:lang w:eastAsia="en-CA"/>
        </w:rPr>
        <w:t>,</w:t>
      </w:r>
      <w:r w:rsidR="003111E8">
        <w:rPr>
          <w:rFonts w:ascii="Arial" w:hAnsi="Arial" w:cs="Arial"/>
          <w:sz w:val="20"/>
          <w:lang w:eastAsia="en-CA"/>
        </w:rPr>
        <w:t xml:space="preserve"> </w:t>
      </w:r>
      <w:r w:rsidR="001E0342">
        <w:rPr>
          <w:rFonts w:ascii="Arial" w:hAnsi="Arial" w:cs="Arial"/>
          <w:sz w:val="20"/>
          <w:lang w:eastAsia="en-CA"/>
        </w:rPr>
        <w:t>basic and diluted</w:t>
      </w:r>
      <w:r w:rsidR="00F41024">
        <w:rPr>
          <w:rFonts w:ascii="Arial" w:hAnsi="Arial" w:cs="Arial"/>
          <w:sz w:val="20"/>
          <w:lang w:eastAsia="en-CA"/>
        </w:rPr>
        <w:t>, compared to</w:t>
      </w:r>
      <w:r w:rsidR="00686D1C">
        <w:rPr>
          <w:rFonts w:ascii="Arial" w:hAnsi="Arial" w:cs="Arial"/>
          <w:sz w:val="20"/>
          <w:lang w:eastAsia="en-CA"/>
        </w:rPr>
        <w:t xml:space="preserve"> </w:t>
      </w:r>
      <w:r w:rsidR="006504FE">
        <w:rPr>
          <w:rFonts w:ascii="Arial" w:hAnsi="Arial" w:cs="Arial"/>
          <w:sz w:val="20"/>
          <w:lang w:eastAsia="en-CA"/>
        </w:rPr>
        <w:t xml:space="preserve">income and comprehensive income of $10 </w:t>
      </w:r>
      <w:r w:rsidR="0067045C">
        <w:rPr>
          <w:rFonts w:ascii="Arial" w:hAnsi="Arial" w:cs="Arial"/>
          <w:sz w:val="20"/>
          <w:lang w:eastAsia="en-CA"/>
        </w:rPr>
        <w:t>or $0.0</w:t>
      </w:r>
      <w:r w:rsidR="006504FE">
        <w:rPr>
          <w:rFonts w:ascii="Arial" w:hAnsi="Arial" w:cs="Arial"/>
          <w:sz w:val="20"/>
          <w:lang w:eastAsia="en-CA"/>
        </w:rPr>
        <w:t>0</w:t>
      </w:r>
      <w:r w:rsidR="00F41024">
        <w:rPr>
          <w:rFonts w:ascii="Arial" w:hAnsi="Arial" w:cs="Arial"/>
          <w:sz w:val="20"/>
          <w:lang w:eastAsia="en-CA"/>
        </w:rPr>
        <w:t xml:space="preserve"> </w:t>
      </w:r>
      <w:r>
        <w:rPr>
          <w:rFonts w:ascii="Arial" w:hAnsi="Arial" w:cs="Arial"/>
          <w:sz w:val="20"/>
          <w:lang w:eastAsia="en-CA"/>
        </w:rPr>
        <w:t xml:space="preserve">for the </w:t>
      </w:r>
      <w:r w:rsidR="00BA2A2C">
        <w:rPr>
          <w:rFonts w:ascii="Arial" w:hAnsi="Arial" w:cs="Arial"/>
          <w:sz w:val="20"/>
          <w:lang w:eastAsia="en-CA"/>
        </w:rPr>
        <w:t>three months ended November 30</w:t>
      </w:r>
      <w:r w:rsidR="00B73A8D">
        <w:rPr>
          <w:rFonts w:ascii="Arial" w:hAnsi="Arial" w:cs="Arial"/>
          <w:sz w:val="20"/>
          <w:lang w:eastAsia="en-CA"/>
        </w:rPr>
        <w:t>,</w:t>
      </w:r>
      <w:r w:rsidR="00F41024">
        <w:rPr>
          <w:rFonts w:ascii="Arial" w:hAnsi="Arial" w:cs="Arial"/>
          <w:sz w:val="20"/>
          <w:lang w:eastAsia="en-CA"/>
        </w:rPr>
        <w:t xml:space="preserve"> 202</w:t>
      </w:r>
      <w:r w:rsidR="0067045C">
        <w:rPr>
          <w:rFonts w:ascii="Arial" w:hAnsi="Arial" w:cs="Arial"/>
          <w:sz w:val="20"/>
          <w:lang w:eastAsia="en-CA"/>
        </w:rPr>
        <w:t>1</w:t>
      </w:r>
      <w:r w:rsidR="00F41024">
        <w:rPr>
          <w:rFonts w:ascii="Arial" w:hAnsi="Arial" w:cs="Arial"/>
          <w:sz w:val="20"/>
          <w:lang w:eastAsia="en-CA"/>
        </w:rPr>
        <w:t>.</w:t>
      </w:r>
    </w:p>
    <w:p w14:paraId="369E87F8" w14:textId="05929A19" w:rsidR="000312FC" w:rsidRDefault="000312FC">
      <w:pPr>
        <w:rPr>
          <w:rFonts w:ascii="Arial" w:hAnsi="Arial" w:cs="Arial"/>
          <w:b/>
          <w:sz w:val="20"/>
        </w:rPr>
      </w:pPr>
    </w:p>
    <w:p w14:paraId="4D30655A" w14:textId="1ED9800E" w:rsidR="00FD158D" w:rsidRDefault="00E0658A" w:rsidP="00CD7E54">
      <w:pPr>
        <w:spacing w:line="276" w:lineRule="auto"/>
        <w:ind w:left="360" w:hanging="360"/>
        <w:rPr>
          <w:rFonts w:ascii="Arial" w:hAnsi="Arial" w:cs="Arial"/>
          <w:b/>
          <w:sz w:val="20"/>
        </w:rPr>
      </w:pPr>
      <w:r>
        <w:rPr>
          <w:rFonts w:ascii="Arial" w:hAnsi="Arial" w:cs="Arial"/>
          <w:b/>
          <w:sz w:val="20"/>
        </w:rPr>
        <w:t>7</w:t>
      </w:r>
      <w:r w:rsidR="00FD158D" w:rsidRPr="00DE0932">
        <w:rPr>
          <w:rFonts w:ascii="Arial" w:hAnsi="Arial" w:cs="Arial"/>
          <w:b/>
          <w:sz w:val="20"/>
        </w:rPr>
        <w:t>.</w:t>
      </w:r>
      <w:r w:rsidR="00FD158D" w:rsidRPr="00DE0932">
        <w:rPr>
          <w:rFonts w:ascii="Arial" w:hAnsi="Arial" w:cs="Arial"/>
          <w:b/>
          <w:sz w:val="20"/>
        </w:rPr>
        <w:tab/>
        <w:t>QUARTERLY FINANCIAL RESULTS</w:t>
      </w:r>
    </w:p>
    <w:p w14:paraId="7BFF6272" w14:textId="77777777" w:rsidR="00745006" w:rsidRDefault="00745006" w:rsidP="00CD7E54">
      <w:pPr>
        <w:spacing w:line="276" w:lineRule="auto"/>
        <w:ind w:left="360" w:hanging="360"/>
        <w:rPr>
          <w:rFonts w:ascii="Arial" w:hAnsi="Arial" w:cs="Arial"/>
          <w:b/>
          <w:sz w:val="20"/>
        </w:rPr>
      </w:pPr>
    </w:p>
    <w:tbl>
      <w:tblPr>
        <w:tblW w:w="93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5"/>
        <w:gridCol w:w="720"/>
        <w:gridCol w:w="720"/>
        <w:gridCol w:w="815"/>
        <w:gridCol w:w="763"/>
        <w:gridCol w:w="763"/>
        <w:gridCol w:w="17"/>
        <w:gridCol w:w="738"/>
        <w:gridCol w:w="755"/>
        <w:gridCol w:w="739"/>
        <w:gridCol w:w="6"/>
      </w:tblGrid>
      <w:tr w:rsidR="006504FE" w:rsidRPr="008266A3" w14:paraId="27B48715" w14:textId="3BF35B36" w:rsidTr="00084E78">
        <w:trPr>
          <w:cantSplit/>
          <w:trHeight w:val="168"/>
        </w:trPr>
        <w:tc>
          <w:tcPr>
            <w:tcW w:w="3335"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1A80D5B3" w14:textId="77777777" w:rsidR="006504FE" w:rsidRPr="008266A3" w:rsidRDefault="006504FE" w:rsidP="00CE4DC0">
            <w:pPr>
              <w:pStyle w:val="BodyText3"/>
              <w:spacing w:line="276" w:lineRule="auto"/>
              <w:ind w:right="-109"/>
              <w:jc w:val="left"/>
              <w:rPr>
                <w:rFonts w:ascii="Arial" w:hAnsi="Arial" w:cs="Arial"/>
                <w:i/>
                <w:sz w:val="16"/>
                <w:szCs w:val="16"/>
              </w:rPr>
            </w:pPr>
          </w:p>
        </w:tc>
        <w:tc>
          <w:tcPr>
            <w:tcW w:w="720" w:type="dxa"/>
            <w:tcBorders>
              <w:top w:val="single" w:sz="8" w:space="0" w:color="auto"/>
              <w:left w:val="single" w:sz="8" w:space="0" w:color="auto"/>
              <w:right w:val="single" w:sz="8" w:space="0" w:color="auto"/>
            </w:tcBorders>
            <w:shd w:val="clear" w:color="auto" w:fill="F2F2F2" w:themeFill="background1" w:themeFillShade="F2"/>
          </w:tcPr>
          <w:p w14:paraId="7C51DE76" w14:textId="527D09CA" w:rsidR="006504FE" w:rsidRDefault="00084E78" w:rsidP="00626FF5">
            <w:pPr>
              <w:pStyle w:val="BodyText3"/>
              <w:tabs>
                <w:tab w:val="center" w:pos="658"/>
              </w:tabs>
              <w:spacing w:line="276" w:lineRule="auto"/>
              <w:rPr>
                <w:rFonts w:ascii="Arial" w:hAnsi="Arial" w:cs="Arial"/>
                <w:sz w:val="16"/>
                <w:szCs w:val="16"/>
              </w:rPr>
            </w:pPr>
            <w:r>
              <w:rPr>
                <w:rFonts w:ascii="Arial" w:hAnsi="Arial" w:cs="Arial"/>
                <w:sz w:val="16"/>
                <w:szCs w:val="16"/>
              </w:rPr>
              <w:t>Fiscal 2023</w:t>
            </w:r>
          </w:p>
        </w:tc>
        <w:tc>
          <w:tcPr>
            <w:tcW w:w="3078" w:type="dxa"/>
            <w:gridSpan w:val="5"/>
            <w:tcBorders>
              <w:top w:val="single" w:sz="8" w:space="0" w:color="auto"/>
              <w:left w:val="single" w:sz="8" w:space="0" w:color="auto"/>
              <w:right w:val="single" w:sz="8" w:space="0" w:color="auto"/>
            </w:tcBorders>
            <w:shd w:val="clear" w:color="auto" w:fill="F2F2F2" w:themeFill="background1" w:themeFillShade="F2"/>
          </w:tcPr>
          <w:p w14:paraId="04C6704B" w14:textId="0A2303B5" w:rsidR="006504FE" w:rsidRDefault="006504FE" w:rsidP="00626FF5">
            <w:pPr>
              <w:pStyle w:val="BodyText3"/>
              <w:tabs>
                <w:tab w:val="center" w:pos="658"/>
              </w:tabs>
              <w:spacing w:line="276" w:lineRule="auto"/>
              <w:rPr>
                <w:rFonts w:ascii="Arial" w:hAnsi="Arial" w:cs="Arial"/>
                <w:sz w:val="16"/>
                <w:szCs w:val="16"/>
              </w:rPr>
            </w:pPr>
            <w:r>
              <w:rPr>
                <w:rFonts w:ascii="Arial" w:hAnsi="Arial" w:cs="Arial"/>
                <w:sz w:val="16"/>
                <w:szCs w:val="16"/>
              </w:rPr>
              <w:t>Fiscal 2022</w:t>
            </w:r>
          </w:p>
        </w:tc>
        <w:tc>
          <w:tcPr>
            <w:tcW w:w="2238" w:type="dxa"/>
            <w:gridSpan w:val="4"/>
            <w:tcBorders>
              <w:top w:val="single" w:sz="8" w:space="0" w:color="auto"/>
              <w:left w:val="single" w:sz="8" w:space="0" w:color="auto"/>
              <w:right w:val="single" w:sz="8" w:space="0" w:color="auto"/>
            </w:tcBorders>
            <w:shd w:val="clear" w:color="auto" w:fill="F2F2F2" w:themeFill="background1" w:themeFillShade="F2"/>
            <w:vAlign w:val="center"/>
          </w:tcPr>
          <w:p w14:paraId="730D0CAF" w14:textId="4201352A" w:rsidR="006504FE" w:rsidRPr="008266A3" w:rsidRDefault="006504FE" w:rsidP="00CE4DC0">
            <w:pPr>
              <w:pStyle w:val="BodyText3"/>
              <w:tabs>
                <w:tab w:val="center" w:pos="658"/>
              </w:tabs>
              <w:spacing w:line="276" w:lineRule="auto"/>
              <w:rPr>
                <w:rFonts w:ascii="Arial" w:hAnsi="Arial" w:cs="Arial"/>
                <w:sz w:val="16"/>
                <w:szCs w:val="16"/>
              </w:rPr>
            </w:pPr>
            <w:r>
              <w:rPr>
                <w:rFonts w:ascii="Arial" w:hAnsi="Arial" w:cs="Arial"/>
                <w:sz w:val="16"/>
                <w:szCs w:val="16"/>
              </w:rPr>
              <w:t>Fiscal 2021</w:t>
            </w:r>
          </w:p>
        </w:tc>
      </w:tr>
      <w:tr w:rsidR="006504FE" w:rsidRPr="008266A3" w14:paraId="682A453C" w14:textId="77777777" w:rsidTr="00084E78">
        <w:trPr>
          <w:gridAfter w:val="1"/>
          <w:wAfter w:w="6" w:type="dxa"/>
          <w:cantSplit/>
          <w:trHeight w:val="170"/>
        </w:trPr>
        <w:tc>
          <w:tcPr>
            <w:tcW w:w="3335" w:type="dxa"/>
            <w:vMerge/>
            <w:tcBorders>
              <w:left w:val="single" w:sz="8" w:space="0" w:color="auto"/>
              <w:bottom w:val="single" w:sz="8" w:space="0" w:color="auto"/>
              <w:right w:val="single" w:sz="8" w:space="0" w:color="auto"/>
            </w:tcBorders>
            <w:shd w:val="clear" w:color="auto" w:fill="F2F2F2" w:themeFill="background1" w:themeFillShade="F2"/>
            <w:vAlign w:val="bottom"/>
          </w:tcPr>
          <w:p w14:paraId="53AEF902" w14:textId="77777777" w:rsidR="006504FE" w:rsidRPr="008266A3" w:rsidRDefault="006504FE" w:rsidP="00A317E0">
            <w:pPr>
              <w:pStyle w:val="BodyText3"/>
              <w:spacing w:line="276" w:lineRule="auto"/>
              <w:ind w:right="-109"/>
              <w:jc w:val="left"/>
              <w:rPr>
                <w:rFonts w:ascii="Arial" w:hAnsi="Arial" w:cs="Arial"/>
                <w:i/>
                <w:sz w:val="16"/>
                <w:szCs w:val="16"/>
              </w:rPr>
            </w:pPr>
          </w:p>
        </w:tc>
        <w:tc>
          <w:tcPr>
            <w:tcW w:w="720" w:type="dxa"/>
            <w:tcBorders>
              <w:left w:val="single" w:sz="8" w:space="0" w:color="auto"/>
              <w:bottom w:val="single" w:sz="8" w:space="0" w:color="auto"/>
              <w:right w:val="single" w:sz="8" w:space="0" w:color="auto"/>
            </w:tcBorders>
          </w:tcPr>
          <w:p w14:paraId="5EF77AB1" w14:textId="5B02B3A4" w:rsidR="006504FE" w:rsidRDefault="00084E78" w:rsidP="00A317E0">
            <w:pPr>
              <w:pStyle w:val="BodyText3"/>
              <w:spacing w:line="276" w:lineRule="auto"/>
              <w:ind w:left="-108" w:right="-108"/>
              <w:rPr>
                <w:rFonts w:ascii="Arial" w:hAnsi="Arial" w:cs="Arial"/>
                <w:sz w:val="16"/>
                <w:szCs w:val="16"/>
              </w:rPr>
            </w:pPr>
            <w:r>
              <w:rPr>
                <w:rFonts w:ascii="Arial" w:hAnsi="Arial" w:cs="Arial"/>
                <w:sz w:val="16"/>
                <w:szCs w:val="16"/>
              </w:rPr>
              <w:t>Nov 30</w:t>
            </w:r>
          </w:p>
        </w:tc>
        <w:tc>
          <w:tcPr>
            <w:tcW w:w="720" w:type="dxa"/>
            <w:tcBorders>
              <w:left w:val="single" w:sz="8" w:space="0" w:color="auto"/>
              <w:bottom w:val="single" w:sz="8" w:space="0" w:color="auto"/>
              <w:right w:val="single" w:sz="8" w:space="0" w:color="auto"/>
            </w:tcBorders>
          </w:tcPr>
          <w:p w14:paraId="221315F5" w14:textId="0F9B96DE" w:rsidR="006504FE" w:rsidRDefault="006504FE" w:rsidP="00A317E0">
            <w:pPr>
              <w:pStyle w:val="BodyText3"/>
              <w:spacing w:line="276" w:lineRule="auto"/>
              <w:ind w:left="-108" w:right="-108"/>
              <w:rPr>
                <w:rFonts w:ascii="Arial" w:hAnsi="Arial" w:cs="Arial"/>
                <w:sz w:val="16"/>
                <w:szCs w:val="16"/>
              </w:rPr>
            </w:pPr>
            <w:r>
              <w:rPr>
                <w:rFonts w:ascii="Arial" w:hAnsi="Arial" w:cs="Arial"/>
                <w:sz w:val="16"/>
                <w:szCs w:val="16"/>
              </w:rPr>
              <w:t>Aug 31</w:t>
            </w:r>
          </w:p>
        </w:tc>
        <w:tc>
          <w:tcPr>
            <w:tcW w:w="815" w:type="dxa"/>
            <w:tcBorders>
              <w:left w:val="single" w:sz="8" w:space="0" w:color="auto"/>
              <w:bottom w:val="single" w:sz="8" w:space="0" w:color="auto"/>
              <w:right w:val="single" w:sz="8" w:space="0" w:color="auto"/>
            </w:tcBorders>
          </w:tcPr>
          <w:p w14:paraId="1824F8D4" w14:textId="7838DC35" w:rsidR="006504FE" w:rsidRDefault="006504FE" w:rsidP="00A317E0">
            <w:pPr>
              <w:pStyle w:val="BodyText3"/>
              <w:spacing w:line="276" w:lineRule="auto"/>
              <w:ind w:left="-108" w:right="-108"/>
              <w:rPr>
                <w:rFonts w:ascii="Arial" w:hAnsi="Arial" w:cs="Arial"/>
                <w:sz w:val="16"/>
                <w:szCs w:val="16"/>
              </w:rPr>
            </w:pPr>
            <w:r>
              <w:rPr>
                <w:rFonts w:ascii="Arial" w:hAnsi="Arial" w:cs="Arial"/>
                <w:sz w:val="16"/>
                <w:szCs w:val="16"/>
              </w:rPr>
              <w:t>May 31</w:t>
            </w:r>
          </w:p>
        </w:tc>
        <w:tc>
          <w:tcPr>
            <w:tcW w:w="763" w:type="dxa"/>
            <w:tcBorders>
              <w:left w:val="single" w:sz="8" w:space="0" w:color="auto"/>
              <w:bottom w:val="single" w:sz="8" w:space="0" w:color="auto"/>
              <w:right w:val="single" w:sz="8" w:space="0" w:color="auto"/>
            </w:tcBorders>
          </w:tcPr>
          <w:p w14:paraId="2A537261" w14:textId="6D34A82F" w:rsidR="006504FE" w:rsidRDefault="006504FE" w:rsidP="00A317E0">
            <w:pPr>
              <w:pStyle w:val="BodyText3"/>
              <w:spacing w:line="276" w:lineRule="auto"/>
              <w:ind w:left="-108" w:right="-108"/>
              <w:rPr>
                <w:rFonts w:ascii="Arial" w:hAnsi="Arial" w:cs="Arial"/>
                <w:sz w:val="16"/>
                <w:szCs w:val="16"/>
              </w:rPr>
            </w:pPr>
            <w:r>
              <w:rPr>
                <w:rFonts w:ascii="Arial" w:hAnsi="Arial" w:cs="Arial"/>
                <w:sz w:val="16"/>
                <w:szCs w:val="16"/>
              </w:rPr>
              <w:t>Feb 28</w:t>
            </w:r>
          </w:p>
        </w:tc>
        <w:tc>
          <w:tcPr>
            <w:tcW w:w="763" w:type="dxa"/>
            <w:tcBorders>
              <w:left w:val="single" w:sz="8" w:space="0" w:color="auto"/>
              <w:bottom w:val="single" w:sz="8" w:space="0" w:color="auto"/>
              <w:right w:val="single" w:sz="8" w:space="0" w:color="auto"/>
            </w:tcBorders>
          </w:tcPr>
          <w:p w14:paraId="7EE4D8A6" w14:textId="6C76F2F4" w:rsidR="006504FE" w:rsidRDefault="006504FE" w:rsidP="00A317E0">
            <w:pPr>
              <w:pStyle w:val="BodyText3"/>
              <w:spacing w:line="276" w:lineRule="auto"/>
              <w:ind w:left="-108" w:right="-108"/>
              <w:rPr>
                <w:rFonts w:ascii="Arial" w:hAnsi="Arial" w:cs="Arial"/>
                <w:sz w:val="16"/>
                <w:szCs w:val="16"/>
              </w:rPr>
            </w:pPr>
            <w:r>
              <w:rPr>
                <w:rFonts w:ascii="Arial" w:hAnsi="Arial" w:cs="Arial"/>
                <w:sz w:val="16"/>
                <w:szCs w:val="16"/>
              </w:rPr>
              <w:t>Nov 30</w:t>
            </w:r>
          </w:p>
        </w:tc>
        <w:tc>
          <w:tcPr>
            <w:tcW w:w="755" w:type="dxa"/>
            <w:gridSpan w:val="2"/>
            <w:tcBorders>
              <w:left w:val="single" w:sz="8" w:space="0" w:color="auto"/>
              <w:bottom w:val="single" w:sz="8" w:space="0" w:color="auto"/>
              <w:right w:val="single" w:sz="8" w:space="0" w:color="auto"/>
            </w:tcBorders>
          </w:tcPr>
          <w:p w14:paraId="5EC50E76" w14:textId="2E1C7888" w:rsidR="006504FE" w:rsidRDefault="006504FE" w:rsidP="00A317E0">
            <w:pPr>
              <w:pStyle w:val="BodyText3"/>
              <w:spacing w:line="276" w:lineRule="auto"/>
              <w:ind w:left="-108" w:right="-108"/>
              <w:rPr>
                <w:rFonts w:ascii="Arial" w:hAnsi="Arial" w:cs="Arial"/>
                <w:sz w:val="16"/>
                <w:szCs w:val="16"/>
              </w:rPr>
            </w:pPr>
            <w:r>
              <w:rPr>
                <w:rFonts w:ascii="Arial" w:hAnsi="Arial" w:cs="Arial"/>
                <w:sz w:val="16"/>
                <w:szCs w:val="16"/>
              </w:rPr>
              <w:t>Aug 31</w:t>
            </w:r>
          </w:p>
        </w:tc>
        <w:tc>
          <w:tcPr>
            <w:tcW w:w="755" w:type="dxa"/>
            <w:tcBorders>
              <w:left w:val="single" w:sz="8" w:space="0" w:color="auto"/>
              <w:bottom w:val="single" w:sz="8" w:space="0" w:color="auto"/>
              <w:right w:val="single" w:sz="8" w:space="0" w:color="auto"/>
            </w:tcBorders>
            <w:vAlign w:val="center"/>
          </w:tcPr>
          <w:p w14:paraId="286763D6" w14:textId="5F94607D" w:rsidR="006504FE" w:rsidRDefault="006504FE" w:rsidP="00A317E0">
            <w:pPr>
              <w:pStyle w:val="BodyText3"/>
              <w:spacing w:line="276" w:lineRule="auto"/>
              <w:ind w:left="-108" w:right="-108"/>
              <w:rPr>
                <w:rFonts w:ascii="Arial" w:hAnsi="Arial" w:cs="Arial"/>
                <w:sz w:val="16"/>
                <w:szCs w:val="16"/>
              </w:rPr>
            </w:pPr>
            <w:r>
              <w:rPr>
                <w:rFonts w:ascii="Arial" w:hAnsi="Arial" w:cs="Arial"/>
                <w:sz w:val="16"/>
                <w:szCs w:val="16"/>
              </w:rPr>
              <w:t>May 31</w:t>
            </w:r>
          </w:p>
        </w:tc>
        <w:tc>
          <w:tcPr>
            <w:tcW w:w="739" w:type="dxa"/>
            <w:tcBorders>
              <w:left w:val="single" w:sz="8" w:space="0" w:color="auto"/>
              <w:bottom w:val="single" w:sz="8" w:space="0" w:color="auto"/>
              <w:right w:val="single" w:sz="4" w:space="0" w:color="auto"/>
            </w:tcBorders>
            <w:vAlign w:val="center"/>
          </w:tcPr>
          <w:p w14:paraId="1ED2EE92" w14:textId="04757071" w:rsidR="006504FE" w:rsidRDefault="006504FE" w:rsidP="00A317E0">
            <w:pPr>
              <w:pStyle w:val="BodyText3"/>
              <w:spacing w:line="276" w:lineRule="auto"/>
              <w:ind w:left="-108" w:right="-108"/>
              <w:rPr>
                <w:rFonts w:ascii="Arial" w:hAnsi="Arial" w:cs="Arial"/>
                <w:sz w:val="16"/>
                <w:szCs w:val="16"/>
              </w:rPr>
            </w:pPr>
            <w:r>
              <w:rPr>
                <w:rFonts w:ascii="Arial" w:hAnsi="Arial" w:cs="Arial"/>
                <w:sz w:val="16"/>
                <w:szCs w:val="16"/>
              </w:rPr>
              <w:t>Feb 28</w:t>
            </w:r>
          </w:p>
        </w:tc>
      </w:tr>
      <w:tr w:rsidR="00084E78" w:rsidRPr="008266A3" w14:paraId="571915C6" w14:textId="77777777" w:rsidTr="002C685F">
        <w:trPr>
          <w:gridAfter w:val="1"/>
          <w:wAfter w:w="6" w:type="dxa"/>
          <w:trHeight w:val="96"/>
        </w:trPr>
        <w:tc>
          <w:tcPr>
            <w:tcW w:w="3335" w:type="dxa"/>
            <w:tcBorders>
              <w:top w:val="single" w:sz="8" w:space="0" w:color="auto"/>
              <w:left w:val="single" w:sz="8" w:space="0" w:color="auto"/>
              <w:bottom w:val="nil"/>
              <w:right w:val="single" w:sz="8" w:space="0" w:color="auto"/>
            </w:tcBorders>
            <w:vAlign w:val="bottom"/>
          </w:tcPr>
          <w:p w14:paraId="38AF0170" w14:textId="77777777" w:rsidR="00084E78" w:rsidRPr="008266A3" w:rsidRDefault="00084E78" w:rsidP="00084E78">
            <w:pPr>
              <w:pStyle w:val="BodyText3"/>
              <w:spacing w:line="276" w:lineRule="auto"/>
              <w:ind w:right="-109"/>
              <w:jc w:val="left"/>
              <w:rPr>
                <w:rFonts w:ascii="Arial" w:hAnsi="Arial" w:cs="Arial"/>
                <w:b w:val="0"/>
                <w:sz w:val="16"/>
                <w:szCs w:val="16"/>
              </w:rPr>
            </w:pPr>
            <w:r w:rsidRPr="008266A3">
              <w:rPr>
                <w:rFonts w:ascii="Arial" w:hAnsi="Arial" w:cs="Arial"/>
                <w:b w:val="0"/>
                <w:sz w:val="16"/>
                <w:szCs w:val="16"/>
              </w:rPr>
              <w:t>Revenue</w:t>
            </w:r>
          </w:p>
        </w:tc>
        <w:tc>
          <w:tcPr>
            <w:tcW w:w="720" w:type="dxa"/>
            <w:tcBorders>
              <w:top w:val="single" w:sz="8" w:space="0" w:color="auto"/>
              <w:left w:val="single" w:sz="8" w:space="0" w:color="auto"/>
              <w:bottom w:val="nil"/>
              <w:right w:val="single" w:sz="8" w:space="0" w:color="auto"/>
            </w:tcBorders>
            <w:vAlign w:val="bottom"/>
          </w:tcPr>
          <w:p w14:paraId="2135F055" w14:textId="50D61340" w:rsidR="00084E78" w:rsidRPr="008266A3" w:rsidRDefault="00084E78" w:rsidP="00084E78">
            <w:pPr>
              <w:tabs>
                <w:tab w:val="decimal" w:pos="522"/>
              </w:tabs>
              <w:spacing w:line="276" w:lineRule="auto"/>
              <w:ind w:left="-117" w:right="-198"/>
              <w:rPr>
                <w:rFonts w:ascii="Arial" w:hAnsi="Arial" w:cs="Arial"/>
                <w:sz w:val="16"/>
                <w:szCs w:val="16"/>
              </w:rPr>
            </w:pPr>
            <w:r w:rsidRPr="008266A3">
              <w:rPr>
                <w:rFonts w:ascii="Arial" w:hAnsi="Arial" w:cs="Arial"/>
                <w:sz w:val="16"/>
                <w:szCs w:val="16"/>
              </w:rPr>
              <w:t>$        -</w:t>
            </w:r>
          </w:p>
        </w:tc>
        <w:tc>
          <w:tcPr>
            <w:tcW w:w="720" w:type="dxa"/>
            <w:tcBorders>
              <w:top w:val="single" w:sz="8" w:space="0" w:color="auto"/>
              <w:left w:val="single" w:sz="8" w:space="0" w:color="auto"/>
              <w:bottom w:val="nil"/>
              <w:right w:val="single" w:sz="8" w:space="0" w:color="auto"/>
            </w:tcBorders>
            <w:vAlign w:val="bottom"/>
          </w:tcPr>
          <w:p w14:paraId="39F3D5F6" w14:textId="2ADAA698" w:rsidR="00084E78" w:rsidRPr="008266A3" w:rsidRDefault="00084E78" w:rsidP="00084E78">
            <w:pPr>
              <w:tabs>
                <w:tab w:val="decimal" w:pos="522"/>
              </w:tabs>
              <w:spacing w:line="276" w:lineRule="auto"/>
              <w:ind w:left="-117" w:right="-198"/>
              <w:rPr>
                <w:rFonts w:ascii="Arial" w:hAnsi="Arial" w:cs="Arial"/>
                <w:sz w:val="16"/>
                <w:szCs w:val="16"/>
              </w:rPr>
            </w:pPr>
            <w:r w:rsidRPr="008266A3">
              <w:rPr>
                <w:rFonts w:ascii="Arial" w:hAnsi="Arial" w:cs="Arial"/>
                <w:sz w:val="16"/>
                <w:szCs w:val="16"/>
              </w:rPr>
              <w:t>$        -</w:t>
            </w:r>
          </w:p>
        </w:tc>
        <w:tc>
          <w:tcPr>
            <w:tcW w:w="815" w:type="dxa"/>
            <w:tcBorders>
              <w:top w:val="single" w:sz="8" w:space="0" w:color="auto"/>
              <w:left w:val="single" w:sz="8" w:space="0" w:color="auto"/>
              <w:bottom w:val="nil"/>
              <w:right w:val="single" w:sz="8" w:space="0" w:color="auto"/>
            </w:tcBorders>
            <w:vAlign w:val="bottom"/>
          </w:tcPr>
          <w:p w14:paraId="588A43D0" w14:textId="6959ED5C" w:rsidR="00084E78" w:rsidRPr="008266A3" w:rsidRDefault="00084E78" w:rsidP="00084E78">
            <w:pPr>
              <w:tabs>
                <w:tab w:val="decimal" w:pos="522"/>
              </w:tabs>
              <w:spacing w:line="276" w:lineRule="auto"/>
              <w:ind w:left="-117" w:right="-198"/>
              <w:rPr>
                <w:rFonts w:ascii="Arial" w:hAnsi="Arial" w:cs="Arial"/>
                <w:sz w:val="16"/>
                <w:szCs w:val="16"/>
              </w:rPr>
            </w:pPr>
            <w:r w:rsidRPr="008266A3">
              <w:rPr>
                <w:rFonts w:ascii="Arial" w:hAnsi="Arial" w:cs="Arial"/>
                <w:sz w:val="16"/>
                <w:szCs w:val="16"/>
              </w:rPr>
              <w:t>$        -</w:t>
            </w:r>
          </w:p>
        </w:tc>
        <w:tc>
          <w:tcPr>
            <w:tcW w:w="763" w:type="dxa"/>
            <w:tcBorders>
              <w:top w:val="single" w:sz="8" w:space="0" w:color="auto"/>
              <w:left w:val="single" w:sz="8" w:space="0" w:color="auto"/>
              <w:bottom w:val="nil"/>
              <w:right w:val="single" w:sz="8" w:space="0" w:color="auto"/>
            </w:tcBorders>
            <w:vAlign w:val="bottom"/>
          </w:tcPr>
          <w:p w14:paraId="658210C0" w14:textId="4DCD5031" w:rsidR="00084E78" w:rsidRPr="008266A3" w:rsidRDefault="00084E78" w:rsidP="00084E78">
            <w:pPr>
              <w:tabs>
                <w:tab w:val="decimal" w:pos="522"/>
              </w:tabs>
              <w:spacing w:line="276" w:lineRule="auto"/>
              <w:ind w:left="-117" w:right="-198"/>
              <w:rPr>
                <w:rFonts w:ascii="Arial" w:hAnsi="Arial" w:cs="Arial"/>
                <w:sz w:val="16"/>
                <w:szCs w:val="16"/>
              </w:rPr>
            </w:pPr>
            <w:r w:rsidRPr="008266A3">
              <w:rPr>
                <w:rFonts w:ascii="Arial" w:hAnsi="Arial" w:cs="Arial"/>
                <w:sz w:val="16"/>
                <w:szCs w:val="16"/>
              </w:rPr>
              <w:t>$        -</w:t>
            </w:r>
          </w:p>
        </w:tc>
        <w:tc>
          <w:tcPr>
            <w:tcW w:w="763" w:type="dxa"/>
            <w:tcBorders>
              <w:top w:val="single" w:sz="8" w:space="0" w:color="auto"/>
              <w:left w:val="single" w:sz="8" w:space="0" w:color="auto"/>
              <w:bottom w:val="nil"/>
              <w:right w:val="single" w:sz="8" w:space="0" w:color="auto"/>
            </w:tcBorders>
            <w:vAlign w:val="bottom"/>
          </w:tcPr>
          <w:p w14:paraId="7F1F9543" w14:textId="29ACCEB0" w:rsidR="00084E78" w:rsidRPr="008266A3" w:rsidRDefault="00084E78" w:rsidP="00084E78">
            <w:pPr>
              <w:tabs>
                <w:tab w:val="decimal" w:pos="522"/>
              </w:tabs>
              <w:spacing w:line="276" w:lineRule="auto"/>
              <w:ind w:left="-117" w:right="-198"/>
              <w:rPr>
                <w:rFonts w:ascii="Arial" w:hAnsi="Arial" w:cs="Arial"/>
                <w:sz w:val="16"/>
                <w:szCs w:val="16"/>
              </w:rPr>
            </w:pPr>
            <w:r w:rsidRPr="008266A3">
              <w:rPr>
                <w:rFonts w:ascii="Arial" w:hAnsi="Arial" w:cs="Arial"/>
                <w:sz w:val="16"/>
                <w:szCs w:val="16"/>
              </w:rPr>
              <w:t>$        -</w:t>
            </w:r>
          </w:p>
        </w:tc>
        <w:tc>
          <w:tcPr>
            <w:tcW w:w="755" w:type="dxa"/>
            <w:gridSpan w:val="2"/>
            <w:tcBorders>
              <w:top w:val="single" w:sz="8" w:space="0" w:color="auto"/>
              <w:left w:val="single" w:sz="8" w:space="0" w:color="auto"/>
              <w:bottom w:val="nil"/>
              <w:right w:val="single" w:sz="8" w:space="0" w:color="auto"/>
            </w:tcBorders>
            <w:vAlign w:val="bottom"/>
          </w:tcPr>
          <w:p w14:paraId="5BA2F5DF" w14:textId="661C1639" w:rsidR="00084E78" w:rsidRPr="008266A3" w:rsidRDefault="00084E78" w:rsidP="00084E78">
            <w:pPr>
              <w:tabs>
                <w:tab w:val="decimal" w:pos="522"/>
              </w:tabs>
              <w:spacing w:line="276" w:lineRule="auto"/>
              <w:ind w:left="-117" w:right="-198"/>
              <w:rPr>
                <w:rFonts w:ascii="Arial" w:hAnsi="Arial" w:cs="Arial"/>
                <w:sz w:val="16"/>
                <w:szCs w:val="16"/>
              </w:rPr>
            </w:pPr>
            <w:r w:rsidRPr="008266A3">
              <w:rPr>
                <w:rFonts w:ascii="Arial" w:hAnsi="Arial" w:cs="Arial"/>
                <w:sz w:val="16"/>
                <w:szCs w:val="16"/>
              </w:rPr>
              <w:t>$        -</w:t>
            </w:r>
          </w:p>
        </w:tc>
        <w:tc>
          <w:tcPr>
            <w:tcW w:w="755" w:type="dxa"/>
            <w:tcBorders>
              <w:top w:val="single" w:sz="8" w:space="0" w:color="auto"/>
              <w:left w:val="single" w:sz="8" w:space="0" w:color="auto"/>
              <w:bottom w:val="nil"/>
              <w:right w:val="single" w:sz="8" w:space="0" w:color="auto"/>
            </w:tcBorders>
            <w:vAlign w:val="bottom"/>
          </w:tcPr>
          <w:p w14:paraId="66655626" w14:textId="181E40A7" w:rsidR="00084E78" w:rsidRPr="008266A3" w:rsidRDefault="00084E78" w:rsidP="00084E78">
            <w:pPr>
              <w:tabs>
                <w:tab w:val="decimal" w:pos="522"/>
              </w:tabs>
              <w:spacing w:line="276" w:lineRule="auto"/>
              <w:ind w:left="-117" w:right="-198"/>
              <w:rPr>
                <w:rFonts w:ascii="Arial" w:hAnsi="Arial" w:cs="Arial"/>
                <w:sz w:val="16"/>
                <w:szCs w:val="16"/>
              </w:rPr>
            </w:pPr>
            <w:r w:rsidRPr="008266A3">
              <w:rPr>
                <w:rFonts w:ascii="Arial" w:hAnsi="Arial" w:cs="Arial"/>
                <w:sz w:val="16"/>
                <w:szCs w:val="16"/>
              </w:rPr>
              <w:t>$        -</w:t>
            </w:r>
          </w:p>
        </w:tc>
        <w:tc>
          <w:tcPr>
            <w:tcW w:w="739" w:type="dxa"/>
            <w:tcBorders>
              <w:top w:val="single" w:sz="8" w:space="0" w:color="auto"/>
              <w:left w:val="single" w:sz="8" w:space="0" w:color="auto"/>
              <w:bottom w:val="nil"/>
              <w:right w:val="single" w:sz="4" w:space="0" w:color="auto"/>
            </w:tcBorders>
            <w:vAlign w:val="bottom"/>
          </w:tcPr>
          <w:p w14:paraId="62A808F8" w14:textId="2BCCAF14" w:rsidR="00084E78" w:rsidRPr="008266A3" w:rsidRDefault="00084E78" w:rsidP="00084E78">
            <w:pPr>
              <w:tabs>
                <w:tab w:val="decimal" w:pos="522"/>
              </w:tabs>
              <w:spacing w:line="276" w:lineRule="auto"/>
              <w:ind w:left="-117" w:right="-198"/>
              <w:rPr>
                <w:rFonts w:ascii="Arial" w:hAnsi="Arial" w:cs="Arial"/>
                <w:sz w:val="16"/>
                <w:szCs w:val="16"/>
              </w:rPr>
            </w:pPr>
            <w:r w:rsidRPr="008266A3">
              <w:rPr>
                <w:rFonts w:ascii="Arial" w:hAnsi="Arial" w:cs="Arial"/>
                <w:sz w:val="16"/>
                <w:szCs w:val="16"/>
              </w:rPr>
              <w:t>$        -</w:t>
            </w:r>
          </w:p>
        </w:tc>
      </w:tr>
      <w:tr w:rsidR="00084E78" w:rsidRPr="008266A3" w14:paraId="12A4D1F3" w14:textId="77777777" w:rsidTr="002C685F">
        <w:trPr>
          <w:gridAfter w:val="1"/>
          <w:wAfter w:w="6" w:type="dxa"/>
          <w:trHeight w:val="153"/>
        </w:trPr>
        <w:tc>
          <w:tcPr>
            <w:tcW w:w="3335" w:type="dxa"/>
            <w:tcBorders>
              <w:top w:val="nil"/>
              <w:left w:val="single" w:sz="8" w:space="0" w:color="auto"/>
              <w:bottom w:val="single" w:sz="4" w:space="0" w:color="auto"/>
              <w:right w:val="single" w:sz="8" w:space="0" w:color="auto"/>
            </w:tcBorders>
            <w:vAlign w:val="bottom"/>
          </w:tcPr>
          <w:p w14:paraId="78654377" w14:textId="691BBAEF" w:rsidR="00084E78" w:rsidRPr="008266A3" w:rsidRDefault="00084E78" w:rsidP="00084E78">
            <w:pPr>
              <w:pStyle w:val="Header"/>
              <w:ind w:right="-109"/>
              <w:rPr>
                <w:rFonts w:cs="Arial"/>
                <w:sz w:val="16"/>
                <w:szCs w:val="16"/>
              </w:rPr>
            </w:pPr>
            <w:r w:rsidRPr="008266A3">
              <w:rPr>
                <w:rFonts w:cs="Arial"/>
                <w:sz w:val="16"/>
                <w:szCs w:val="16"/>
              </w:rPr>
              <w:t>Operating expense</w:t>
            </w:r>
          </w:p>
        </w:tc>
        <w:tc>
          <w:tcPr>
            <w:tcW w:w="720" w:type="dxa"/>
            <w:tcBorders>
              <w:top w:val="nil"/>
              <w:left w:val="single" w:sz="8" w:space="0" w:color="auto"/>
              <w:bottom w:val="single" w:sz="4" w:space="0" w:color="auto"/>
              <w:right w:val="single" w:sz="8" w:space="0" w:color="auto"/>
            </w:tcBorders>
            <w:vAlign w:val="bottom"/>
          </w:tcPr>
          <w:p w14:paraId="3299D038" w14:textId="24439136" w:rsidR="00084E78" w:rsidRDefault="00084E78" w:rsidP="00084E78">
            <w:pPr>
              <w:tabs>
                <w:tab w:val="decimal" w:pos="522"/>
              </w:tabs>
              <w:ind w:left="-117" w:right="-198"/>
              <w:rPr>
                <w:rFonts w:ascii="Arial" w:hAnsi="Arial" w:cs="Arial"/>
                <w:sz w:val="16"/>
                <w:szCs w:val="16"/>
              </w:rPr>
            </w:pPr>
            <w:r>
              <w:rPr>
                <w:rFonts w:ascii="Arial" w:hAnsi="Arial" w:cs="Arial"/>
                <w:sz w:val="16"/>
                <w:szCs w:val="16"/>
              </w:rPr>
              <w:t>56</w:t>
            </w:r>
          </w:p>
        </w:tc>
        <w:tc>
          <w:tcPr>
            <w:tcW w:w="720" w:type="dxa"/>
            <w:tcBorders>
              <w:top w:val="nil"/>
              <w:left w:val="single" w:sz="8" w:space="0" w:color="auto"/>
              <w:bottom w:val="single" w:sz="4" w:space="0" w:color="auto"/>
              <w:right w:val="single" w:sz="8" w:space="0" w:color="auto"/>
            </w:tcBorders>
            <w:vAlign w:val="bottom"/>
          </w:tcPr>
          <w:p w14:paraId="547085F6" w14:textId="146CF258" w:rsidR="00084E78" w:rsidRDefault="00084E78" w:rsidP="00084E78">
            <w:pPr>
              <w:tabs>
                <w:tab w:val="decimal" w:pos="522"/>
              </w:tabs>
              <w:ind w:left="-117" w:right="-198"/>
              <w:rPr>
                <w:rFonts w:ascii="Arial" w:hAnsi="Arial" w:cs="Arial"/>
                <w:sz w:val="16"/>
                <w:szCs w:val="16"/>
              </w:rPr>
            </w:pPr>
            <w:r>
              <w:rPr>
                <w:rFonts w:ascii="Arial" w:hAnsi="Arial" w:cs="Arial"/>
                <w:sz w:val="16"/>
                <w:szCs w:val="16"/>
              </w:rPr>
              <w:t>68</w:t>
            </w:r>
          </w:p>
        </w:tc>
        <w:tc>
          <w:tcPr>
            <w:tcW w:w="815" w:type="dxa"/>
            <w:tcBorders>
              <w:top w:val="nil"/>
              <w:left w:val="single" w:sz="8" w:space="0" w:color="auto"/>
              <w:bottom w:val="single" w:sz="4" w:space="0" w:color="auto"/>
              <w:right w:val="single" w:sz="8" w:space="0" w:color="auto"/>
            </w:tcBorders>
            <w:vAlign w:val="bottom"/>
          </w:tcPr>
          <w:p w14:paraId="3055474A" w14:textId="1D7CB676" w:rsidR="00084E78" w:rsidRDefault="00084E78" w:rsidP="00084E78">
            <w:pPr>
              <w:tabs>
                <w:tab w:val="decimal" w:pos="522"/>
              </w:tabs>
              <w:ind w:left="-117" w:right="-198"/>
              <w:rPr>
                <w:rFonts w:ascii="Arial" w:hAnsi="Arial" w:cs="Arial"/>
                <w:sz w:val="16"/>
                <w:szCs w:val="16"/>
              </w:rPr>
            </w:pPr>
            <w:r>
              <w:rPr>
                <w:rFonts w:ascii="Arial" w:hAnsi="Arial" w:cs="Arial"/>
                <w:sz w:val="16"/>
                <w:szCs w:val="16"/>
              </w:rPr>
              <w:t>65</w:t>
            </w:r>
          </w:p>
        </w:tc>
        <w:tc>
          <w:tcPr>
            <w:tcW w:w="763" w:type="dxa"/>
            <w:tcBorders>
              <w:top w:val="nil"/>
              <w:left w:val="single" w:sz="8" w:space="0" w:color="auto"/>
              <w:bottom w:val="single" w:sz="4" w:space="0" w:color="auto"/>
              <w:right w:val="single" w:sz="8" w:space="0" w:color="auto"/>
            </w:tcBorders>
            <w:vAlign w:val="bottom"/>
          </w:tcPr>
          <w:p w14:paraId="2E6730F6" w14:textId="3DF9B9AF" w:rsidR="00084E78" w:rsidRDefault="00084E78" w:rsidP="00084E78">
            <w:pPr>
              <w:tabs>
                <w:tab w:val="decimal" w:pos="522"/>
              </w:tabs>
              <w:ind w:left="-117" w:right="-198"/>
              <w:rPr>
                <w:rFonts w:ascii="Arial" w:hAnsi="Arial" w:cs="Arial"/>
                <w:sz w:val="16"/>
                <w:szCs w:val="16"/>
              </w:rPr>
            </w:pPr>
            <w:r>
              <w:rPr>
                <w:rFonts w:ascii="Arial" w:hAnsi="Arial" w:cs="Arial"/>
                <w:sz w:val="16"/>
                <w:szCs w:val="16"/>
              </w:rPr>
              <w:t>72</w:t>
            </w:r>
          </w:p>
        </w:tc>
        <w:tc>
          <w:tcPr>
            <w:tcW w:w="763" w:type="dxa"/>
            <w:tcBorders>
              <w:top w:val="nil"/>
              <w:left w:val="single" w:sz="8" w:space="0" w:color="auto"/>
              <w:bottom w:val="single" w:sz="4" w:space="0" w:color="auto"/>
              <w:right w:val="single" w:sz="8" w:space="0" w:color="auto"/>
            </w:tcBorders>
            <w:vAlign w:val="bottom"/>
          </w:tcPr>
          <w:p w14:paraId="1A82043F" w14:textId="6DF0151F" w:rsidR="00084E78" w:rsidRDefault="00084E78" w:rsidP="00084E78">
            <w:pPr>
              <w:tabs>
                <w:tab w:val="decimal" w:pos="522"/>
              </w:tabs>
              <w:ind w:left="-117" w:right="-198"/>
              <w:rPr>
                <w:rFonts w:ascii="Arial" w:hAnsi="Arial" w:cs="Arial"/>
                <w:sz w:val="16"/>
                <w:szCs w:val="16"/>
              </w:rPr>
            </w:pPr>
            <w:r>
              <w:rPr>
                <w:rFonts w:ascii="Arial" w:hAnsi="Arial" w:cs="Arial"/>
                <w:sz w:val="16"/>
                <w:szCs w:val="16"/>
              </w:rPr>
              <w:t>70</w:t>
            </w:r>
          </w:p>
        </w:tc>
        <w:tc>
          <w:tcPr>
            <w:tcW w:w="755" w:type="dxa"/>
            <w:gridSpan w:val="2"/>
            <w:tcBorders>
              <w:top w:val="nil"/>
              <w:left w:val="single" w:sz="8" w:space="0" w:color="auto"/>
              <w:bottom w:val="single" w:sz="4" w:space="0" w:color="auto"/>
              <w:right w:val="single" w:sz="8" w:space="0" w:color="auto"/>
            </w:tcBorders>
            <w:vAlign w:val="bottom"/>
          </w:tcPr>
          <w:p w14:paraId="585775DF" w14:textId="0411486E" w:rsidR="00084E78" w:rsidRDefault="00084E78" w:rsidP="00084E78">
            <w:pPr>
              <w:tabs>
                <w:tab w:val="decimal" w:pos="522"/>
              </w:tabs>
              <w:ind w:left="-117" w:right="-198"/>
              <w:rPr>
                <w:rFonts w:ascii="Arial" w:hAnsi="Arial" w:cs="Arial"/>
                <w:sz w:val="16"/>
                <w:szCs w:val="16"/>
              </w:rPr>
            </w:pPr>
            <w:r>
              <w:rPr>
                <w:rFonts w:ascii="Arial" w:hAnsi="Arial" w:cs="Arial"/>
                <w:sz w:val="16"/>
                <w:szCs w:val="16"/>
              </w:rPr>
              <w:t>140</w:t>
            </w:r>
          </w:p>
        </w:tc>
        <w:tc>
          <w:tcPr>
            <w:tcW w:w="755" w:type="dxa"/>
            <w:tcBorders>
              <w:top w:val="nil"/>
              <w:left w:val="single" w:sz="8" w:space="0" w:color="auto"/>
              <w:bottom w:val="single" w:sz="4" w:space="0" w:color="auto"/>
              <w:right w:val="single" w:sz="8" w:space="0" w:color="auto"/>
            </w:tcBorders>
            <w:vAlign w:val="bottom"/>
          </w:tcPr>
          <w:p w14:paraId="0A69EEA1" w14:textId="204A2AC4" w:rsidR="00084E78" w:rsidRDefault="00084E78" w:rsidP="00084E78">
            <w:pPr>
              <w:tabs>
                <w:tab w:val="decimal" w:pos="522"/>
              </w:tabs>
              <w:ind w:left="-117" w:right="-198"/>
              <w:rPr>
                <w:rFonts w:ascii="Arial" w:hAnsi="Arial" w:cs="Arial"/>
                <w:sz w:val="16"/>
                <w:szCs w:val="16"/>
              </w:rPr>
            </w:pPr>
            <w:r>
              <w:rPr>
                <w:rFonts w:ascii="Arial" w:hAnsi="Arial" w:cs="Arial"/>
                <w:sz w:val="16"/>
                <w:szCs w:val="16"/>
              </w:rPr>
              <w:t>61</w:t>
            </w:r>
          </w:p>
        </w:tc>
        <w:tc>
          <w:tcPr>
            <w:tcW w:w="739" w:type="dxa"/>
            <w:tcBorders>
              <w:top w:val="nil"/>
              <w:left w:val="single" w:sz="8" w:space="0" w:color="auto"/>
              <w:bottom w:val="single" w:sz="4" w:space="0" w:color="auto"/>
              <w:right w:val="single" w:sz="4" w:space="0" w:color="auto"/>
            </w:tcBorders>
            <w:vAlign w:val="bottom"/>
          </w:tcPr>
          <w:p w14:paraId="020E45A2" w14:textId="2A86A4B8" w:rsidR="00084E78" w:rsidRDefault="00084E78" w:rsidP="00084E78">
            <w:pPr>
              <w:tabs>
                <w:tab w:val="decimal" w:pos="522"/>
              </w:tabs>
              <w:ind w:left="-117" w:right="-198"/>
              <w:rPr>
                <w:rFonts w:ascii="Arial" w:hAnsi="Arial" w:cs="Arial"/>
                <w:sz w:val="16"/>
                <w:szCs w:val="16"/>
              </w:rPr>
            </w:pPr>
            <w:r>
              <w:rPr>
                <w:rFonts w:ascii="Arial" w:hAnsi="Arial" w:cs="Arial"/>
                <w:sz w:val="16"/>
                <w:szCs w:val="16"/>
              </w:rPr>
              <w:t>150</w:t>
            </w:r>
          </w:p>
        </w:tc>
      </w:tr>
      <w:tr w:rsidR="00084E78" w:rsidRPr="003549BF" w14:paraId="624215B3" w14:textId="77777777" w:rsidTr="002C685F">
        <w:trPr>
          <w:gridAfter w:val="1"/>
          <w:wAfter w:w="6" w:type="dxa"/>
          <w:trHeight w:val="153"/>
        </w:trPr>
        <w:tc>
          <w:tcPr>
            <w:tcW w:w="3335" w:type="dxa"/>
            <w:tcBorders>
              <w:top w:val="single" w:sz="4" w:space="0" w:color="auto"/>
              <w:left w:val="single" w:sz="8" w:space="0" w:color="auto"/>
              <w:bottom w:val="nil"/>
              <w:right w:val="single" w:sz="8" w:space="0" w:color="auto"/>
            </w:tcBorders>
            <w:vAlign w:val="bottom"/>
          </w:tcPr>
          <w:p w14:paraId="3B27DDDF" w14:textId="68354C2A" w:rsidR="00084E78" w:rsidRPr="003549BF" w:rsidRDefault="00084E78" w:rsidP="00084E78">
            <w:pPr>
              <w:pStyle w:val="Header"/>
              <w:ind w:right="-109"/>
              <w:rPr>
                <w:rFonts w:cs="Arial"/>
                <w:b/>
                <w:bCs/>
                <w:sz w:val="16"/>
                <w:szCs w:val="16"/>
              </w:rPr>
            </w:pPr>
            <w:r w:rsidRPr="003549BF">
              <w:rPr>
                <w:rFonts w:cs="Arial"/>
                <w:b/>
                <w:bCs/>
                <w:sz w:val="16"/>
                <w:szCs w:val="16"/>
              </w:rPr>
              <w:t>Loss before the undernoted</w:t>
            </w:r>
          </w:p>
        </w:tc>
        <w:tc>
          <w:tcPr>
            <w:tcW w:w="720" w:type="dxa"/>
            <w:tcBorders>
              <w:top w:val="single" w:sz="4" w:space="0" w:color="auto"/>
              <w:left w:val="single" w:sz="8" w:space="0" w:color="auto"/>
              <w:bottom w:val="nil"/>
              <w:right w:val="single" w:sz="8" w:space="0" w:color="auto"/>
            </w:tcBorders>
            <w:vAlign w:val="bottom"/>
          </w:tcPr>
          <w:p w14:paraId="5E0D076B" w14:textId="7ED587A8" w:rsidR="00084E78" w:rsidRDefault="00084E78" w:rsidP="00084E78">
            <w:pPr>
              <w:tabs>
                <w:tab w:val="decimal" w:pos="522"/>
              </w:tabs>
              <w:ind w:right="-198"/>
              <w:rPr>
                <w:rFonts w:ascii="Arial" w:hAnsi="Arial" w:cs="Arial"/>
                <w:b/>
                <w:bCs/>
                <w:sz w:val="16"/>
                <w:szCs w:val="16"/>
              </w:rPr>
            </w:pPr>
            <w:r>
              <w:rPr>
                <w:rFonts w:ascii="Arial" w:hAnsi="Arial" w:cs="Arial"/>
                <w:b/>
                <w:bCs/>
                <w:sz w:val="16"/>
                <w:szCs w:val="16"/>
              </w:rPr>
              <w:t>56</w:t>
            </w:r>
          </w:p>
        </w:tc>
        <w:tc>
          <w:tcPr>
            <w:tcW w:w="720" w:type="dxa"/>
            <w:tcBorders>
              <w:top w:val="single" w:sz="4" w:space="0" w:color="auto"/>
              <w:left w:val="single" w:sz="8" w:space="0" w:color="auto"/>
              <w:bottom w:val="nil"/>
              <w:right w:val="single" w:sz="8" w:space="0" w:color="auto"/>
            </w:tcBorders>
            <w:vAlign w:val="bottom"/>
          </w:tcPr>
          <w:p w14:paraId="3BEF974B" w14:textId="22ACE655" w:rsidR="00084E78" w:rsidRDefault="00084E78" w:rsidP="00084E78">
            <w:pPr>
              <w:tabs>
                <w:tab w:val="decimal" w:pos="522"/>
              </w:tabs>
              <w:ind w:left="-117" w:right="-198"/>
              <w:rPr>
                <w:rFonts w:ascii="Arial" w:hAnsi="Arial" w:cs="Arial"/>
                <w:b/>
                <w:bCs/>
                <w:sz w:val="16"/>
                <w:szCs w:val="16"/>
              </w:rPr>
            </w:pPr>
            <w:r>
              <w:rPr>
                <w:rFonts w:ascii="Arial" w:hAnsi="Arial" w:cs="Arial"/>
                <w:b/>
                <w:bCs/>
                <w:sz w:val="16"/>
                <w:szCs w:val="16"/>
              </w:rPr>
              <w:t>68</w:t>
            </w:r>
          </w:p>
        </w:tc>
        <w:tc>
          <w:tcPr>
            <w:tcW w:w="815" w:type="dxa"/>
            <w:tcBorders>
              <w:top w:val="single" w:sz="4" w:space="0" w:color="auto"/>
              <w:left w:val="single" w:sz="8" w:space="0" w:color="auto"/>
              <w:bottom w:val="nil"/>
              <w:right w:val="single" w:sz="8" w:space="0" w:color="auto"/>
            </w:tcBorders>
            <w:vAlign w:val="bottom"/>
          </w:tcPr>
          <w:p w14:paraId="34EA74B4" w14:textId="4087FC87" w:rsidR="00084E78" w:rsidRDefault="00084E78" w:rsidP="00084E78">
            <w:pPr>
              <w:tabs>
                <w:tab w:val="decimal" w:pos="522"/>
              </w:tabs>
              <w:ind w:left="-117" w:right="-198"/>
              <w:rPr>
                <w:rFonts w:ascii="Arial" w:hAnsi="Arial" w:cs="Arial"/>
                <w:b/>
                <w:bCs/>
                <w:sz w:val="16"/>
                <w:szCs w:val="16"/>
              </w:rPr>
            </w:pPr>
            <w:r>
              <w:rPr>
                <w:rFonts w:ascii="Arial" w:hAnsi="Arial" w:cs="Arial"/>
                <w:b/>
                <w:bCs/>
                <w:sz w:val="16"/>
                <w:szCs w:val="16"/>
              </w:rPr>
              <w:t>65</w:t>
            </w:r>
          </w:p>
        </w:tc>
        <w:tc>
          <w:tcPr>
            <w:tcW w:w="763" w:type="dxa"/>
            <w:tcBorders>
              <w:top w:val="single" w:sz="4" w:space="0" w:color="auto"/>
              <w:left w:val="single" w:sz="8" w:space="0" w:color="auto"/>
              <w:bottom w:val="nil"/>
              <w:right w:val="single" w:sz="8" w:space="0" w:color="auto"/>
            </w:tcBorders>
            <w:vAlign w:val="bottom"/>
          </w:tcPr>
          <w:p w14:paraId="540D43F3" w14:textId="5E4FC2A1" w:rsidR="00084E78" w:rsidRDefault="00084E78" w:rsidP="00084E78">
            <w:pPr>
              <w:tabs>
                <w:tab w:val="decimal" w:pos="522"/>
              </w:tabs>
              <w:ind w:left="-117" w:right="-198"/>
              <w:rPr>
                <w:rFonts w:ascii="Arial" w:hAnsi="Arial" w:cs="Arial"/>
                <w:b/>
                <w:bCs/>
                <w:sz w:val="16"/>
                <w:szCs w:val="16"/>
              </w:rPr>
            </w:pPr>
            <w:r>
              <w:rPr>
                <w:rFonts w:ascii="Arial" w:hAnsi="Arial" w:cs="Arial"/>
                <w:b/>
                <w:bCs/>
                <w:sz w:val="16"/>
                <w:szCs w:val="16"/>
              </w:rPr>
              <w:t>72</w:t>
            </w:r>
          </w:p>
        </w:tc>
        <w:tc>
          <w:tcPr>
            <w:tcW w:w="763" w:type="dxa"/>
            <w:tcBorders>
              <w:top w:val="single" w:sz="4" w:space="0" w:color="auto"/>
              <w:left w:val="single" w:sz="8" w:space="0" w:color="auto"/>
              <w:bottom w:val="nil"/>
              <w:right w:val="single" w:sz="8" w:space="0" w:color="auto"/>
            </w:tcBorders>
            <w:vAlign w:val="bottom"/>
          </w:tcPr>
          <w:p w14:paraId="5507D22C" w14:textId="62C5A9BB" w:rsidR="00084E78" w:rsidRPr="003549BF" w:rsidRDefault="00084E78" w:rsidP="00084E78">
            <w:pPr>
              <w:tabs>
                <w:tab w:val="decimal" w:pos="522"/>
              </w:tabs>
              <w:ind w:left="-117" w:right="-198"/>
              <w:rPr>
                <w:rFonts w:ascii="Arial" w:hAnsi="Arial" w:cs="Arial"/>
                <w:b/>
                <w:bCs/>
                <w:sz w:val="16"/>
                <w:szCs w:val="16"/>
              </w:rPr>
            </w:pPr>
            <w:r>
              <w:rPr>
                <w:rFonts w:ascii="Arial" w:hAnsi="Arial" w:cs="Arial"/>
                <w:b/>
                <w:bCs/>
                <w:sz w:val="16"/>
                <w:szCs w:val="16"/>
              </w:rPr>
              <w:t>70</w:t>
            </w:r>
          </w:p>
        </w:tc>
        <w:tc>
          <w:tcPr>
            <w:tcW w:w="755" w:type="dxa"/>
            <w:gridSpan w:val="2"/>
            <w:tcBorders>
              <w:top w:val="single" w:sz="4" w:space="0" w:color="auto"/>
              <w:left w:val="single" w:sz="8" w:space="0" w:color="auto"/>
              <w:bottom w:val="nil"/>
              <w:right w:val="single" w:sz="8" w:space="0" w:color="auto"/>
            </w:tcBorders>
            <w:vAlign w:val="bottom"/>
          </w:tcPr>
          <w:p w14:paraId="037796C6" w14:textId="40224784" w:rsidR="00084E78" w:rsidRPr="003549BF" w:rsidRDefault="00084E78" w:rsidP="00084E78">
            <w:pPr>
              <w:tabs>
                <w:tab w:val="decimal" w:pos="522"/>
              </w:tabs>
              <w:ind w:left="-117" w:right="-198"/>
              <w:rPr>
                <w:rFonts w:ascii="Arial" w:hAnsi="Arial" w:cs="Arial"/>
                <w:b/>
                <w:bCs/>
                <w:sz w:val="16"/>
                <w:szCs w:val="16"/>
              </w:rPr>
            </w:pPr>
            <w:r w:rsidRPr="003549BF">
              <w:rPr>
                <w:rFonts w:ascii="Arial" w:hAnsi="Arial" w:cs="Arial"/>
                <w:b/>
                <w:bCs/>
                <w:sz w:val="16"/>
                <w:szCs w:val="16"/>
              </w:rPr>
              <w:t>1</w:t>
            </w:r>
            <w:r>
              <w:rPr>
                <w:rFonts w:ascii="Arial" w:hAnsi="Arial" w:cs="Arial"/>
                <w:b/>
                <w:bCs/>
                <w:sz w:val="16"/>
                <w:szCs w:val="16"/>
              </w:rPr>
              <w:t>40</w:t>
            </w:r>
          </w:p>
        </w:tc>
        <w:tc>
          <w:tcPr>
            <w:tcW w:w="755" w:type="dxa"/>
            <w:tcBorders>
              <w:top w:val="single" w:sz="4" w:space="0" w:color="auto"/>
              <w:left w:val="single" w:sz="8" w:space="0" w:color="auto"/>
              <w:bottom w:val="nil"/>
              <w:right w:val="single" w:sz="8" w:space="0" w:color="auto"/>
            </w:tcBorders>
            <w:vAlign w:val="bottom"/>
          </w:tcPr>
          <w:p w14:paraId="1DDFD1F2" w14:textId="2FB5AB36" w:rsidR="00084E78" w:rsidRPr="003549BF" w:rsidRDefault="00084E78" w:rsidP="00084E78">
            <w:pPr>
              <w:tabs>
                <w:tab w:val="decimal" w:pos="522"/>
              </w:tabs>
              <w:ind w:left="-117" w:right="-198"/>
              <w:rPr>
                <w:rFonts w:ascii="Arial" w:hAnsi="Arial" w:cs="Arial"/>
                <w:b/>
                <w:bCs/>
                <w:sz w:val="16"/>
                <w:szCs w:val="16"/>
              </w:rPr>
            </w:pPr>
            <w:r w:rsidRPr="003549BF">
              <w:rPr>
                <w:rFonts w:ascii="Arial" w:hAnsi="Arial" w:cs="Arial"/>
                <w:b/>
                <w:bCs/>
                <w:sz w:val="16"/>
                <w:szCs w:val="16"/>
              </w:rPr>
              <w:t>61</w:t>
            </w:r>
          </w:p>
        </w:tc>
        <w:tc>
          <w:tcPr>
            <w:tcW w:w="739" w:type="dxa"/>
            <w:tcBorders>
              <w:top w:val="single" w:sz="4" w:space="0" w:color="auto"/>
              <w:left w:val="single" w:sz="8" w:space="0" w:color="auto"/>
              <w:bottom w:val="nil"/>
              <w:right w:val="single" w:sz="4" w:space="0" w:color="auto"/>
            </w:tcBorders>
            <w:vAlign w:val="bottom"/>
          </w:tcPr>
          <w:p w14:paraId="2E85E43E" w14:textId="0D0B68E1" w:rsidR="00084E78" w:rsidRPr="003549BF" w:rsidRDefault="00084E78" w:rsidP="00084E78">
            <w:pPr>
              <w:tabs>
                <w:tab w:val="decimal" w:pos="522"/>
              </w:tabs>
              <w:ind w:left="-117" w:right="-198"/>
              <w:rPr>
                <w:rFonts w:ascii="Arial" w:hAnsi="Arial" w:cs="Arial"/>
                <w:b/>
                <w:bCs/>
                <w:sz w:val="16"/>
                <w:szCs w:val="16"/>
              </w:rPr>
            </w:pPr>
            <w:r w:rsidRPr="003549BF">
              <w:rPr>
                <w:rFonts w:ascii="Arial" w:hAnsi="Arial" w:cs="Arial"/>
                <w:b/>
                <w:bCs/>
                <w:sz w:val="16"/>
                <w:szCs w:val="16"/>
              </w:rPr>
              <w:t>150</w:t>
            </w:r>
          </w:p>
        </w:tc>
      </w:tr>
      <w:tr w:rsidR="00084E78" w:rsidRPr="008266A3" w14:paraId="3CBE4876" w14:textId="77777777" w:rsidTr="002C685F">
        <w:trPr>
          <w:gridAfter w:val="1"/>
          <w:wAfter w:w="6" w:type="dxa"/>
          <w:trHeight w:val="234"/>
        </w:trPr>
        <w:tc>
          <w:tcPr>
            <w:tcW w:w="3335" w:type="dxa"/>
            <w:tcBorders>
              <w:top w:val="nil"/>
              <w:left w:val="single" w:sz="8" w:space="0" w:color="auto"/>
              <w:bottom w:val="nil"/>
              <w:right w:val="single" w:sz="8" w:space="0" w:color="auto"/>
            </w:tcBorders>
            <w:vAlign w:val="bottom"/>
          </w:tcPr>
          <w:p w14:paraId="58171FA8" w14:textId="22721DC3" w:rsidR="00084E78" w:rsidRPr="008266A3" w:rsidRDefault="00084E78" w:rsidP="00084E78">
            <w:pPr>
              <w:pStyle w:val="Default"/>
              <w:spacing w:line="276" w:lineRule="auto"/>
              <w:ind w:right="-109"/>
              <w:rPr>
                <w:sz w:val="16"/>
                <w:szCs w:val="16"/>
              </w:rPr>
            </w:pPr>
            <w:r w:rsidRPr="008266A3">
              <w:rPr>
                <w:sz w:val="16"/>
                <w:szCs w:val="16"/>
              </w:rPr>
              <w:t>Interest expense, net</w:t>
            </w:r>
          </w:p>
        </w:tc>
        <w:tc>
          <w:tcPr>
            <w:tcW w:w="720" w:type="dxa"/>
            <w:tcBorders>
              <w:top w:val="nil"/>
              <w:left w:val="single" w:sz="8" w:space="0" w:color="auto"/>
              <w:bottom w:val="nil"/>
              <w:right w:val="single" w:sz="8" w:space="0" w:color="auto"/>
            </w:tcBorders>
            <w:vAlign w:val="bottom"/>
          </w:tcPr>
          <w:p w14:paraId="462C5FB7" w14:textId="4AB9193D" w:rsidR="00084E78" w:rsidRDefault="00CA7368" w:rsidP="00084E78">
            <w:pPr>
              <w:tabs>
                <w:tab w:val="decimal" w:pos="522"/>
              </w:tabs>
              <w:spacing w:line="276" w:lineRule="auto"/>
              <w:ind w:right="-198"/>
              <w:rPr>
                <w:rFonts w:ascii="Arial" w:hAnsi="Arial" w:cs="Arial"/>
                <w:sz w:val="16"/>
                <w:szCs w:val="16"/>
              </w:rPr>
            </w:pPr>
            <w:r>
              <w:rPr>
                <w:rFonts w:ascii="Arial" w:hAnsi="Arial" w:cs="Arial"/>
                <w:sz w:val="16"/>
                <w:szCs w:val="16"/>
              </w:rPr>
              <w:t>8</w:t>
            </w:r>
          </w:p>
        </w:tc>
        <w:tc>
          <w:tcPr>
            <w:tcW w:w="720" w:type="dxa"/>
            <w:tcBorders>
              <w:top w:val="nil"/>
              <w:left w:val="single" w:sz="8" w:space="0" w:color="auto"/>
              <w:bottom w:val="nil"/>
              <w:right w:val="single" w:sz="8" w:space="0" w:color="auto"/>
            </w:tcBorders>
            <w:vAlign w:val="bottom"/>
          </w:tcPr>
          <w:p w14:paraId="6588C5D8" w14:textId="4B3833E9"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9</w:t>
            </w:r>
          </w:p>
        </w:tc>
        <w:tc>
          <w:tcPr>
            <w:tcW w:w="815" w:type="dxa"/>
            <w:tcBorders>
              <w:top w:val="nil"/>
              <w:left w:val="single" w:sz="8" w:space="0" w:color="auto"/>
              <w:bottom w:val="nil"/>
              <w:right w:val="single" w:sz="8" w:space="0" w:color="auto"/>
            </w:tcBorders>
            <w:vAlign w:val="bottom"/>
          </w:tcPr>
          <w:p w14:paraId="5E2F481F" w14:textId="43A9D623"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13</w:t>
            </w:r>
          </w:p>
        </w:tc>
        <w:tc>
          <w:tcPr>
            <w:tcW w:w="763" w:type="dxa"/>
            <w:tcBorders>
              <w:top w:val="nil"/>
              <w:left w:val="single" w:sz="8" w:space="0" w:color="auto"/>
              <w:bottom w:val="nil"/>
              <w:right w:val="single" w:sz="8" w:space="0" w:color="auto"/>
            </w:tcBorders>
            <w:vAlign w:val="bottom"/>
          </w:tcPr>
          <w:p w14:paraId="58ABDD49" w14:textId="6B5CB241"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13</w:t>
            </w:r>
          </w:p>
        </w:tc>
        <w:tc>
          <w:tcPr>
            <w:tcW w:w="763" w:type="dxa"/>
            <w:tcBorders>
              <w:top w:val="nil"/>
              <w:left w:val="single" w:sz="8" w:space="0" w:color="auto"/>
              <w:bottom w:val="nil"/>
              <w:right w:val="single" w:sz="8" w:space="0" w:color="auto"/>
            </w:tcBorders>
            <w:vAlign w:val="bottom"/>
          </w:tcPr>
          <w:p w14:paraId="4E36B9E4" w14:textId="2B14D13D"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12</w:t>
            </w:r>
          </w:p>
        </w:tc>
        <w:tc>
          <w:tcPr>
            <w:tcW w:w="755" w:type="dxa"/>
            <w:gridSpan w:val="2"/>
            <w:tcBorders>
              <w:top w:val="nil"/>
              <w:left w:val="single" w:sz="8" w:space="0" w:color="auto"/>
              <w:bottom w:val="nil"/>
              <w:right w:val="single" w:sz="8" w:space="0" w:color="auto"/>
            </w:tcBorders>
            <w:vAlign w:val="bottom"/>
          </w:tcPr>
          <w:p w14:paraId="17C72338" w14:textId="6C9AFDEC"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10</w:t>
            </w:r>
          </w:p>
        </w:tc>
        <w:tc>
          <w:tcPr>
            <w:tcW w:w="755" w:type="dxa"/>
            <w:tcBorders>
              <w:top w:val="nil"/>
              <w:left w:val="single" w:sz="8" w:space="0" w:color="auto"/>
              <w:bottom w:val="nil"/>
              <w:right w:val="single" w:sz="8" w:space="0" w:color="auto"/>
            </w:tcBorders>
            <w:vAlign w:val="bottom"/>
          </w:tcPr>
          <w:p w14:paraId="5F1A86A4" w14:textId="72829CD2"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4</w:t>
            </w:r>
          </w:p>
        </w:tc>
        <w:tc>
          <w:tcPr>
            <w:tcW w:w="739" w:type="dxa"/>
            <w:tcBorders>
              <w:top w:val="nil"/>
              <w:left w:val="single" w:sz="8" w:space="0" w:color="auto"/>
              <w:bottom w:val="nil"/>
              <w:right w:val="single" w:sz="4" w:space="0" w:color="auto"/>
            </w:tcBorders>
            <w:vAlign w:val="bottom"/>
          </w:tcPr>
          <w:p w14:paraId="222F55B3" w14:textId="042D7628"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1</w:t>
            </w:r>
          </w:p>
        </w:tc>
      </w:tr>
      <w:tr w:rsidR="00084E78" w:rsidRPr="008266A3" w14:paraId="724F9458" w14:textId="77777777" w:rsidTr="002C685F">
        <w:trPr>
          <w:gridAfter w:val="1"/>
          <w:wAfter w:w="6" w:type="dxa"/>
          <w:trHeight w:val="234"/>
        </w:trPr>
        <w:tc>
          <w:tcPr>
            <w:tcW w:w="3335" w:type="dxa"/>
            <w:tcBorders>
              <w:top w:val="nil"/>
              <w:left w:val="single" w:sz="8" w:space="0" w:color="auto"/>
              <w:bottom w:val="nil"/>
              <w:right w:val="single" w:sz="8" w:space="0" w:color="auto"/>
            </w:tcBorders>
            <w:vAlign w:val="bottom"/>
          </w:tcPr>
          <w:p w14:paraId="57B6A274" w14:textId="7E2C876C" w:rsidR="00084E78" w:rsidRPr="008266A3" w:rsidRDefault="00084E78" w:rsidP="00084E78">
            <w:pPr>
              <w:pStyle w:val="Default"/>
              <w:spacing w:line="276" w:lineRule="auto"/>
              <w:ind w:right="-109"/>
              <w:rPr>
                <w:sz w:val="16"/>
                <w:szCs w:val="16"/>
              </w:rPr>
            </w:pPr>
            <w:r>
              <w:rPr>
                <w:sz w:val="16"/>
                <w:szCs w:val="16"/>
              </w:rPr>
              <w:t>Change in fair value of derivative liability</w:t>
            </w:r>
          </w:p>
        </w:tc>
        <w:tc>
          <w:tcPr>
            <w:tcW w:w="720" w:type="dxa"/>
            <w:tcBorders>
              <w:top w:val="nil"/>
              <w:left w:val="single" w:sz="8" w:space="0" w:color="auto"/>
              <w:bottom w:val="nil"/>
              <w:right w:val="single" w:sz="8" w:space="0" w:color="auto"/>
            </w:tcBorders>
            <w:vAlign w:val="bottom"/>
          </w:tcPr>
          <w:p w14:paraId="07FFF891" w14:textId="2E5CC620" w:rsidR="00084E78" w:rsidRDefault="00CA7368" w:rsidP="00084E78">
            <w:pPr>
              <w:tabs>
                <w:tab w:val="decimal" w:pos="522"/>
              </w:tabs>
              <w:spacing w:line="276" w:lineRule="auto"/>
              <w:ind w:right="-198"/>
              <w:rPr>
                <w:rFonts w:ascii="Arial" w:hAnsi="Arial" w:cs="Arial"/>
                <w:sz w:val="16"/>
                <w:szCs w:val="16"/>
                <w:lang w:val="en-CA"/>
              </w:rPr>
            </w:pPr>
            <w:r>
              <w:rPr>
                <w:rFonts w:ascii="Arial" w:hAnsi="Arial" w:cs="Arial"/>
                <w:sz w:val="16"/>
                <w:szCs w:val="16"/>
                <w:lang w:val="en-CA"/>
              </w:rPr>
              <w:t>4</w:t>
            </w:r>
          </w:p>
        </w:tc>
        <w:tc>
          <w:tcPr>
            <w:tcW w:w="720" w:type="dxa"/>
            <w:tcBorders>
              <w:top w:val="nil"/>
              <w:left w:val="single" w:sz="8" w:space="0" w:color="auto"/>
              <w:bottom w:val="nil"/>
              <w:right w:val="single" w:sz="8" w:space="0" w:color="auto"/>
            </w:tcBorders>
            <w:vAlign w:val="bottom"/>
          </w:tcPr>
          <w:p w14:paraId="3602FF58" w14:textId="51B42BC5" w:rsidR="00084E78" w:rsidRDefault="00084E78" w:rsidP="00084E78">
            <w:pPr>
              <w:tabs>
                <w:tab w:val="decimal" w:pos="522"/>
              </w:tabs>
              <w:spacing w:line="276" w:lineRule="auto"/>
              <w:ind w:right="-198"/>
              <w:rPr>
                <w:rFonts w:ascii="Arial" w:hAnsi="Arial" w:cs="Arial"/>
                <w:sz w:val="16"/>
                <w:szCs w:val="16"/>
                <w:lang w:val="en-CA"/>
              </w:rPr>
            </w:pPr>
            <w:r>
              <w:rPr>
                <w:rFonts w:ascii="Arial" w:hAnsi="Arial" w:cs="Arial"/>
                <w:sz w:val="16"/>
                <w:szCs w:val="16"/>
                <w:lang w:val="en-CA"/>
              </w:rPr>
              <w:t>(129)</w:t>
            </w:r>
          </w:p>
        </w:tc>
        <w:tc>
          <w:tcPr>
            <w:tcW w:w="815" w:type="dxa"/>
            <w:tcBorders>
              <w:top w:val="nil"/>
              <w:left w:val="single" w:sz="8" w:space="0" w:color="auto"/>
              <w:bottom w:val="nil"/>
              <w:right w:val="single" w:sz="8" w:space="0" w:color="auto"/>
            </w:tcBorders>
            <w:vAlign w:val="bottom"/>
          </w:tcPr>
          <w:p w14:paraId="1EA94A3E" w14:textId="59087F28" w:rsidR="00084E78" w:rsidRDefault="00084E78" w:rsidP="00084E78">
            <w:pPr>
              <w:tabs>
                <w:tab w:val="decimal" w:pos="522"/>
              </w:tabs>
              <w:spacing w:line="276" w:lineRule="auto"/>
              <w:ind w:right="-198"/>
              <w:rPr>
                <w:rFonts w:ascii="Arial" w:hAnsi="Arial" w:cs="Arial"/>
                <w:sz w:val="16"/>
                <w:szCs w:val="16"/>
                <w:lang w:val="en-CA"/>
              </w:rPr>
            </w:pPr>
            <w:r>
              <w:rPr>
                <w:rFonts w:ascii="Arial" w:hAnsi="Arial" w:cs="Arial"/>
                <w:sz w:val="16"/>
                <w:szCs w:val="16"/>
                <w:lang w:val="en-CA"/>
              </w:rPr>
              <w:t>(22)</w:t>
            </w:r>
          </w:p>
        </w:tc>
        <w:tc>
          <w:tcPr>
            <w:tcW w:w="763" w:type="dxa"/>
            <w:tcBorders>
              <w:top w:val="nil"/>
              <w:left w:val="single" w:sz="8" w:space="0" w:color="auto"/>
              <w:bottom w:val="nil"/>
              <w:right w:val="single" w:sz="8" w:space="0" w:color="auto"/>
            </w:tcBorders>
            <w:vAlign w:val="bottom"/>
          </w:tcPr>
          <w:p w14:paraId="5342352C" w14:textId="206004EA" w:rsidR="00084E78" w:rsidRDefault="00084E78" w:rsidP="00084E78">
            <w:pPr>
              <w:tabs>
                <w:tab w:val="decimal" w:pos="522"/>
              </w:tabs>
              <w:spacing w:line="276" w:lineRule="auto"/>
              <w:ind w:right="-198"/>
              <w:rPr>
                <w:rFonts w:ascii="Arial" w:hAnsi="Arial" w:cs="Arial"/>
                <w:sz w:val="16"/>
                <w:szCs w:val="16"/>
                <w:lang w:val="en-CA"/>
              </w:rPr>
            </w:pPr>
            <w:r>
              <w:rPr>
                <w:rFonts w:ascii="Arial" w:hAnsi="Arial" w:cs="Arial"/>
                <w:sz w:val="16"/>
                <w:szCs w:val="16"/>
                <w:lang w:val="en-CA"/>
              </w:rPr>
              <w:t>(46)</w:t>
            </w:r>
          </w:p>
        </w:tc>
        <w:tc>
          <w:tcPr>
            <w:tcW w:w="763" w:type="dxa"/>
            <w:tcBorders>
              <w:top w:val="nil"/>
              <w:left w:val="single" w:sz="8" w:space="0" w:color="auto"/>
              <w:bottom w:val="nil"/>
              <w:right w:val="single" w:sz="8" w:space="0" w:color="auto"/>
            </w:tcBorders>
            <w:vAlign w:val="bottom"/>
          </w:tcPr>
          <w:p w14:paraId="2678366A" w14:textId="36937D7F" w:rsidR="00084E78" w:rsidRDefault="00084E78" w:rsidP="00084E78">
            <w:pPr>
              <w:tabs>
                <w:tab w:val="decimal" w:pos="522"/>
              </w:tabs>
              <w:spacing w:line="276" w:lineRule="auto"/>
              <w:ind w:right="-198"/>
              <w:rPr>
                <w:rFonts w:ascii="Arial" w:hAnsi="Arial" w:cs="Arial"/>
                <w:sz w:val="16"/>
                <w:szCs w:val="16"/>
                <w:lang w:val="en-CA"/>
              </w:rPr>
            </w:pPr>
            <w:r>
              <w:rPr>
                <w:rFonts w:ascii="Arial" w:hAnsi="Arial" w:cs="Arial"/>
                <w:sz w:val="16"/>
                <w:szCs w:val="16"/>
                <w:lang w:val="en-CA"/>
              </w:rPr>
              <w:t>(92)</w:t>
            </w:r>
          </w:p>
        </w:tc>
        <w:tc>
          <w:tcPr>
            <w:tcW w:w="755" w:type="dxa"/>
            <w:gridSpan w:val="2"/>
            <w:tcBorders>
              <w:top w:val="nil"/>
              <w:left w:val="single" w:sz="8" w:space="0" w:color="auto"/>
              <w:bottom w:val="nil"/>
              <w:right w:val="single" w:sz="8" w:space="0" w:color="auto"/>
            </w:tcBorders>
            <w:vAlign w:val="bottom"/>
          </w:tcPr>
          <w:p w14:paraId="14831BAD" w14:textId="1AE8FB9B" w:rsidR="00084E78" w:rsidRPr="0062261A" w:rsidRDefault="00084E78" w:rsidP="00084E78">
            <w:pPr>
              <w:tabs>
                <w:tab w:val="decimal" w:pos="522"/>
              </w:tabs>
              <w:spacing w:line="276" w:lineRule="auto"/>
              <w:ind w:right="-198"/>
              <w:rPr>
                <w:rFonts w:ascii="Arial" w:hAnsi="Arial" w:cs="Arial"/>
                <w:sz w:val="16"/>
                <w:szCs w:val="16"/>
                <w:lang w:val="en-CA"/>
              </w:rPr>
            </w:pPr>
            <w:r>
              <w:rPr>
                <w:rFonts w:ascii="Arial" w:hAnsi="Arial" w:cs="Arial"/>
                <w:sz w:val="16"/>
                <w:szCs w:val="16"/>
                <w:lang w:val="en-CA"/>
              </w:rPr>
              <w:t>253</w:t>
            </w:r>
          </w:p>
        </w:tc>
        <w:tc>
          <w:tcPr>
            <w:tcW w:w="755" w:type="dxa"/>
            <w:tcBorders>
              <w:top w:val="nil"/>
              <w:left w:val="single" w:sz="8" w:space="0" w:color="auto"/>
              <w:bottom w:val="nil"/>
              <w:right w:val="single" w:sz="8" w:space="0" w:color="auto"/>
            </w:tcBorders>
            <w:vAlign w:val="bottom"/>
          </w:tcPr>
          <w:p w14:paraId="04C98608" w14:textId="3C348E26"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w:t>
            </w:r>
          </w:p>
        </w:tc>
        <w:tc>
          <w:tcPr>
            <w:tcW w:w="739" w:type="dxa"/>
            <w:tcBorders>
              <w:top w:val="nil"/>
              <w:left w:val="single" w:sz="8" w:space="0" w:color="auto"/>
              <w:bottom w:val="nil"/>
              <w:right w:val="single" w:sz="4" w:space="0" w:color="auto"/>
            </w:tcBorders>
            <w:vAlign w:val="bottom"/>
          </w:tcPr>
          <w:p w14:paraId="42278DA3" w14:textId="473E2DEF"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w:t>
            </w:r>
          </w:p>
        </w:tc>
      </w:tr>
      <w:tr w:rsidR="00084E78" w:rsidRPr="008266A3" w14:paraId="350314EC" w14:textId="77777777" w:rsidTr="002C685F">
        <w:trPr>
          <w:gridAfter w:val="1"/>
          <w:wAfter w:w="6" w:type="dxa"/>
          <w:trHeight w:val="153"/>
        </w:trPr>
        <w:tc>
          <w:tcPr>
            <w:tcW w:w="3335" w:type="dxa"/>
            <w:tcBorders>
              <w:top w:val="nil"/>
              <w:left w:val="single" w:sz="8" w:space="0" w:color="auto"/>
              <w:bottom w:val="nil"/>
              <w:right w:val="single" w:sz="8" w:space="0" w:color="auto"/>
            </w:tcBorders>
            <w:vAlign w:val="bottom"/>
          </w:tcPr>
          <w:p w14:paraId="7FA8DB77" w14:textId="1085D102" w:rsidR="00084E78" w:rsidRPr="008266A3" w:rsidRDefault="00084E78" w:rsidP="00084E78">
            <w:pPr>
              <w:pStyle w:val="Default"/>
              <w:spacing w:line="276" w:lineRule="auto"/>
              <w:ind w:right="-109"/>
              <w:rPr>
                <w:sz w:val="16"/>
                <w:szCs w:val="16"/>
              </w:rPr>
            </w:pPr>
            <w:r>
              <w:rPr>
                <w:sz w:val="16"/>
                <w:szCs w:val="16"/>
              </w:rPr>
              <w:t>Adjustments to</w:t>
            </w:r>
            <w:r w:rsidRPr="008266A3">
              <w:rPr>
                <w:sz w:val="16"/>
                <w:szCs w:val="16"/>
              </w:rPr>
              <w:t xml:space="preserve"> </w:t>
            </w:r>
            <w:r>
              <w:rPr>
                <w:sz w:val="16"/>
                <w:szCs w:val="16"/>
              </w:rPr>
              <w:t xml:space="preserve">other </w:t>
            </w:r>
            <w:r w:rsidRPr="008266A3">
              <w:rPr>
                <w:sz w:val="16"/>
                <w:szCs w:val="16"/>
              </w:rPr>
              <w:t>receivable</w:t>
            </w:r>
            <w:r>
              <w:rPr>
                <w:sz w:val="16"/>
                <w:szCs w:val="16"/>
              </w:rPr>
              <w:t>s</w:t>
            </w:r>
            <w:r w:rsidRPr="006C1B1C">
              <w:rPr>
                <w:sz w:val="16"/>
                <w:szCs w:val="16"/>
                <w:vertAlign w:val="superscript"/>
              </w:rPr>
              <w:t>(1)</w:t>
            </w:r>
          </w:p>
        </w:tc>
        <w:tc>
          <w:tcPr>
            <w:tcW w:w="720" w:type="dxa"/>
            <w:tcBorders>
              <w:top w:val="nil"/>
              <w:left w:val="single" w:sz="8" w:space="0" w:color="auto"/>
              <w:bottom w:val="nil"/>
              <w:right w:val="single" w:sz="8" w:space="0" w:color="auto"/>
            </w:tcBorders>
            <w:vAlign w:val="bottom"/>
          </w:tcPr>
          <w:p w14:paraId="63AD51D3" w14:textId="7F185DBB" w:rsidR="00084E78" w:rsidRDefault="00CA7368" w:rsidP="00084E78">
            <w:pPr>
              <w:tabs>
                <w:tab w:val="decimal" w:pos="522"/>
              </w:tabs>
              <w:spacing w:line="276" w:lineRule="auto"/>
              <w:ind w:right="-198"/>
              <w:rPr>
                <w:rFonts w:ascii="Arial" w:hAnsi="Arial" w:cs="Arial"/>
                <w:sz w:val="16"/>
                <w:szCs w:val="16"/>
              </w:rPr>
            </w:pPr>
            <w:r>
              <w:rPr>
                <w:rFonts w:ascii="Arial" w:hAnsi="Arial" w:cs="Arial"/>
                <w:sz w:val="16"/>
                <w:szCs w:val="16"/>
              </w:rPr>
              <w:t>-</w:t>
            </w:r>
          </w:p>
        </w:tc>
        <w:tc>
          <w:tcPr>
            <w:tcW w:w="720" w:type="dxa"/>
            <w:tcBorders>
              <w:top w:val="nil"/>
              <w:left w:val="single" w:sz="8" w:space="0" w:color="auto"/>
              <w:bottom w:val="nil"/>
              <w:right w:val="single" w:sz="8" w:space="0" w:color="auto"/>
            </w:tcBorders>
            <w:vAlign w:val="bottom"/>
          </w:tcPr>
          <w:p w14:paraId="4E9356D0" w14:textId="0B6603D2"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(2)</w:t>
            </w:r>
          </w:p>
        </w:tc>
        <w:tc>
          <w:tcPr>
            <w:tcW w:w="815" w:type="dxa"/>
            <w:tcBorders>
              <w:top w:val="nil"/>
              <w:left w:val="single" w:sz="8" w:space="0" w:color="auto"/>
              <w:bottom w:val="nil"/>
              <w:right w:val="single" w:sz="8" w:space="0" w:color="auto"/>
            </w:tcBorders>
            <w:vAlign w:val="bottom"/>
          </w:tcPr>
          <w:p w14:paraId="4E9CB275" w14:textId="0AB7F735"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w:t>
            </w:r>
          </w:p>
        </w:tc>
        <w:tc>
          <w:tcPr>
            <w:tcW w:w="763" w:type="dxa"/>
            <w:tcBorders>
              <w:top w:val="nil"/>
              <w:left w:val="single" w:sz="8" w:space="0" w:color="auto"/>
              <w:bottom w:val="nil"/>
              <w:right w:val="single" w:sz="8" w:space="0" w:color="auto"/>
            </w:tcBorders>
            <w:vAlign w:val="bottom"/>
          </w:tcPr>
          <w:p w14:paraId="09094A6D" w14:textId="0F767615"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w:t>
            </w:r>
          </w:p>
        </w:tc>
        <w:tc>
          <w:tcPr>
            <w:tcW w:w="763" w:type="dxa"/>
            <w:tcBorders>
              <w:top w:val="nil"/>
              <w:left w:val="single" w:sz="8" w:space="0" w:color="auto"/>
              <w:bottom w:val="nil"/>
              <w:right w:val="single" w:sz="8" w:space="0" w:color="auto"/>
            </w:tcBorders>
            <w:vAlign w:val="bottom"/>
          </w:tcPr>
          <w:p w14:paraId="55A7826F" w14:textId="055AD77B"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w:t>
            </w:r>
          </w:p>
        </w:tc>
        <w:tc>
          <w:tcPr>
            <w:tcW w:w="755" w:type="dxa"/>
            <w:gridSpan w:val="2"/>
            <w:tcBorders>
              <w:top w:val="nil"/>
              <w:left w:val="single" w:sz="8" w:space="0" w:color="auto"/>
              <w:bottom w:val="nil"/>
              <w:right w:val="single" w:sz="8" w:space="0" w:color="auto"/>
            </w:tcBorders>
            <w:vAlign w:val="bottom"/>
          </w:tcPr>
          <w:p w14:paraId="5E421EB2" w14:textId="4F8C713F"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4</w:t>
            </w:r>
          </w:p>
        </w:tc>
        <w:tc>
          <w:tcPr>
            <w:tcW w:w="755" w:type="dxa"/>
            <w:tcBorders>
              <w:top w:val="nil"/>
              <w:left w:val="single" w:sz="8" w:space="0" w:color="auto"/>
              <w:bottom w:val="nil"/>
              <w:right w:val="single" w:sz="8" w:space="0" w:color="auto"/>
            </w:tcBorders>
            <w:vAlign w:val="bottom"/>
          </w:tcPr>
          <w:p w14:paraId="69AB8534" w14:textId="01E8E266"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(4)</w:t>
            </w:r>
          </w:p>
        </w:tc>
        <w:tc>
          <w:tcPr>
            <w:tcW w:w="739" w:type="dxa"/>
            <w:tcBorders>
              <w:top w:val="nil"/>
              <w:left w:val="single" w:sz="8" w:space="0" w:color="auto"/>
              <w:bottom w:val="nil"/>
              <w:right w:val="single" w:sz="4" w:space="0" w:color="auto"/>
            </w:tcBorders>
            <w:vAlign w:val="bottom"/>
          </w:tcPr>
          <w:p w14:paraId="7EA2E161" w14:textId="1F96724C" w:rsidR="00084E78" w:rsidRDefault="00084E78" w:rsidP="00084E78">
            <w:pPr>
              <w:tabs>
                <w:tab w:val="decimal" w:pos="522"/>
              </w:tabs>
              <w:spacing w:line="276" w:lineRule="auto"/>
              <w:ind w:right="-198"/>
              <w:rPr>
                <w:rFonts w:ascii="Arial" w:hAnsi="Arial" w:cs="Arial"/>
                <w:sz w:val="16"/>
                <w:szCs w:val="16"/>
              </w:rPr>
            </w:pPr>
            <w:r>
              <w:rPr>
                <w:rFonts w:ascii="Arial" w:hAnsi="Arial" w:cs="Arial"/>
                <w:sz w:val="16"/>
                <w:szCs w:val="16"/>
              </w:rPr>
              <w:t>-</w:t>
            </w:r>
          </w:p>
        </w:tc>
      </w:tr>
      <w:tr w:rsidR="00084E78" w:rsidRPr="008266A3" w14:paraId="2C58A367" w14:textId="77777777" w:rsidTr="002C685F">
        <w:trPr>
          <w:gridAfter w:val="1"/>
          <w:wAfter w:w="6" w:type="dxa"/>
          <w:trHeight w:val="249"/>
        </w:trPr>
        <w:tc>
          <w:tcPr>
            <w:tcW w:w="3335" w:type="dxa"/>
            <w:tcBorders>
              <w:top w:val="single" w:sz="8" w:space="0" w:color="auto"/>
              <w:left w:val="single" w:sz="8" w:space="0" w:color="auto"/>
              <w:bottom w:val="single" w:sz="8" w:space="0" w:color="auto"/>
              <w:right w:val="single" w:sz="8" w:space="0" w:color="auto"/>
            </w:tcBorders>
            <w:vAlign w:val="bottom"/>
          </w:tcPr>
          <w:p w14:paraId="2787AE47" w14:textId="6444CDA6" w:rsidR="00084E78" w:rsidRPr="008266A3" w:rsidRDefault="00084E78" w:rsidP="00084E78">
            <w:pPr>
              <w:pStyle w:val="BodyText3"/>
              <w:spacing w:line="276" w:lineRule="auto"/>
              <w:ind w:right="-109"/>
              <w:jc w:val="left"/>
              <w:rPr>
                <w:rFonts w:ascii="Arial" w:hAnsi="Arial" w:cs="Arial"/>
                <w:b w:val="0"/>
                <w:sz w:val="16"/>
                <w:szCs w:val="16"/>
              </w:rPr>
            </w:pPr>
            <w:r w:rsidRPr="008266A3">
              <w:rPr>
                <w:rFonts w:ascii="Arial" w:hAnsi="Arial" w:cs="Arial"/>
                <w:b w:val="0"/>
                <w:sz w:val="16"/>
                <w:szCs w:val="16"/>
              </w:rPr>
              <w:t>Income (loss) and comprehensive income (loss) for the period</w:t>
            </w:r>
          </w:p>
        </w:tc>
        <w:tc>
          <w:tcPr>
            <w:tcW w:w="720" w:type="dxa"/>
            <w:tcBorders>
              <w:top w:val="single" w:sz="8" w:space="0" w:color="auto"/>
              <w:left w:val="single" w:sz="8" w:space="0" w:color="auto"/>
              <w:bottom w:val="single" w:sz="8" w:space="0" w:color="auto"/>
              <w:right w:val="single" w:sz="8" w:space="0" w:color="auto"/>
            </w:tcBorders>
            <w:vAlign w:val="bottom"/>
          </w:tcPr>
          <w:p w14:paraId="056DC5E3" w14:textId="35B5F3CD" w:rsidR="00084E78" w:rsidRPr="008266A3" w:rsidRDefault="00084E78" w:rsidP="00084E78">
            <w:pPr>
              <w:tabs>
                <w:tab w:val="decimal" w:pos="522"/>
              </w:tabs>
              <w:spacing w:line="276" w:lineRule="auto"/>
              <w:ind w:left="-108" w:right="-198"/>
              <w:rPr>
                <w:rFonts w:ascii="Arial" w:hAnsi="Arial" w:cs="Arial"/>
                <w:sz w:val="16"/>
                <w:szCs w:val="16"/>
              </w:rPr>
            </w:pPr>
            <w:r w:rsidRPr="008266A3">
              <w:rPr>
                <w:rFonts w:ascii="Arial" w:hAnsi="Arial" w:cs="Arial"/>
                <w:sz w:val="16"/>
                <w:szCs w:val="16"/>
              </w:rPr>
              <w:t xml:space="preserve">  $  </w:t>
            </w:r>
            <w:r>
              <w:rPr>
                <w:rFonts w:ascii="Arial" w:hAnsi="Arial" w:cs="Arial"/>
                <w:sz w:val="16"/>
                <w:szCs w:val="16"/>
              </w:rPr>
              <w:t xml:space="preserve">  </w:t>
            </w:r>
            <w:r w:rsidR="00E96024">
              <w:rPr>
                <w:rFonts w:ascii="Arial" w:hAnsi="Arial" w:cs="Arial"/>
                <w:sz w:val="16"/>
                <w:szCs w:val="16"/>
              </w:rPr>
              <w:t>68</w:t>
            </w:r>
          </w:p>
        </w:tc>
        <w:tc>
          <w:tcPr>
            <w:tcW w:w="720" w:type="dxa"/>
            <w:tcBorders>
              <w:top w:val="single" w:sz="8" w:space="0" w:color="auto"/>
              <w:left w:val="single" w:sz="8" w:space="0" w:color="auto"/>
              <w:bottom w:val="single" w:sz="8" w:space="0" w:color="auto"/>
              <w:right w:val="single" w:sz="8" w:space="0" w:color="auto"/>
            </w:tcBorders>
            <w:vAlign w:val="bottom"/>
          </w:tcPr>
          <w:p w14:paraId="5A459674" w14:textId="732FA22E" w:rsidR="00084E78" w:rsidRPr="008266A3" w:rsidRDefault="00084E78" w:rsidP="00084E78">
            <w:pPr>
              <w:tabs>
                <w:tab w:val="decimal" w:pos="522"/>
              </w:tabs>
              <w:spacing w:line="276" w:lineRule="auto"/>
              <w:ind w:left="-108" w:right="-198"/>
              <w:rPr>
                <w:rFonts w:ascii="Arial" w:hAnsi="Arial" w:cs="Arial"/>
                <w:sz w:val="16"/>
                <w:szCs w:val="16"/>
              </w:rPr>
            </w:pPr>
            <w:r w:rsidRPr="008266A3">
              <w:rPr>
                <w:rFonts w:ascii="Arial" w:hAnsi="Arial" w:cs="Arial"/>
                <w:sz w:val="16"/>
                <w:szCs w:val="16"/>
              </w:rPr>
              <w:t xml:space="preserve">  $  </w:t>
            </w:r>
            <w:r>
              <w:rPr>
                <w:rFonts w:ascii="Arial" w:hAnsi="Arial" w:cs="Arial"/>
                <w:sz w:val="16"/>
                <w:szCs w:val="16"/>
              </w:rPr>
              <w:t xml:space="preserve">  54</w:t>
            </w:r>
          </w:p>
        </w:tc>
        <w:tc>
          <w:tcPr>
            <w:tcW w:w="815" w:type="dxa"/>
            <w:tcBorders>
              <w:top w:val="single" w:sz="8" w:space="0" w:color="auto"/>
              <w:left w:val="single" w:sz="8" w:space="0" w:color="auto"/>
              <w:bottom w:val="single" w:sz="8" w:space="0" w:color="auto"/>
              <w:right w:val="single" w:sz="8" w:space="0" w:color="auto"/>
            </w:tcBorders>
            <w:vAlign w:val="bottom"/>
          </w:tcPr>
          <w:p w14:paraId="39E05FBC" w14:textId="247FEA20" w:rsidR="00084E78" w:rsidRPr="008266A3" w:rsidRDefault="00084E78" w:rsidP="00084E78">
            <w:pPr>
              <w:tabs>
                <w:tab w:val="decimal" w:pos="522"/>
              </w:tabs>
              <w:spacing w:line="276" w:lineRule="auto"/>
              <w:ind w:left="-108" w:right="-198"/>
              <w:rPr>
                <w:rFonts w:ascii="Arial" w:hAnsi="Arial" w:cs="Arial"/>
                <w:sz w:val="16"/>
                <w:szCs w:val="16"/>
              </w:rPr>
            </w:pPr>
            <w:r w:rsidRPr="008266A3">
              <w:rPr>
                <w:rFonts w:ascii="Arial" w:hAnsi="Arial" w:cs="Arial"/>
                <w:sz w:val="16"/>
                <w:szCs w:val="16"/>
              </w:rPr>
              <w:t xml:space="preserve">  $ </w:t>
            </w:r>
            <w:proofErr w:type="gramStart"/>
            <w:r w:rsidRPr="008266A3">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56)</w:t>
            </w:r>
          </w:p>
        </w:tc>
        <w:tc>
          <w:tcPr>
            <w:tcW w:w="763" w:type="dxa"/>
            <w:tcBorders>
              <w:top w:val="single" w:sz="8" w:space="0" w:color="auto"/>
              <w:left w:val="single" w:sz="8" w:space="0" w:color="auto"/>
              <w:bottom w:val="single" w:sz="8" w:space="0" w:color="auto"/>
              <w:right w:val="single" w:sz="8" w:space="0" w:color="auto"/>
            </w:tcBorders>
            <w:vAlign w:val="bottom"/>
          </w:tcPr>
          <w:p w14:paraId="5F4FA48E" w14:textId="310F7AA2" w:rsidR="00084E78" w:rsidRPr="008266A3" w:rsidRDefault="00084E78" w:rsidP="00084E78">
            <w:pPr>
              <w:tabs>
                <w:tab w:val="decimal" w:pos="522"/>
              </w:tabs>
              <w:spacing w:line="276" w:lineRule="auto"/>
              <w:ind w:left="-108" w:right="-198"/>
              <w:rPr>
                <w:rFonts w:ascii="Arial" w:hAnsi="Arial" w:cs="Arial"/>
                <w:sz w:val="16"/>
                <w:szCs w:val="16"/>
              </w:rPr>
            </w:pPr>
            <w:r w:rsidRPr="008266A3">
              <w:rPr>
                <w:rFonts w:ascii="Arial" w:hAnsi="Arial" w:cs="Arial"/>
                <w:sz w:val="16"/>
                <w:szCs w:val="16"/>
              </w:rPr>
              <w:t xml:space="preserve">  $ </w:t>
            </w:r>
            <w:proofErr w:type="gramStart"/>
            <w:r w:rsidRPr="008266A3">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39)</w:t>
            </w:r>
          </w:p>
        </w:tc>
        <w:tc>
          <w:tcPr>
            <w:tcW w:w="763" w:type="dxa"/>
            <w:tcBorders>
              <w:top w:val="single" w:sz="8" w:space="0" w:color="auto"/>
              <w:left w:val="single" w:sz="8" w:space="0" w:color="auto"/>
              <w:bottom w:val="single" w:sz="8" w:space="0" w:color="auto"/>
              <w:right w:val="single" w:sz="8" w:space="0" w:color="auto"/>
            </w:tcBorders>
            <w:vAlign w:val="bottom"/>
          </w:tcPr>
          <w:p w14:paraId="4637815F" w14:textId="57B1E94A" w:rsidR="00084E78" w:rsidRPr="008266A3" w:rsidRDefault="00084E78" w:rsidP="00084E78">
            <w:pPr>
              <w:tabs>
                <w:tab w:val="decimal" w:pos="522"/>
              </w:tabs>
              <w:spacing w:line="276" w:lineRule="auto"/>
              <w:ind w:left="-108" w:right="-198"/>
              <w:rPr>
                <w:rFonts w:ascii="Arial" w:hAnsi="Arial" w:cs="Arial"/>
                <w:sz w:val="16"/>
                <w:szCs w:val="16"/>
              </w:rPr>
            </w:pPr>
            <w:r w:rsidRPr="008266A3">
              <w:rPr>
                <w:rFonts w:ascii="Arial" w:hAnsi="Arial" w:cs="Arial"/>
                <w:sz w:val="16"/>
                <w:szCs w:val="16"/>
              </w:rPr>
              <w:t xml:space="preserve">  $  </w:t>
            </w:r>
            <w:r>
              <w:rPr>
                <w:rFonts w:ascii="Arial" w:hAnsi="Arial" w:cs="Arial"/>
                <w:sz w:val="16"/>
                <w:szCs w:val="16"/>
              </w:rPr>
              <w:t xml:space="preserve">  </w:t>
            </w:r>
            <w:r w:rsidRPr="008266A3">
              <w:rPr>
                <w:rFonts w:ascii="Arial" w:hAnsi="Arial" w:cs="Arial"/>
                <w:sz w:val="16"/>
                <w:szCs w:val="16"/>
              </w:rPr>
              <w:t xml:space="preserve"> </w:t>
            </w:r>
            <w:r>
              <w:rPr>
                <w:rFonts w:ascii="Arial" w:hAnsi="Arial" w:cs="Arial"/>
                <w:sz w:val="16"/>
                <w:szCs w:val="16"/>
              </w:rPr>
              <w:t>10</w:t>
            </w:r>
          </w:p>
        </w:tc>
        <w:tc>
          <w:tcPr>
            <w:tcW w:w="755" w:type="dxa"/>
            <w:gridSpan w:val="2"/>
            <w:tcBorders>
              <w:top w:val="single" w:sz="8" w:space="0" w:color="auto"/>
              <w:left w:val="single" w:sz="8" w:space="0" w:color="auto"/>
              <w:bottom w:val="single" w:sz="8" w:space="0" w:color="auto"/>
              <w:right w:val="single" w:sz="8" w:space="0" w:color="auto"/>
            </w:tcBorders>
            <w:vAlign w:val="bottom"/>
          </w:tcPr>
          <w:p w14:paraId="193AE3A8" w14:textId="135510D1" w:rsidR="00084E78" w:rsidRPr="008266A3" w:rsidRDefault="00084E78" w:rsidP="00084E78">
            <w:pPr>
              <w:tabs>
                <w:tab w:val="decimal" w:pos="522"/>
              </w:tabs>
              <w:spacing w:line="276" w:lineRule="auto"/>
              <w:ind w:left="-108" w:right="-198"/>
              <w:rPr>
                <w:rFonts w:ascii="Arial" w:hAnsi="Arial" w:cs="Arial"/>
                <w:sz w:val="16"/>
                <w:szCs w:val="16"/>
              </w:rPr>
            </w:pPr>
            <w:r w:rsidRPr="008266A3">
              <w:rPr>
                <w:rFonts w:ascii="Arial" w:hAnsi="Arial" w:cs="Arial"/>
                <w:sz w:val="16"/>
                <w:szCs w:val="16"/>
              </w:rPr>
              <w:t xml:space="preserve">  $</w:t>
            </w:r>
            <w:proofErr w:type="gramStart"/>
            <w:r w:rsidRPr="008266A3">
              <w:rPr>
                <w:rFonts w:ascii="Arial" w:hAnsi="Arial" w:cs="Arial"/>
                <w:sz w:val="16"/>
                <w:szCs w:val="16"/>
              </w:rPr>
              <w:t xml:space="preserve">   (</w:t>
            </w:r>
            <w:proofErr w:type="gramEnd"/>
            <w:r>
              <w:rPr>
                <w:rFonts w:ascii="Arial" w:hAnsi="Arial" w:cs="Arial"/>
                <w:sz w:val="16"/>
                <w:szCs w:val="16"/>
              </w:rPr>
              <w:t>407</w:t>
            </w:r>
            <w:r w:rsidRPr="008266A3">
              <w:rPr>
                <w:rFonts w:ascii="Arial" w:hAnsi="Arial" w:cs="Arial"/>
                <w:sz w:val="16"/>
                <w:szCs w:val="16"/>
              </w:rPr>
              <w:t>)</w:t>
            </w:r>
          </w:p>
        </w:tc>
        <w:tc>
          <w:tcPr>
            <w:tcW w:w="755" w:type="dxa"/>
            <w:tcBorders>
              <w:top w:val="single" w:sz="8" w:space="0" w:color="auto"/>
              <w:left w:val="single" w:sz="8" w:space="0" w:color="auto"/>
              <w:bottom w:val="single" w:sz="8" w:space="0" w:color="auto"/>
              <w:right w:val="single" w:sz="8" w:space="0" w:color="auto"/>
            </w:tcBorders>
            <w:vAlign w:val="bottom"/>
          </w:tcPr>
          <w:p w14:paraId="5A932A8A" w14:textId="130DF349" w:rsidR="00084E78" w:rsidRPr="008266A3" w:rsidRDefault="00084E78" w:rsidP="00084E78">
            <w:pPr>
              <w:tabs>
                <w:tab w:val="decimal" w:pos="522"/>
              </w:tabs>
              <w:spacing w:line="276" w:lineRule="auto"/>
              <w:ind w:left="-108" w:right="-198"/>
              <w:rPr>
                <w:rFonts w:ascii="Arial" w:hAnsi="Arial" w:cs="Arial"/>
                <w:sz w:val="16"/>
                <w:szCs w:val="16"/>
              </w:rPr>
            </w:pPr>
            <w:r w:rsidRPr="008266A3">
              <w:rPr>
                <w:rFonts w:ascii="Arial" w:hAnsi="Arial" w:cs="Arial"/>
                <w:sz w:val="16"/>
                <w:szCs w:val="16"/>
              </w:rPr>
              <w:t xml:space="preserve">  $</w:t>
            </w:r>
            <w:proofErr w:type="gramStart"/>
            <w:r w:rsidRPr="008266A3">
              <w:rPr>
                <w:rFonts w:ascii="Arial" w:hAnsi="Arial" w:cs="Arial"/>
                <w:sz w:val="16"/>
                <w:szCs w:val="16"/>
              </w:rPr>
              <w:t xml:space="preserve">   (</w:t>
            </w:r>
            <w:proofErr w:type="gramEnd"/>
            <w:r>
              <w:rPr>
                <w:rFonts w:ascii="Arial" w:hAnsi="Arial" w:cs="Arial"/>
                <w:sz w:val="16"/>
                <w:szCs w:val="16"/>
              </w:rPr>
              <w:t>61</w:t>
            </w:r>
            <w:r w:rsidRPr="008266A3">
              <w:rPr>
                <w:rFonts w:ascii="Arial" w:hAnsi="Arial" w:cs="Arial"/>
                <w:sz w:val="16"/>
                <w:szCs w:val="16"/>
              </w:rPr>
              <w:t>)</w:t>
            </w:r>
          </w:p>
        </w:tc>
        <w:tc>
          <w:tcPr>
            <w:tcW w:w="739" w:type="dxa"/>
            <w:tcBorders>
              <w:top w:val="single" w:sz="8" w:space="0" w:color="auto"/>
              <w:left w:val="single" w:sz="8" w:space="0" w:color="auto"/>
              <w:bottom w:val="single" w:sz="8" w:space="0" w:color="auto"/>
              <w:right w:val="single" w:sz="4" w:space="0" w:color="auto"/>
            </w:tcBorders>
            <w:vAlign w:val="bottom"/>
          </w:tcPr>
          <w:p w14:paraId="0EF8ABB4" w14:textId="5F33A022" w:rsidR="00084E78" w:rsidRPr="008266A3" w:rsidRDefault="00084E78" w:rsidP="00084E78">
            <w:pPr>
              <w:tabs>
                <w:tab w:val="decimal" w:pos="522"/>
              </w:tabs>
              <w:spacing w:line="276" w:lineRule="auto"/>
              <w:ind w:left="-108" w:right="-198"/>
              <w:rPr>
                <w:rFonts w:ascii="Arial" w:hAnsi="Arial" w:cs="Arial"/>
                <w:sz w:val="16"/>
                <w:szCs w:val="16"/>
              </w:rPr>
            </w:pPr>
            <w:r w:rsidRPr="008266A3">
              <w:rPr>
                <w:rFonts w:ascii="Arial" w:hAnsi="Arial" w:cs="Arial"/>
                <w:sz w:val="16"/>
                <w:szCs w:val="16"/>
              </w:rPr>
              <w:t xml:space="preserve">  $</w:t>
            </w:r>
            <w:proofErr w:type="gramStart"/>
            <w:r w:rsidRPr="008266A3">
              <w:rPr>
                <w:rFonts w:ascii="Arial" w:hAnsi="Arial" w:cs="Arial"/>
                <w:sz w:val="16"/>
                <w:szCs w:val="16"/>
              </w:rPr>
              <w:t xml:space="preserve">   (</w:t>
            </w:r>
            <w:proofErr w:type="gramEnd"/>
            <w:r>
              <w:rPr>
                <w:rFonts w:ascii="Arial" w:hAnsi="Arial" w:cs="Arial"/>
                <w:sz w:val="16"/>
                <w:szCs w:val="16"/>
              </w:rPr>
              <w:t>151</w:t>
            </w:r>
            <w:r w:rsidRPr="008266A3">
              <w:rPr>
                <w:rFonts w:ascii="Arial" w:hAnsi="Arial" w:cs="Arial"/>
                <w:sz w:val="16"/>
                <w:szCs w:val="16"/>
              </w:rPr>
              <w:t>)</w:t>
            </w:r>
          </w:p>
        </w:tc>
      </w:tr>
      <w:tr w:rsidR="00084E78" w:rsidRPr="008266A3" w14:paraId="18844D7B" w14:textId="77777777" w:rsidTr="002C685F">
        <w:trPr>
          <w:gridAfter w:val="1"/>
          <w:wAfter w:w="6" w:type="dxa"/>
          <w:trHeight w:val="231"/>
        </w:trPr>
        <w:tc>
          <w:tcPr>
            <w:tcW w:w="3335" w:type="dxa"/>
            <w:tcBorders>
              <w:top w:val="single" w:sz="8" w:space="0" w:color="auto"/>
              <w:left w:val="single" w:sz="8" w:space="0" w:color="auto"/>
              <w:bottom w:val="nil"/>
              <w:right w:val="single" w:sz="8" w:space="0" w:color="auto"/>
            </w:tcBorders>
            <w:vAlign w:val="bottom"/>
          </w:tcPr>
          <w:p w14:paraId="5F8176E4" w14:textId="547E9A16" w:rsidR="00084E78" w:rsidRPr="008266A3" w:rsidRDefault="00084E78" w:rsidP="00084E78">
            <w:pPr>
              <w:pStyle w:val="BodyText3"/>
              <w:spacing w:before="20"/>
              <w:ind w:right="-109"/>
              <w:jc w:val="left"/>
              <w:rPr>
                <w:rFonts w:ascii="Arial" w:hAnsi="Arial" w:cs="Arial"/>
                <w:b w:val="0"/>
                <w:sz w:val="16"/>
                <w:szCs w:val="16"/>
              </w:rPr>
            </w:pPr>
            <w:r>
              <w:rPr>
                <w:rFonts w:ascii="Arial" w:hAnsi="Arial" w:cs="Arial"/>
                <w:b w:val="0"/>
                <w:sz w:val="16"/>
                <w:szCs w:val="16"/>
              </w:rPr>
              <w:t>Income (loss) and comprehensive income (l</w:t>
            </w:r>
            <w:r w:rsidRPr="008266A3">
              <w:rPr>
                <w:rFonts w:ascii="Arial" w:hAnsi="Arial" w:cs="Arial"/>
                <w:b w:val="0"/>
                <w:sz w:val="16"/>
                <w:szCs w:val="16"/>
              </w:rPr>
              <w:t>oss</w:t>
            </w:r>
            <w:r>
              <w:rPr>
                <w:rFonts w:ascii="Arial" w:hAnsi="Arial" w:cs="Arial"/>
                <w:b w:val="0"/>
                <w:sz w:val="16"/>
                <w:szCs w:val="16"/>
              </w:rPr>
              <w:t>)</w:t>
            </w:r>
            <w:r w:rsidRPr="008266A3">
              <w:rPr>
                <w:rFonts w:ascii="Arial" w:hAnsi="Arial" w:cs="Arial"/>
                <w:b w:val="0"/>
                <w:sz w:val="16"/>
                <w:szCs w:val="16"/>
              </w:rPr>
              <w:t xml:space="preserve"> per share from operations – basic and diluted</w:t>
            </w:r>
          </w:p>
        </w:tc>
        <w:tc>
          <w:tcPr>
            <w:tcW w:w="720" w:type="dxa"/>
            <w:tcBorders>
              <w:top w:val="single" w:sz="8" w:space="0" w:color="auto"/>
              <w:left w:val="single" w:sz="8" w:space="0" w:color="auto"/>
              <w:bottom w:val="nil"/>
              <w:right w:val="single" w:sz="8" w:space="0" w:color="auto"/>
            </w:tcBorders>
            <w:vAlign w:val="bottom"/>
          </w:tcPr>
          <w:p w14:paraId="616B8F0D" w14:textId="3C49615A" w:rsidR="00084E78" w:rsidRPr="008266A3" w:rsidRDefault="00084E78" w:rsidP="00084E78">
            <w:pPr>
              <w:tabs>
                <w:tab w:val="decimal" w:pos="264"/>
              </w:tabs>
              <w:spacing w:before="20"/>
              <w:ind w:left="-108" w:right="-108"/>
              <w:rPr>
                <w:rFonts w:ascii="Arial" w:hAnsi="Arial" w:cs="Arial"/>
                <w:sz w:val="16"/>
                <w:szCs w:val="16"/>
              </w:rPr>
            </w:pPr>
            <w:r w:rsidRPr="008266A3">
              <w:rPr>
                <w:rFonts w:ascii="Arial" w:hAnsi="Arial" w:cs="Arial"/>
                <w:sz w:val="16"/>
                <w:szCs w:val="16"/>
              </w:rPr>
              <w:t>$</w:t>
            </w:r>
            <w:r>
              <w:rPr>
                <w:rFonts w:ascii="Arial" w:hAnsi="Arial" w:cs="Arial"/>
                <w:sz w:val="16"/>
                <w:szCs w:val="16"/>
              </w:rPr>
              <w:t>(</w:t>
            </w:r>
            <w:r w:rsidRPr="008266A3">
              <w:rPr>
                <w:rFonts w:ascii="Arial" w:hAnsi="Arial" w:cs="Arial"/>
                <w:sz w:val="16"/>
                <w:szCs w:val="16"/>
              </w:rPr>
              <w:t>0.0</w:t>
            </w:r>
            <w:r>
              <w:rPr>
                <w:rFonts w:ascii="Arial" w:hAnsi="Arial" w:cs="Arial"/>
                <w:sz w:val="16"/>
                <w:szCs w:val="16"/>
              </w:rPr>
              <w:t>0</w:t>
            </w:r>
            <w:r w:rsidR="00E96024">
              <w:rPr>
                <w:rFonts w:ascii="Arial" w:hAnsi="Arial" w:cs="Arial"/>
                <w:sz w:val="16"/>
                <w:szCs w:val="16"/>
              </w:rPr>
              <w:t>4</w:t>
            </w:r>
            <w:r>
              <w:rPr>
                <w:rFonts w:ascii="Arial" w:hAnsi="Arial" w:cs="Arial"/>
                <w:sz w:val="16"/>
                <w:szCs w:val="16"/>
              </w:rPr>
              <w:t>)</w:t>
            </w:r>
          </w:p>
        </w:tc>
        <w:tc>
          <w:tcPr>
            <w:tcW w:w="720" w:type="dxa"/>
            <w:tcBorders>
              <w:top w:val="single" w:sz="8" w:space="0" w:color="auto"/>
              <w:left w:val="single" w:sz="8" w:space="0" w:color="auto"/>
              <w:bottom w:val="nil"/>
              <w:right w:val="single" w:sz="8" w:space="0" w:color="auto"/>
            </w:tcBorders>
            <w:vAlign w:val="bottom"/>
          </w:tcPr>
          <w:p w14:paraId="4B53EF16" w14:textId="340FE907" w:rsidR="00084E78" w:rsidRPr="008266A3" w:rsidRDefault="00084E78" w:rsidP="00084E78">
            <w:pPr>
              <w:tabs>
                <w:tab w:val="decimal" w:pos="264"/>
              </w:tabs>
              <w:spacing w:before="20"/>
              <w:ind w:left="-108" w:right="-108"/>
              <w:rPr>
                <w:rFonts w:ascii="Arial" w:hAnsi="Arial" w:cs="Arial"/>
                <w:sz w:val="16"/>
                <w:szCs w:val="16"/>
              </w:rPr>
            </w:pPr>
            <w:r w:rsidRPr="008266A3">
              <w:rPr>
                <w:rFonts w:ascii="Arial" w:hAnsi="Arial" w:cs="Arial"/>
                <w:sz w:val="16"/>
                <w:szCs w:val="16"/>
              </w:rPr>
              <w:t>$</w:t>
            </w:r>
            <w:r>
              <w:rPr>
                <w:rFonts w:ascii="Arial" w:hAnsi="Arial" w:cs="Arial"/>
                <w:sz w:val="16"/>
                <w:szCs w:val="16"/>
              </w:rPr>
              <w:t>(</w:t>
            </w:r>
            <w:r w:rsidRPr="008266A3">
              <w:rPr>
                <w:rFonts w:ascii="Arial" w:hAnsi="Arial" w:cs="Arial"/>
                <w:sz w:val="16"/>
                <w:szCs w:val="16"/>
              </w:rPr>
              <w:t>0.0</w:t>
            </w:r>
            <w:r>
              <w:rPr>
                <w:rFonts w:ascii="Arial" w:hAnsi="Arial" w:cs="Arial"/>
                <w:sz w:val="16"/>
                <w:szCs w:val="16"/>
              </w:rPr>
              <w:t>05)</w:t>
            </w:r>
          </w:p>
        </w:tc>
        <w:tc>
          <w:tcPr>
            <w:tcW w:w="815" w:type="dxa"/>
            <w:tcBorders>
              <w:top w:val="single" w:sz="8" w:space="0" w:color="auto"/>
              <w:left w:val="single" w:sz="8" w:space="0" w:color="auto"/>
              <w:bottom w:val="nil"/>
              <w:right w:val="single" w:sz="8" w:space="0" w:color="auto"/>
            </w:tcBorders>
            <w:vAlign w:val="bottom"/>
          </w:tcPr>
          <w:p w14:paraId="68624FD8" w14:textId="32C85AE6" w:rsidR="00084E78" w:rsidRPr="008266A3" w:rsidRDefault="00084E78" w:rsidP="00084E78">
            <w:pPr>
              <w:tabs>
                <w:tab w:val="decimal" w:pos="264"/>
              </w:tabs>
              <w:spacing w:before="20"/>
              <w:ind w:left="-108" w:right="-108"/>
              <w:rPr>
                <w:rFonts w:ascii="Arial" w:hAnsi="Arial" w:cs="Arial"/>
                <w:sz w:val="16"/>
                <w:szCs w:val="16"/>
              </w:rPr>
            </w:pPr>
            <w:r w:rsidRPr="008266A3">
              <w:rPr>
                <w:rFonts w:ascii="Arial" w:hAnsi="Arial" w:cs="Arial"/>
                <w:sz w:val="16"/>
                <w:szCs w:val="16"/>
              </w:rPr>
              <w:t>$</w:t>
            </w:r>
            <w:r>
              <w:rPr>
                <w:rFonts w:ascii="Arial" w:hAnsi="Arial" w:cs="Arial"/>
                <w:sz w:val="16"/>
                <w:szCs w:val="16"/>
              </w:rPr>
              <w:t>(</w:t>
            </w:r>
            <w:r w:rsidRPr="008266A3">
              <w:rPr>
                <w:rFonts w:ascii="Arial" w:hAnsi="Arial" w:cs="Arial"/>
                <w:sz w:val="16"/>
                <w:szCs w:val="16"/>
              </w:rPr>
              <w:t>0.0</w:t>
            </w:r>
            <w:r>
              <w:rPr>
                <w:rFonts w:ascii="Arial" w:hAnsi="Arial" w:cs="Arial"/>
                <w:sz w:val="16"/>
                <w:szCs w:val="16"/>
              </w:rPr>
              <w:t>04)</w:t>
            </w:r>
          </w:p>
        </w:tc>
        <w:tc>
          <w:tcPr>
            <w:tcW w:w="763" w:type="dxa"/>
            <w:tcBorders>
              <w:top w:val="single" w:sz="8" w:space="0" w:color="auto"/>
              <w:left w:val="single" w:sz="8" w:space="0" w:color="auto"/>
              <w:bottom w:val="nil"/>
              <w:right w:val="single" w:sz="8" w:space="0" w:color="auto"/>
            </w:tcBorders>
            <w:vAlign w:val="bottom"/>
          </w:tcPr>
          <w:p w14:paraId="01918CCC" w14:textId="62A17DC1" w:rsidR="00084E78" w:rsidRPr="008266A3" w:rsidRDefault="00084E78" w:rsidP="00084E78">
            <w:pPr>
              <w:tabs>
                <w:tab w:val="decimal" w:pos="264"/>
              </w:tabs>
              <w:spacing w:before="20"/>
              <w:ind w:left="-108" w:right="-108"/>
              <w:rPr>
                <w:rFonts w:ascii="Arial" w:hAnsi="Arial" w:cs="Arial"/>
                <w:sz w:val="16"/>
                <w:szCs w:val="16"/>
              </w:rPr>
            </w:pPr>
            <w:r w:rsidRPr="008266A3">
              <w:rPr>
                <w:rFonts w:ascii="Arial" w:hAnsi="Arial" w:cs="Arial"/>
                <w:sz w:val="16"/>
                <w:szCs w:val="16"/>
              </w:rPr>
              <w:t>$</w:t>
            </w:r>
            <w:r>
              <w:rPr>
                <w:rFonts w:ascii="Arial" w:hAnsi="Arial" w:cs="Arial"/>
                <w:sz w:val="16"/>
                <w:szCs w:val="16"/>
              </w:rPr>
              <w:t>(</w:t>
            </w:r>
            <w:r w:rsidRPr="008266A3">
              <w:rPr>
                <w:rFonts w:ascii="Arial" w:hAnsi="Arial" w:cs="Arial"/>
                <w:sz w:val="16"/>
                <w:szCs w:val="16"/>
              </w:rPr>
              <w:t>0.0</w:t>
            </w:r>
            <w:r>
              <w:rPr>
                <w:rFonts w:ascii="Arial" w:hAnsi="Arial" w:cs="Arial"/>
                <w:sz w:val="16"/>
                <w:szCs w:val="16"/>
              </w:rPr>
              <w:t>05)</w:t>
            </w:r>
          </w:p>
        </w:tc>
        <w:tc>
          <w:tcPr>
            <w:tcW w:w="763" w:type="dxa"/>
            <w:tcBorders>
              <w:top w:val="single" w:sz="8" w:space="0" w:color="auto"/>
              <w:left w:val="single" w:sz="8" w:space="0" w:color="auto"/>
              <w:bottom w:val="nil"/>
              <w:right w:val="single" w:sz="8" w:space="0" w:color="auto"/>
            </w:tcBorders>
            <w:vAlign w:val="bottom"/>
          </w:tcPr>
          <w:p w14:paraId="574D2303" w14:textId="33CA2E3E" w:rsidR="00084E78" w:rsidRPr="008266A3" w:rsidRDefault="00084E78" w:rsidP="00084E78">
            <w:pPr>
              <w:tabs>
                <w:tab w:val="decimal" w:pos="264"/>
              </w:tabs>
              <w:spacing w:before="20"/>
              <w:ind w:left="-108" w:right="-108"/>
              <w:rPr>
                <w:rFonts w:ascii="Arial" w:hAnsi="Arial" w:cs="Arial"/>
                <w:sz w:val="16"/>
                <w:szCs w:val="16"/>
              </w:rPr>
            </w:pPr>
            <w:r w:rsidRPr="008266A3">
              <w:rPr>
                <w:rFonts w:ascii="Arial" w:hAnsi="Arial" w:cs="Arial"/>
                <w:sz w:val="16"/>
                <w:szCs w:val="16"/>
              </w:rPr>
              <w:t>$</w:t>
            </w:r>
            <w:r>
              <w:rPr>
                <w:rFonts w:ascii="Arial" w:hAnsi="Arial" w:cs="Arial"/>
                <w:sz w:val="16"/>
                <w:szCs w:val="16"/>
              </w:rPr>
              <w:t>(</w:t>
            </w:r>
            <w:r w:rsidRPr="008266A3">
              <w:rPr>
                <w:rFonts w:ascii="Arial" w:hAnsi="Arial" w:cs="Arial"/>
                <w:sz w:val="16"/>
                <w:szCs w:val="16"/>
              </w:rPr>
              <w:t>0.0</w:t>
            </w:r>
            <w:r>
              <w:rPr>
                <w:rFonts w:ascii="Arial" w:hAnsi="Arial" w:cs="Arial"/>
                <w:sz w:val="16"/>
                <w:szCs w:val="16"/>
              </w:rPr>
              <w:t>05)</w:t>
            </w:r>
          </w:p>
        </w:tc>
        <w:tc>
          <w:tcPr>
            <w:tcW w:w="755" w:type="dxa"/>
            <w:gridSpan w:val="2"/>
            <w:tcBorders>
              <w:top w:val="single" w:sz="8" w:space="0" w:color="auto"/>
              <w:left w:val="single" w:sz="8" w:space="0" w:color="auto"/>
              <w:bottom w:val="nil"/>
              <w:right w:val="single" w:sz="8" w:space="0" w:color="auto"/>
            </w:tcBorders>
            <w:vAlign w:val="bottom"/>
          </w:tcPr>
          <w:p w14:paraId="4D78A92A" w14:textId="5D110B5A" w:rsidR="00084E78" w:rsidRPr="008266A3" w:rsidRDefault="00084E78" w:rsidP="00084E78">
            <w:pPr>
              <w:tabs>
                <w:tab w:val="decimal" w:pos="264"/>
              </w:tabs>
              <w:spacing w:before="20"/>
              <w:ind w:left="-108" w:right="-108"/>
              <w:rPr>
                <w:rFonts w:ascii="Arial" w:hAnsi="Arial" w:cs="Arial"/>
                <w:sz w:val="16"/>
                <w:szCs w:val="16"/>
              </w:rPr>
            </w:pPr>
            <w:r w:rsidRPr="008266A3">
              <w:rPr>
                <w:rFonts w:ascii="Arial" w:hAnsi="Arial" w:cs="Arial"/>
                <w:sz w:val="16"/>
                <w:szCs w:val="16"/>
              </w:rPr>
              <w:t>$(0.0</w:t>
            </w:r>
            <w:r>
              <w:rPr>
                <w:rFonts w:ascii="Arial" w:hAnsi="Arial" w:cs="Arial"/>
                <w:sz w:val="16"/>
                <w:szCs w:val="16"/>
              </w:rPr>
              <w:t>09</w:t>
            </w:r>
            <w:r w:rsidRPr="008266A3">
              <w:rPr>
                <w:rFonts w:ascii="Arial" w:hAnsi="Arial" w:cs="Arial"/>
                <w:sz w:val="16"/>
                <w:szCs w:val="16"/>
              </w:rPr>
              <w:t>)</w:t>
            </w:r>
          </w:p>
        </w:tc>
        <w:tc>
          <w:tcPr>
            <w:tcW w:w="755" w:type="dxa"/>
            <w:tcBorders>
              <w:top w:val="single" w:sz="8" w:space="0" w:color="auto"/>
              <w:left w:val="single" w:sz="8" w:space="0" w:color="auto"/>
              <w:bottom w:val="nil"/>
              <w:right w:val="single" w:sz="8" w:space="0" w:color="auto"/>
            </w:tcBorders>
            <w:vAlign w:val="bottom"/>
          </w:tcPr>
          <w:p w14:paraId="1F894AA1" w14:textId="03617957" w:rsidR="00084E78" w:rsidRPr="008266A3" w:rsidRDefault="00084E78" w:rsidP="00084E78">
            <w:pPr>
              <w:tabs>
                <w:tab w:val="decimal" w:pos="264"/>
              </w:tabs>
              <w:spacing w:before="20"/>
              <w:ind w:left="-108" w:right="-108"/>
              <w:rPr>
                <w:rFonts w:ascii="Arial" w:hAnsi="Arial" w:cs="Arial"/>
                <w:sz w:val="16"/>
                <w:szCs w:val="16"/>
              </w:rPr>
            </w:pPr>
            <w:r w:rsidRPr="008266A3">
              <w:rPr>
                <w:rFonts w:ascii="Arial" w:hAnsi="Arial" w:cs="Arial"/>
                <w:sz w:val="16"/>
                <w:szCs w:val="16"/>
              </w:rPr>
              <w:t>$(0.0</w:t>
            </w:r>
            <w:r>
              <w:rPr>
                <w:rFonts w:ascii="Arial" w:hAnsi="Arial" w:cs="Arial"/>
                <w:sz w:val="16"/>
                <w:szCs w:val="16"/>
              </w:rPr>
              <w:t>04</w:t>
            </w:r>
            <w:r w:rsidRPr="008266A3">
              <w:rPr>
                <w:rFonts w:ascii="Arial" w:hAnsi="Arial" w:cs="Arial"/>
                <w:sz w:val="16"/>
                <w:szCs w:val="16"/>
              </w:rPr>
              <w:t>)</w:t>
            </w:r>
          </w:p>
        </w:tc>
        <w:tc>
          <w:tcPr>
            <w:tcW w:w="739" w:type="dxa"/>
            <w:tcBorders>
              <w:top w:val="single" w:sz="8" w:space="0" w:color="auto"/>
              <w:left w:val="single" w:sz="8" w:space="0" w:color="auto"/>
              <w:bottom w:val="nil"/>
              <w:right w:val="single" w:sz="4" w:space="0" w:color="auto"/>
            </w:tcBorders>
            <w:vAlign w:val="bottom"/>
          </w:tcPr>
          <w:p w14:paraId="1C9F6A71" w14:textId="7B87B074" w:rsidR="00084E78" w:rsidRPr="008266A3" w:rsidRDefault="00084E78" w:rsidP="00084E78">
            <w:pPr>
              <w:tabs>
                <w:tab w:val="decimal" w:pos="264"/>
              </w:tabs>
              <w:spacing w:before="20"/>
              <w:ind w:left="-108" w:right="-108"/>
              <w:rPr>
                <w:rFonts w:ascii="Arial" w:hAnsi="Arial" w:cs="Arial"/>
                <w:sz w:val="16"/>
                <w:szCs w:val="16"/>
              </w:rPr>
            </w:pPr>
            <w:r w:rsidRPr="008266A3">
              <w:rPr>
                <w:rFonts w:ascii="Arial" w:hAnsi="Arial" w:cs="Arial"/>
                <w:sz w:val="16"/>
                <w:szCs w:val="16"/>
              </w:rPr>
              <w:t>$(0.0</w:t>
            </w:r>
            <w:r>
              <w:rPr>
                <w:rFonts w:ascii="Arial" w:hAnsi="Arial" w:cs="Arial"/>
                <w:sz w:val="16"/>
                <w:szCs w:val="16"/>
              </w:rPr>
              <w:t>10</w:t>
            </w:r>
            <w:r w:rsidRPr="008266A3">
              <w:rPr>
                <w:rFonts w:ascii="Arial" w:hAnsi="Arial" w:cs="Arial"/>
                <w:sz w:val="16"/>
                <w:szCs w:val="16"/>
              </w:rPr>
              <w:t>)</w:t>
            </w:r>
          </w:p>
        </w:tc>
      </w:tr>
      <w:tr w:rsidR="00084E78" w:rsidRPr="008266A3" w14:paraId="45D9D4A5" w14:textId="77777777" w:rsidTr="002C685F">
        <w:trPr>
          <w:gridAfter w:val="1"/>
          <w:wAfter w:w="6" w:type="dxa"/>
          <w:trHeight w:val="205"/>
        </w:trPr>
        <w:tc>
          <w:tcPr>
            <w:tcW w:w="3335" w:type="dxa"/>
            <w:tcBorders>
              <w:top w:val="nil"/>
              <w:left w:val="single" w:sz="8" w:space="0" w:color="auto"/>
              <w:bottom w:val="nil"/>
              <w:right w:val="single" w:sz="8" w:space="0" w:color="auto"/>
            </w:tcBorders>
            <w:vAlign w:val="center"/>
          </w:tcPr>
          <w:p w14:paraId="79A6EB89" w14:textId="77777777" w:rsidR="00084E78" w:rsidRPr="00F74804" w:rsidRDefault="00084E78" w:rsidP="00084E78">
            <w:pPr>
              <w:pStyle w:val="BodyText3"/>
              <w:spacing w:before="20"/>
              <w:ind w:right="-109"/>
              <w:jc w:val="left"/>
              <w:rPr>
                <w:rFonts w:ascii="Arial" w:hAnsi="Arial" w:cs="Arial"/>
                <w:b w:val="0"/>
                <w:sz w:val="16"/>
                <w:szCs w:val="16"/>
              </w:rPr>
            </w:pPr>
            <w:r w:rsidRPr="00F74804">
              <w:rPr>
                <w:rFonts w:ascii="Arial" w:hAnsi="Arial" w:cs="Arial"/>
                <w:b w:val="0"/>
                <w:sz w:val="16"/>
                <w:szCs w:val="16"/>
              </w:rPr>
              <w:t>Income (loss) per share</w:t>
            </w:r>
          </w:p>
        </w:tc>
        <w:tc>
          <w:tcPr>
            <w:tcW w:w="720" w:type="dxa"/>
            <w:tcBorders>
              <w:top w:val="nil"/>
              <w:left w:val="single" w:sz="8" w:space="0" w:color="auto"/>
              <w:bottom w:val="nil"/>
              <w:right w:val="single" w:sz="8" w:space="0" w:color="auto"/>
            </w:tcBorders>
            <w:vAlign w:val="center"/>
          </w:tcPr>
          <w:p w14:paraId="00448088" w14:textId="77777777" w:rsidR="00084E78" w:rsidRPr="008266A3" w:rsidRDefault="00084E78" w:rsidP="00084E78">
            <w:pPr>
              <w:tabs>
                <w:tab w:val="decimal" w:pos="164"/>
                <w:tab w:val="decimal" w:pos="734"/>
              </w:tabs>
              <w:spacing w:before="20"/>
              <w:ind w:left="-108" w:right="-108"/>
              <w:jc w:val="both"/>
              <w:rPr>
                <w:rFonts w:ascii="Arial" w:hAnsi="Arial" w:cs="Arial"/>
                <w:sz w:val="16"/>
                <w:szCs w:val="16"/>
                <w:highlight w:val="magenta"/>
              </w:rPr>
            </w:pPr>
          </w:p>
        </w:tc>
        <w:tc>
          <w:tcPr>
            <w:tcW w:w="720" w:type="dxa"/>
            <w:tcBorders>
              <w:top w:val="nil"/>
              <w:left w:val="single" w:sz="8" w:space="0" w:color="auto"/>
              <w:bottom w:val="nil"/>
              <w:right w:val="single" w:sz="8" w:space="0" w:color="auto"/>
            </w:tcBorders>
            <w:vAlign w:val="center"/>
          </w:tcPr>
          <w:p w14:paraId="002A79E7" w14:textId="5D8CDE99" w:rsidR="00084E78" w:rsidRPr="008266A3" w:rsidRDefault="00084E78" w:rsidP="00084E78">
            <w:pPr>
              <w:tabs>
                <w:tab w:val="decimal" w:pos="164"/>
                <w:tab w:val="decimal" w:pos="734"/>
              </w:tabs>
              <w:spacing w:before="20"/>
              <w:ind w:left="-108" w:right="-108"/>
              <w:jc w:val="both"/>
              <w:rPr>
                <w:rFonts w:ascii="Arial" w:hAnsi="Arial" w:cs="Arial"/>
                <w:sz w:val="16"/>
                <w:szCs w:val="16"/>
                <w:highlight w:val="magenta"/>
              </w:rPr>
            </w:pPr>
          </w:p>
        </w:tc>
        <w:tc>
          <w:tcPr>
            <w:tcW w:w="815" w:type="dxa"/>
            <w:tcBorders>
              <w:top w:val="nil"/>
              <w:left w:val="single" w:sz="8" w:space="0" w:color="auto"/>
              <w:bottom w:val="nil"/>
              <w:right w:val="single" w:sz="8" w:space="0" w:color="auto"/>
            </w:tcBorders>
            <w:vAlign w:val="center"/>
          </w:tcPr>
          <w:p w14:paraId="6FB222E3" w14:textId="7BEE4DC5" w:rsidR="00084E78" w:rsidRPr="008266A3" w:rsidRDefault="00084E78" w:rsidP="00084E78">
            <w:pPr>
              <w:tabs>
                <w:tab w:val="decimal" w:pos="164"/>
                <w:tab w:val="decimal" w:pos="734"/>
              </w:tabs>
              <w:spacing w:before="20"/>
              <w:ind w:left="-108" w:right="-108"/>
              <w:jc w:val="both"/>
              <w:rPr>
                <w:rFonts w:ascii="Arial" w:hAnsi="Arial" w:cs="Arial"/>
                <w:sz w:val="16"/>
                <w:szCs w:val="16"/>
                <w:highlight w:val="magenta"/>
              </w:rPr>
            </w:pPr>
          </w:p>
        </w:tc>
        <w:tc>
          <w:tcPr>
            <w:tcW w:w="763" w:type="dxa"/>
            <w:tcBorders>
              <w:top w:val="nil"/>
              <w:left w:val="single" w:sz="8" w:space="0" w:color="auto"/>
              <w:bottom w:val="nil"/>
              <w:right w:val="single" w:sz="8" w:space="0" w:color="auto"/>
            </w:tcBorders>
            <w:vAlign w:val="center"/>
          </w:tcPr>
          <w:p w14:paraId="7372070C" w14:textId="5FC04F61" w:rsidR="00084E78" w:rsidRPr="008266A3" w:rsidRDefault="00084E78" w:rsidP="00084E78">
            <w:pPr>
              <w:tabs>
                <w:tab w:val="decimal" w:pos="164"/>
                <w:tab w:val="decimal" w:pos="734"/>
              </w:tabs>
              <w:spacing w:before="20"/>
              <w:ind w:left="-108" w:right="-108"/>
              <w:jc w:val="both"/>
              <w:rPr>
                <w:rFonts w:ascii="Arial" w:hAnsi="Arial" w:cs="Arial"/>
                <w:sz w:val="16"/>
                <w:szCs w:val="16"/>
                <w:highlight w:val="magenta"/>
              </w:rPr>
            </w:pPr>
          </w:p>
        </w:tc>
        <w:tc>
          <w:tcPr>
            <w:tcW w:w="763" w:type="dxa"/>
            <w:tcBorders>
              <w:top w:val="nil"/>
              <w:left w:val="single" w:sz="8" w:space="0" w:color="auto"/>
              <w:bottom w:val="nil"/>
              <w:right w:val="single" w:sz="8" w:space="0" w:color="auto"/>
            </w:tcBorders>
            <w:vAlign w:val="center"/>
          </w:tcPr>
          <w:p w14:paraId="36277A67" w14:textId="4872B40C" w:rsidR="00084E78" w:rsidRPr="008266A3" w:rsidRDefault="00084E78" w:rsidP="00084E78">
            <w:pPr>
              <w:tabs>
                <w:tab w:val="decimal" w:pos="164"/>
                <w:tab w:val="decimal" w:pos="734"/>
              </w:tabs>
              <w:spacing w:before="20"/>
              <w:ind w:left="-108" w:right="-108"/>
              <w:jc w:val="both"/>
              <w:rPr>
                <w:rFonts w:ascii="Arial" w:hAnsi="Arial" w:cs="Arial"/>
                <w:sz w:val="16"/>
                <w:szCs w:val="16"/>
                <w:highlight w:val="magenta"/>
              </w:rPr>
            </w:pPr>
          </w:p>
        </w:tc>
        <w:tc>
          <w:tcPr>
            <w:tcW w:w="755" w:type="dxa"/>
            <w:gridSpan w:val="2"/>
            <w:tcBorders>
              <w:top w:val="nil"/>
              <w:left w:val="single" w:sz="8" w:space="0" w:color="auto"/>
              <w:bottom w:val="nil"/>
              <w:right w:val="single" w:sz="8" w:space="0" w:color="auto"/>
            </w:tcBorders>
            <w:vAlign w:val="center"/>
          </w:tcPr>
          <w:p w14:paraId="1E58696F" w14:textId="42EC74B2" w:rsidR="00084E78" w:rsidRPr="008266A3" w:rsidRDefault="00084E78" w:rsidP="00084E78">
            <w:pPr>
              <w:tabs>
                <w:tab w:val="decimal" w:pos="164"/>
                <w:tab w:val="decimal" w:pos="734"/>
              </w:tabs>
              <w:spacing w:before="20"/>
              <w:ind w:left="-108" w:right="-108"/>
              <w:jc w:val="both"/>
              <w:rPr>
                <w:rFonts w:ascii="Arial" w:hAnsi="Arial" w:cs="Arial"/>
                <w:sz w:val="16"/>
                <w:szCs w:val="16"/>
                <w:highlight w:val="magenta"/>
              </w:rPr>
            </w:pPr>
          </w:p>
        </w:tc>
        <w:tc>
          <w:tcPr>
            <w:tcW w:w="755" w:type="dxa"/>
            <w:tcBorders>
              <w:top w:val="nil"/>
              <w:left w:val="single" w:sz="8" w:space="0" w:color="auto"/>
              <w:bottom w:val="nil"/>
              <w:right w:val="single" w:sz="8" w:space="0" w:color="auto"/>
            </w:tcBorders>
            <w:vAlign w:val="center"/>
          </w:tcPr>
          <w:p w14:paraId="2CE5DE68" w14:textId="7701E26D" w:rsidR="00084E78" w:rsidRPr="008266A3" w:rsidRDefault="00084E78" w:rsidP="00084E78">
            <w:pPr>
              <w:tabs>
                <w:tab w:val="decimal" w:pos="164"/>
                <w:tab w:val="decimal" w:pos="734"/>
              </w:tabs>
              <w:spacing w:before="20"/>
              <w:ind w:left="-108" w:right="-108"/>
              <w:jc w:val="both"/>
              <w:rPr>
                <w:rFonts w:ascii="Arial" w:hAnsi="Arial" w:cs="Arial"/>
                <w:sz w:val="16"/>
                <w:szCs w:val="16"/>
                <w:highlight w:val="magenta"/>
              </w:rPr>
            </w:pPr>
          </w:p>
        </w:tc>
        <w:tc>
          <w:tcPr>
            <w:tcW w:w="739" w:type="dxa"/>
            <w:tcBorders>
              <w:top w:val="nil"/>
              <w:left w:val="single" w:sz="8" w:space="0" w:color="auto"/>
              <w:bottom w:val="nil"/>
              <w:right w:val="single" w:sz="4" w:space="0" w:color="auto"/>
            </w:tcBorders>
            <w:vAlign w:val="center"/>
          </w:tcPr>
          <w:p w14:paraId="3AA310A2" w14:textId="6E903248" w:rsidR="00084E78" w:rsidRPr="008266A3" w:rsidRDefault="00084E78" w:rsidP="00084E78">
            <w:pPr>
              <w:tabs>
                <w:tab w:val="decimal" w:pos="164"/>
                <w:tab w:val="decimal" w:pos="734"/>
              </w:tabs>
              <w:spacing w:before="20"/>
              <w:ind w:left="-108" w:right="-108"/>
              <w:jc w:val="both"/>
              <w:rPr>
                <w:rFonts w:ascii="Arial" w:hAnsi="Arial" w:cs="Arial"/>
                <w:sz w:val="16"/>
                <w:szCs w:val="16"/>
                <w:highlight w:val="magenta"/>
              </w:rPr>
            </w:pPr>
          </w:p>
        </w:tc>
      </w:tr>
      <w:tr w:rsidR="00084E78" w:rsidRPr="008266A3" w14:paraId="4BB290D2" w14:textId="77777777" w:rsidTr="002C685F">
        <w:trPr>
          <w:gridAfter w:val="1"/>
          <w:wAfter w:w="6" w:type="dxa"/>
          <w:trHeight w:val="205"/>
        </w:trPr>
        <w:tc>
          <w:tcPr>
            <w:tcW w:w="3335" w:type="dxa"/>
            <w:tcBorders>
              <w:top w:val="nil"/>
              <w:left w:val="single" w:sz="8" w:space="0" w:color="auto"/>
              <w:bottom w:val="single" w:sz="8" w:space="0" w:color="auto"/>
              <w:right w:val="single" w:sz="8" w:space="0" w:color="auto"/>
            </w:tcBorders>
            <w:vAlign w:val="center"/>
          </w:tcPr>
          <w:p w14:paraId="50BFA6C4" w14:textId="1E2217EE" w:rsidR="00084E78" w:rsidRPr="008266A3" w:rsidRDefault="00084E78" w:rsidP="00084E78">
            <w:pPr>
              <w:pStyle w:val="BodyText3"/>
              <w:spacing w:before="20"/>
              <w:ind w:right="-109"/>
              <w:jc w:val="left"/>
              <w:rPr>
                <w:rFonts w:ascii="Arial" w:hAnsi="Arial" w:cs="Arial"/>
                <w:b w:val="0"/>
                <w:sz w:val="16"/>
                <w:szCs w:val="16"/>
              </w:rPr>
            </w:pPr>
            <w:r w:rsidRPr="008266A3">
              <w:rPr>
                <w:rFonts w:ascii="Arial" w:hAnsi="Arial" w:cs="Arial"/>
                <w:b w:val="0"/>
                <w:sz w:val="16"/>
                <w:szCs w:val="16"/>
              </w:rPr>
              <w:t>Basic and diluted</w:t>
            </w:r>
          </w:p>
        </w:tc>
        <w:tc>
          <w:tcPr>
            <w:tcW w:w="720" w:type="dxa"/>
            <w:tcBorders>
              <w:top w:val="nil"/>
              <w:left w:val="single" w:sz="8" w:space="0" w:color="auto"/>
              <w:bottom w:val="single" w:sz="8" w:space="0" w:color="auto"/>
              <w:right w:val="single" w:sz="8" w:space="0" w:color="auto"/>
            </w:tcBorders>
            <w:vAlign w:val="center"/>
          </w:tcPr>
          <w:p w14:paraId="00168623" w14:textId="71DF5DAF" w:rsidR="00084E78" w:rsidRPr="008266A3" w:rsidRDefault="00084E78" w:rsidP="00084E78">
            <w:pPr>
              <w:tabs>
                <w:tab w:val="decimal" w:pos="264"/>
              </w:tabs>
              <w:spacing w:before="20"/>
              <w:ind w:left="-108" w:right="-108"/>
              <w:jc w:val="both"/>
              <w:rPr>
                <w:rFonts w:ascii="Arial" w:hAnsi="Arial" w:cs="Arial"/>
                <w:sz w:val="16"/>
                <w:szCs w:val="16"/>
              </w:rPr>
            </w:pPr>
            <w:r w:rsidRPr="008266A3">
              <w:rPr>
                <w:rFonts w:ascii="Arial" w:hAnsi="Arial" w:cs="Arial"/>
                <w:sz w:val="16"/>
                <w:szCs w:val="16"/>
              </w:rPr>
              <w:t>$</w:t>
            </w:r>
            <w:r w:rsidR="00E96024">
              <w:rPr>
                <w:rFonts w:ascii="Arial" w:hAnsi="Arial" w:cs="Arial"/>
                <w:sz w:val="16"/>
                <w:szCs w:val="16"/>
              </w:rPr>
              <w:t>(</w:t>
            </w:r>
            <w:r w:rsidRPr="008266A3">
              <w:rPr>
                <w:rFonts w:ascii="Arial" w:hAnsi="Arial" w:cs="Arial"/>
                <w:sz w:val="16"/>
                <w:szCs w:val="16"/>
              </w:rPr>
              <w:t>0.0</w:t>
            </w:r>
            <w:r>
              <w:rPr>
                <w:rFonts w:ascii="Arial" w:hAnsi="Arial" w:cs="Arial"/>
                <w:sz w:val="16"/>
                <w:szCs w:val="16"/>
              </w:rPr>
              <w:t>0</w:t>
            </w:r>
            <w:r w:rsidR="00E96024">
              <w:rPr>
                <w:rFonts w:ascii="Arial" w:hAnsi="Arial" w:cs="Arial"/>
                <w:sz w:val="16"/>
                <w:szCs w:val="16"/>
              </w:rPr>
              <w:t>5)</w:t>
            </w:r>
          </w:p>
        </w:tc>
        <w:tc>
          <w:tcPr>
            <w:tcW w:w="720" w:type="dxa"/>
            <w:tcBorders>
              <w:top w:val="nil"/>
              <w:left w:val="single" w:sz="8" w:space="0" w:color="auto"/>
              <w:bottom w:val="single" w:sz="8" w:space="0" w:color="auto"/>
              <w:right w:val="single" w:sz="8" w:space="0" w:color="auto"/>
            </w:tcBorders>
            <w:vAlign w:val="center"/>
          </w:tcPr>
          <w:p w14:paraId="6910E91E" w14:textId="5607B0CD" w:rsidR="00084E78" w:rsidRPr="008266A3" w:rsidRDefault="00084E78" w:rsidP="00084E78">
            <w:pPr>
              <w:tabs>
                <w:tab w:val="decimal" w:pos="264"/>
              </w:tabs>
              <w:spacing w:before="20"/>
              <w:ind w:left="-108" w:right="-108"/>
              <w:jc w:val="both"/>
              <w:rPr>
                <w:rFonts w:ascii="Arial" w:hAnsi="Arial" w:cs="Arial"/>
                <w:sz w:val="16"/>
                <w:szCs w:val="16"/>
              </w:rPr>
            </w:pPr>
            <w:r w:rsidRPr="008266A3">
              <w:rPr>
                <w:rFonts w:ascii="Arial" w:hAnsi="Arial" w:cs="Arial"/>
                <w:sz w:val="16"/>
                <w:szCs w:val="16"/>
              </w:rPr>
              <w:t>$</w:t>
            </w:r>
            <w:r>
              <w:rPr>
                <w:rFonts w:ascii="Arial" w:hAnsi="Arial" w:cs="Arial"/>
                <w:sz w:val="16"/>
                <w:szCs w:val="16"/>
              </w:rPr>
              <w:t xml:space="preserve"> </w:t>
            </w:r>
            <w:r w:rsidRPr="008266A3">
              <w:rPr>
                <w:rFonts w:ascii="Arial" w:hAnsi="Arial" w:cs="Arial"/>
                <w:sz w:val="16"/>
                <w:szCs w:val="16"/>
              </w:rPr>
              <w:t>0.0</w:t>
            </w:r>
            <w:r>
              <w:rPr>
                <w:rFonts w:ascii="Arial" w:hAnsi="Arial" w:cs="Arial"/>
                <w:sz w:val="16"/>
                <w:szCs w:val="16"/>
              </w:rPr>
              <w:t>04</w:t>
            </w:r>
          </w:p>
        </w:tc>
        <w:tc>
          <w:tcPr>
            <w:tcW w:w="815" w:type="dxa"/>
            <w:tcBorders>
              <w:top w:val="nil"/>
              <w:left w:val="single" w:sz="8" w:space="0" w:color="auto"/>
              <w:bottom w:val="single" w:sz="8" w:space="0" w:color="auto"/>
              <w:right w:val="single" w:sz="8" w:space="0" w:color="auto"/>
            </w:tcBorders>
            <w:vAlign w:val="center"/>
          </w:tcPr>
          <w:p w14:paraId="7FD0A703" w14:textId="4897226F" w:rsidR="00084E78" w:rsidRPr="008266A3" w:rsidRDefault="00084E78" w:rsidP="00084E78">
            <w:pPr>
              <w:tabs>
                <w:tab w:val="decimal" w:pos="264"/>
              </w:tabs>
              <w:spacing w:before="20"/>
              <w:ind w:left="-108" w:right="-108"/>
              <w:jc w:val="both"/>
              <w:rPr>
                <w:rFonts w:ascii="Arial" w:hAnsi="Arial" w:cs="Arial"/>
                <w:sz w:val="16"/>
                <w:szCs w:val="16"/>
              </w:rPr>
            </w:pPr>
            <w:r w:rsidRPr="008266A3">
              <w:rPr>
                <w:rFonts w:ascii="Arial" w:hAnsi="Arial" w:cs="Arial"/>
                <w:sz w:val="16"/>
                <w:szCs w:val="16"/>
              </w:rPr>
              <w:t>$</w:t>
            </w:r>
            <w:r>
              <w:rPr>
                <w:rFonts w:ascii="Arial" w:hAnsi="Arial" w:cs="Arial"/>
                <w:sz w:val="16"/>
                <w:szCs w:val="16"/>
              </w:rPr>
              <w:t>(</w:t>
            </w:r>
            <w:r w:rsidRPr="008266A3">
              <w:rPr>
                <w:rFonts w:ascii="Arial" w:hAnsi="Arial" w:cs="Arial"/>
                <w:sz w:val="16"/>
                <w:szCs w:val="16"/>
              </w:rPr>
              <w:t>0.0</w:t>
            </w:r>
            <w:r>
              <w:rPr>
                <w:rFonts w:ascii="Arial" w:hAnsi="Arial" w:cs="Arial"/>
                <w:sz w:val="16"/>
                <w:szCs w:val="16"/>
              </w:rPr>
              <w:t>04)</w:t>
            </w:r>
          </w:p>
        </w:tc>
        <w:tc>
          <w:tcPr>
            <w:tcW w:w="763" w:type="dxa"/>
            <w:tcBorders>
              <w:top w:val="nil"/>
              <w:left w:val="single" w:sz="8" w:space="0" w:color="auto"/>
              <w:bottom w:val="single" w:sz="8" w:space="0" w:color="auto"/>
              <w:right w:val="single" w:sz="8" w:space="0" w:color="auto"/>
            </w:tcBorders>
            <w:vAlign w:val="center"/>
          </w:tcPr>
          <w:p w14:paraId="5408B1B5" w14:textId="790FC46D" w:rsidR="00084E78" w:rsidRPr="008266A3" w:rsidRDefault="00084E78" w:rsidP="00084E78">
            <w:pPr>
              <w:tabs>
                <w:tab w:val="decimal" w:pos="264"/>
              </w:tabs>
              <w:spacing w:before="20"/>
              <w:ind w:left="-108" w:right="-108"/>
              <w:jc w:val="both"/>
              <w:rPr>
                <w:rFonts w:ascii="Arial" w:hAnsi="Arial" w:cs="Arial"/>
                <w:sz w:val="16"/>
                <w:szCs w:val="16"/>
              </w:rPr>
            </w:pPr>
            <w:r w:rsidRPr="008266A3">
              <w:rPr>
                <w:rFonts w:ascii="Arial" w:hAnsi="Arial" w:cs="Arial"/>
                <w:sz w:val="16"/>
                <w:szCs w:val="16"/>
              </w:rPr>
              <w:t>$</w:t>
            </w:r>
            <w:r>
              <w:rPr>
                <w:rFonts w:ascii="Arial" w:hAnsi="Arial" w:cs="Arial"/>
                <w:sz w:val="16"/>
                <w:szCs w:val="16"/>
              </w:rPr>
              <w:t>(</w:t>
            </w:r>
            <w:r w:rsidRPr="008266A3">
              <w:rPr>
                <w:rFonts w:ascii="Arial" w:hAnsi="Arial" w:cs="Arial"/>
                <w:sz w:val="16"/>
                <w:szCs w:val="16"/>
              </w:rPr>
              <w:t>0.0</w:t>
            </w:r>
            <w:r>
              <w:rPr>
                <w:rFonts w:ascii="Arial" w:hAnsi="Arial" w:cs="Arial"/>
                <w:sz w:val="16"/>
                <w:szCs w:val="16"/>
              </w:rPr>
              <w:t>03)</w:t>
            </w:r>
          </w:p>
        </w:tc>
        <w:tc>
          <w:tcPr>
            <w:tcW w:w="763" w:type="dxa"/>
            <w:tcBorders>
              <w:top w:val="nil"/>
              <w:left w:val="single" w:sz="8" w:space="0" w:color="auto"/>
              <w:bottom w:val="single" w:sz="8" w:space="0" w:color="auto"/>
              <w:right w:val="single" w:sz="8" w:space="0" w:color="auto"/>
            </w:tcBorders>
            <w:vAlign w:val="center"/>
          </w:tcPr>
          <w:p w14:paraId="0D7A68E8" w14:textId="79DAD72C" w:rsidR="00084E78" w:rsidRPr="008266A3" w:rsidRDefault="00084E78" w:rsidP="00084E78">
            <w:pPr>
              <w:tabs>
                <w:tab w:val="decimal" w:pos="264"/>
              </w:tabs>
              <w:spacing w:before="20"/>
              <w:ind w:left="-108" w:right="-108"/>
              <w:jc w:val="both"/>
              <w:rPr>
                <w:rFonts w:ascii="Arial" w:hAnsi="Arial" w:cs="Arial"/>
                <w:sz w:val="16"/>
                <w:szCs w:val="16"/>
              </w:rPr>
            </w:pPr>
            <w:r w:rsidRPr="008266A3">
              <w:rPr>
                <w:rFonts w:ascii="Arial" w:hAnsi="Arial" w:cs="Arial"/>
                <w:sz w:val="16"/>
                <w:szCs w:val="16"/>
              </w:rPr>
              <w:t>$ 0.0</w:t>
            </w:r>
            <w:r>
              <w:rPr>
                <w:rFonts w:ascii="Arial" w:hAnsi="Arial" w:cs="Arial"/>
                <w:sz w:val="16"/>
                <w:szCs w:val="16"/>
              </w:rPr>
              <w:t>01</w:t>
            </w:r>
          </w:p>
        </w:tc>
        <w:tc>
          <w:tcPr>
            <w:tcW w:w="755" w:type="dxa"/>
            <w:gridSpan w:val="2"/>
            <w:tcBorders>
              <w:top w:val="nil"/>
              <w:left w:val="single" w:sz="8" w:space="0" w:color="auto"/>
              <w:bottom w:val="single" w:sz="8" w:space="0" w:color="auto"/>
              <w:right w:val="single" w:sz="8" w:space="0" w:color="auto"/>
            </w:tcBorders>
            <w:vAlign w:val="center"/>
          </w:tcPr>
          <w:p w14:paraId="66D42E1A" w14:textId="6BD0E860" w:rsidR="00084E78" w:rsidRPr="008266A3" w:rsidRDefault="00084E78" w:rsidP="00084E78">
            <w:pPr>
              <w:tabs>
                <w:tab w:val="decimal" w:pos="264"/>
              </w:tabs>
              <w:spacing w:before="20"/>
              <w:ind w:left="-108" w:right="-108"/>
              <w:jc w:val="both"/>
              <w:rPr>
                <w:rFonts w:ascii="Arial" w:hAnsi="Arial" w:cs="Arial"/>
                <w:sz w:val="16"/>
                <w:szCs w:val="16"/>
              </w:rPr>
            </w:pPr>
            <w:r w:rsidRPr="008266A3">
              <w:rPr>
                <w:rFonts w:ascii="Arial" w:hAnsi="Arial" w:cs="Arial"/>
                <w:sz w:val="16"/>
                <w:szCs w:val="16"/>
              </w:rPr>
              <w:t>$ (0.0</w:t>
            </w:r>
            <w:r>
              <w:rPr>
                <w:rFonts w:ascii="Arial" w:hAnsi="Arial" w:cs="Arial"/>
                <w:sz w:val="16"/>
                <w:szCs w:val="16"/>
              </w:rPr>
              <w:t>27</w:t>
            </w:r>
            <w:r w:rsidRPr="008266A3">
              <w:rPr>
                <w:rFonts w:ascii="Arial" w:hAnsi="Arial" w:cs="Arial"/>
                <w:sz w:val="16"/>
                <w:szCs w:val="16"/>
              </w:rPr>
              <w:t>)</w:t>
            </w:r>
          </w:p>
        </w:tc>
        <w:tc>
          <w:tcPr>
            <w:tcW w:w="755" w:type="dxa"/>
            <w:tcBorders>
              <w:top w:val="nil"/>
              <w:left w:val="single" w:sz="8" w:space="0" w:color="auto"/>
              <w:bottom w:val="single" w:sz="8" w:space="0" w:color="auto"/>
              <w:right w:val="single" w:sz="8" w:space="0" w:color="auto"/>
            </w:tcBorders>
            <w:vAlign w:val="center"/>
          </w:tcPr>
          <w:p w14:paraId="1763F31A" w14:textId="0B6CC527" w:rsidR="00084E78" w:rsidRPr="008266A3" w:rsidRDefault="00084E78" w:rsidP="00084E78">
            <w:pPr>
              <w:tabs>
                <w:tab w:val="decimal" w:pos="264"/>
              </w:tabs>
              <w:spacing w:before="20"/>
              <w:ind w:left="-108" w:right="-108"/>
              <w:jc w:val="both"/>
              <w:rPr>
                <w:rFonts w:ascii="Arial" w:hAnsi="Arial" w:cs="Arial"/>
                <w:sz w:val="16"/>
                <w:szCs w:val="16"/>
              </w:rPr>
            </w:pPr>
            <w:r w:rsidRPr="008266A3">
              <w:rPr>
                <w:rFonts w:ascii="Arial" w:hAnsi="Arial" w:cs="Arial"/>
                <w:sz w:val="16"/>
                <w:szCs w:val="16"/>
              </w:rPr>
              <w:t>$ (0.0</w:t>
            </w:r>
            <w:r>
              <w:rPr>
                <w:rFonts w:ascii="Arial" w:hAnsi="Arial" w:cs="Arial"/>
                <w:sz w:val="16"/>
                <w:szCs w:val="16"/>
              </w:rPr>
              <w:t>04</w:t>
            </w:r>
            <w:r w:rsidRPr="008266A3">
              <w:rPr>
                <w:rFonts w:ascii="Arial" w:hAnsi="Arial" w:cs="Arial"/>
                <w:sz w:val="16"/>
                <w:szCs w:val="16"/>
              </w:rPr>
              <w:t>)</w:t>
            </w:r>
          </w:p>
        </w:tc>
        <w:tc>
          <w:tcPr>
            <w:tcW w:w="739" w:type="dxa"/>
            <w:tcBorders>
              <w:top w:val="nil"/>
              <w:left w:val="single" w:sz="8" w:space="0" w:color="auto"/>
              <w:bottom w:val="single" w:sz="8" w:space="0" w:color="auto"/>
              <w:right w:val="single" w:sz="4" w:space="0" w:color="auto"/>
            </w:tcBorders>
            <w:vAlign w:val="center"/>
          </w:tcPr>
          <w:p w14:paraId="64FFDB89" w14:textId="2B9BE9C5" w:rsidR="00084E78" w:rsidRPr="008266A3" w:rsidRDefault="00084E78" w:rsidP="00084E78">
            <w:pPr>
              <w:tabs>
                <w:tab w:val="decimal" w:pos="264"/>
              </w:tabs>
              <w:spacing w:before="20"/>
              <w:ind w:left="-108" w:right="-108"/>
              <w:jc w:val="both"/>
              <w:rPr>
                <w:rFonts w:ascii="Arial" w:hAnsi="Arial" w:cs="Arial"/>
                <w:sz w:val="16"/>
                <w:szCs w:val="16"/>
              </w:rPr>
            </w:pPr>
            <w:r w:rsidRPr="008266A3">
              <w:rPr>
                <w:rFonts w:ascii="Arial" w:hAnsi="Arial" w:cs="Arial"/>
                <w:sz w:val="16"/>
                <w:szCs w:val="16"/>
              </w:rPr>
              <w:t>$ (0.0</w:t>
            </w:r>
            <w:r>
              <w:rPr>
                <w:rFonts w:ascii="Arial" w:hAnsi="Arial" w:cs="Arial"/>
                <w:sz w:val="16"/>
                <w:szCs w:val="16"/>
              </w:rPr>
              <w:t>1</w:t>
            </w:r>
            <w:r w:rsidRPr="008266A3">
              <w:rPr>
                <w:rFonts w:ascii="Arial" w:hAnsi="Arial" w:cs="Arial"/>
                <w:sz w:val="16"/>
                <w:szCs w:val="16"/>
              </w:rPr>
              <w:t>0)</w:t>
            </w:r>
          </w:p>
        </w:tc>
      </w:tr>
    </w:tbl>
    <w:p w14:paraId="03ED2461" w14:textId="77777777" w:rsidR="00041C0F" w:rsidRPr="00197D0E" w:rsidRDefault="00041C0F" w:rsidP="00F74300">
      <w:pPr>
        <w:ind w:left="360" w:hanging="360"/>
        <w:rPr>
          <w:rFonts w:ascii="Arial" w:hAnsi="Arial" w:cs="Arial"/>
          <w:bCs/>
          <w:sz w:val="16"/>
          <w:szCs w:val="16"/>
          <w:vertAlign w:val="superscript"/>
        </w:rPr>
      </w:pPr>
    </w:p>
    <w:p w14:paraId="6EE90AC5" w14:textId="2ABE176B" w:rsidR="00745006" w:rsidRPr="00197D0E" w:rsidRDefault="00BC3B97" w:rsidP="00F74300">
      <w:pPr>
        <w:ind w:left="360" w:hanging="360"/>
        <w:rPr>
          <w:rFonts w:ascii="Arial" w:hAnsi="Arial" w:cs="Arial"/>
          <w:bCs/>
          <w:sz w:val="16"/>
          <w:szCs w:val="16"/>
        </w:rPr>
      </w:pPr>
      <w:r w:rsidRPr="00197D0E">
        <w:rPr>
          <w:rFonts w:ascii="Arial" w:hAnsi="Arial" w:cs="Arial"/>
          <w:bCs/>
          <w:sz w:val="16"/>
          <w:szCs w:val="16"/>
          <w:vertAlign w:val="superscript"/>
        </w:rPr>
        <w:t>(1)</w:t>
      </w:r>
      <w:r w:rsidR="00537562">
        <w:rPr>
          <w:rFonts w:ascii="Arial" w:hAnsi="Arial" w:cs="Arial"/>
          <w:bCs/>
          <w:sz w:val="16"/>
          <w:szCs w:val="16"/>
          <w:vertAlign w:val="superscript"/>
        </w:rPr>
        <w:t xml:space="preserve"> </w:t>
      </w:r>
      <w:r w:rsidR="007B4B03">
        <w:rPr>
          <w:rFonts w:ascii="Arial" w:hAnsi="Arial" w:cs="Arial"/>
          <w:bCs/>
          <w:sz w:val="16"/>
          <w:szCs w:val="16"/>
        </w:rPr>
        <w:t>Other</w:t>
      </w:r>
      <w:r w:rsidR="00041C0F" w:rsidRPr="00197D0E">
        <w:rPr>
          <w:rFonts w:ascii="Arial" w:hAnsi="Arial" w:cs="Arial"/>
          <w:bCs/>
          <w:sz w:val="16"/>
          <w:szCs w:val="16"/>
        </w:rPr>
        <w:t xml:space="preserve"> receivable</w:t>
      </w:r>
      <w:r w:rsidR="007B4B03">
        <w:rPr>
          <w:rFonts w:ascii="Arial" w:hAnsi="Arial" w:cs="Arial"/>
          <w:bCs/>
          <w:sz w:val="16"/>
          <w:szCs w:val="16"/>
        </w:rPr>
        <w:t>s</w:t>
      </w:r>
      <w:r w:rsidR="00041C0F" w:rsidRPr="00197D0E">
        <w:rPr>
          <w:rFonts w:ascii="Arial" w:hAnsi="Arial" w:cs="Arial"/>
          <w:bCs/>
          <w:sz w:val="16"/>
          <w:szCs w:val="16"/>
        </w:rPr>
        <w:t xml:space="preserve"> </w:t>
      </w:r>
      <w:r w:rsidR="00197D0E" w:rsidRPr="00197D0E">
        <w:rPr>
          <w:rFonts w:ascii="Arial" w:hAnsi="Arial" w:cs="Arial"/>
          <w:sz w:val="16"/>
          <w:szCs w:val="16"/>
        </w:rPr>
        <w:t>are owed from a bankruptcy trustee in Ontario in which the Company was a claimant.</w:t>
      </w:r>
    </w:p>
    <w:p w14:paraId="66438193" w14:textId="1DBA5797" w:rsidR="00476BB3" w:rsidRDefault="00476BB3">
      <w:pPr>
        <w:rPr>
          <w:rFonts w:ascii="Arial" w:hAnsi="Arial" w:cs="Arial"/>
          <w:b/>
          <w:sz w:val="20"/>
        </w:rPr>
      </w:pPr>
    </w:p>
    <w:p w14:paraId="433BB281" w14:textId="77777777" w:rsidR="00573D28" w:rsidRDefault="00573D28">
      <w:pPr>
        <w:rPr>
          <w:rFonts w:ascii="Arial" w:hAnsi="Arial" w:cs="Arial"/>
          <w:b/>
          <w:sz w:val="20"/>
        </w:rPr>
      </w:pPr>
      <w:r>
        <w:rPr>
          <w:rFonts w:ascii="Arial" w:hAnsi="Arial" w:cs="Arial"/>
          <w:b/>
          <w:sz w:val="20"/>
        </w:rPr>
        <w:br w:type="page"/>
      </w:r>
    </w:p>
    <w:p w14:paraId="47A65E5E" w14:textId="538AAF35" w:rsidR="00CA3C16" w:rsidRPr="00DE0932" w:rsidRDefault="00E0658A" w:rsidP="00F74300">
      <w:pPr>
        <w:ind w:left="360" w:hanging="360"/>
        <w:rPr>
          <w:rFonts w:ascii="Arial" w:hAnsi="Arial" w:cs="Arial"/>
          <w:b/>
          <w:sz w:val="20"/>
        </w:rPr>
      </w:pPr>
      <w:r>
        <w:rPr>
          <w:rFonts w:ascii="Arial" w:hAnsi="Arial" w:cs="Arial"/>
          <w:b/>
          <w:sz w:val="20"/>
        </w:rPr>
        <w:lastRenderedPageBreak/>
        <w:t>8</w:t>
      </w:r>
      <w:r w:rsidR="007A7995" w:rsidRPr="00DE0932">
        <w:rPr>
          <w:rFonts w:ascii="Arial" w:hAnsi="Arial" w:cs="Arial"/>
          <w:b/>
          <w:sz w:val="20"/>
        </w:rPr>
        <w:t>.</w:t>
      </w:r>
      <w:r w:rsidR="007A7995" w:rsidRPr="00DE0932">
        <w:rPr>
          <w:rFonts w:ascii="Arial" w:hAnsi="Arial" w:cs="Arial"/>
          <w:b/>
          <w:sz w:val="20"/>
        </w:rPr>
        <w:tab/>
      </w:r>
      <w:r w:rsidR="00CA3C16" w:rsidRPr="00DE0932">
        <w:rPr>
          <w:rFonts w:ascii="Arial" w:hAnsi="Arial" w:cs="Arial"/>
          <w:b/>
          <w:sz w:val="20"/>
        </w:rPr>
        <w:t>LIQUIDITY AND CAPITAL RESOURCES</w:t>
      </w:r>
    </w:p>
    <w:p w14:paraId="547F0F51" w14:textId="77777777" w:rsidR="006B58CA" w:rsidRPr="00DE0932" w:rsidRDefault="006B58CA" w:rsidP="00CD7E54">
      <w:pPr>
        <w:spacing w:line="276" w:lineRule="auto"/>
        <w:ind w:left="567" w:hanging="567"/>
        <w:jc w:val="both"/>
        <w:rPr>
          <w:rFonts w:ascii="Arial" w:hAnsi="Arial" w:cs="Arial"/>
          <w:b/>
          <w:sz w:val="20"/>
        </w:rPr>
      </w:pPr>
    </w:p>
    <w:p w14:paraId="297B8818" w14:textId="6C4BBCA5" w:rsidR="00E11420" w:rsidRPr="00DE0932" w:rsidRDefault="00B90AE0" w:rsidP="00CD7E54">
      <w:pPr>
        <w:pStyle w:val="bn2"/>
        <w:spacing w:before="0" w:line="276" w:lineRule="auto"/>
        <w:ind w:left="0"/>
        <w:rPr>
          <w:rFonts w:cs="Arial"/>
        </w:rPr>
      </w:pPr>
      <w:r>
        <w:rPr>
          <w:rFonts w:cs="Arial"/>
        </w:rPr>
        <w:t>Kure</w:t>
      </w:r>
      <w:r w:rsidR="0060393C" w:rsidRPr="00647A6B">
        <w:rPr>
          <w:rFonts w:cs="Arial"/>
        </w:rPr>
        <w:t xml:space="preserve"> held </w:t>
      </w:r>
      <w:r w:rsidR="0060393C">
        <w:rPr>
          <w:rFonts w:cs="Arial"/>
        </w:rPr>
        <w:t>cash</w:t>
      </w:r>
      <w:r w:rsidR="00895F05">
        <w:rPr>
          <w:rFonts w:cs="Arial"/>
        </w:rPr>
        <w:t xml:space="preserve"> </w:t>
      </w:r>
      <w:r w:rsidR="00954921">
        <w:rPr>
          <w:rFonts w:cs="Arial"/>
        </w:rPr>
        <w:t>of $</w:t>
      </w:r>
      <w:r w:rsidR="00626FF5">
        <w:rPr>
          <w:rFonts w:cs="Arial"/>
        </w:rPr>
        <w:t>2</w:t>
      </w:r>
      <w:r w:rsidR="00954921">
        <w:rPr>
          <w:rFonts w:cs="Arial"/>
        </w:rPr>
        <w:t xml:space="preserve"> as </w:t>
      </w:r>
      <w:proofErr w:type="gramStart"/>
      <w:r w:rsidR="00954921">
        <w:rPr>
          <w:rFonts w:cs="Arial"/>
        </w:rPr>
        <w:t>at</w:t>
      </w:r>
      <w:proofErr w:type="gramEnd"/>
      <w:r w:rsidR="004056CE">
        <w:rPr>
          <w:rFonts w:cs="Arial"/>
        </w:rPr>
        <w:t xml:space="preserve"> </w:t>
      </w:r>
      <w:r w:rsidR="00573D28">
        <w:rPr>
          <w:rFonts w:cs="Arial"/>
        </w:rPr>
        <w:t>November 30</w:t>
      </w:r>
      <w:r w:rsidR="00E347D2">
        <w:rPr>
          <w:rFonts w:cs="Arial"/>
        </w:rPr>
        <w:t>, 202</w:t>
      </w:r>
      <w:r w:rsidR="00B27C68">
        <w:rPr>
          <w:rFonts w:cs="Arial"/>
        </w:rPr>
        <w:t>2</w:t>
      </w:r>
      <w:r w:rsidR="00C14CAD">
        <w:rPr>
          <w:rFonts w:cs="Arial"/>
        </w:rPr>
        <w:t xml:space="preserve"> (</w:t>
      </w:r>
      <w:r w:rsidR="0080372C">
        <w:rPr>
          <w:rFonts w:cs="Arial"/>
        </w:rPr>
        <w:t>August 31, 202</w:t>
      </w:r>
      <w:r w:rsidR="00573D28">
        <w:rPr>
          <w:rFonts w:cs="Arial"/>
        </w:rPr>
        <w:t xml:space="preserve">2 </w:t>
      </w:r>
      <w:r w:rsidR="00C14CAD">
        <w:rPr>
          <w:rFonts w:cs="Arial"/>
        </w:rPr>
        <w:t>- $</w:t>
      </w:r>
      <w:r w:rsidR="00573D28">
        <w:rPr>
          <w:rFonts w:cs="Arial"/>
        </w:rPr>
        <w:t>2</w:t>
      </w:r>
      <w:r w:rsidR="00C57924">
        <w:rPr>
          <w:rFonts w:cs="Arial"/>
        </w:rPr>
        <w:t>)</w:t>
      </w:r>
      <w:r w:rsidR="00C14CAD">
        <w:rPr>
          <w:rFonts w:cs="Arial"/>
        </w:rPr>
        <w:t>.</w:t>
      </w:r>
    </w:p>
    <w:p w14:paraId="0320C941" w14:textId="77777777" w:rsidR="004600A0" w:rsidRPr="000725DA" w:rsidRDefault="004600A0" w:rsidP="00CD7E54">
      <w:pPr>
        <w:spacing w:line="276" w:lineRule="auto"/>
        <w:jc w:val="both"/>
        <w:rPr>
          <w:rFonts w:ascii="Arial" w:hAnsi="Arial" w:cs="Arial"/>
          <w:sz w:val="20"/>
          <w:lang w:val="en-CA"/>
        </w:rPr>
      </w:pPr>
    </w:p>
    <w:p w14:paraId="05033B16" w14:textId="454A5539" w:rsidR="00476BB3" w:rsidRDefault="002723A4" w:rsidP="00CD7E54">
      <w:pPr>
        <w:pStyle w:val="FS1"/>
        <w:spacing w:line="276" w:lineRule="auto"/>
        <w:ind w:left="0" w:firstLine="0"/>
        <w:jc w:val="both"/>
        <w:rPr>
          <w:rFonts w:cs="Arial"/>
        </w:rPr>
      </w:pPr>
      <w:r w:rsidRPr="00DE0932">
        <w:rPr>
          <w:rFonts w:cs="Arial"/>
        </w:rPr>
        <w:t>Cash</w:t>
      </w:r>
      <w:r w:rsidR="00FC7FD6">
        <w:rPr>
          <w:rFonts w:cs="Arial"/>
        </w:rPr>
        <w:t xml:space="preserve"> used in</w:t>
      </w:r>
      <w:r w:rsidRPr="00DE0932">
        <w:rPr>
          <w:rFonts w:cs="Arial"/>
        </w:rPr>
        <w:t xml:space="preserve"> operating activities </w:t>
      </w:r>
      <w:r w:rsidR="008F390E">
        <w:rPr>
          <w:rFonts w:cs="Arial"/>
        </w:rPr>
        <w:t xml:space="preserve">for the </w:t>
      </w:r>
      <w:r w:rsidR="00573D28">
        <w:rPr>
          <w:rFonts w:cs="Arial"/>
        </w:rPr>
        <w:t>three months</w:t>
      </w:r>
      <w:r w:rsidR="00B73A8D">
        <w:rPr>
          <w:rFonts w:cs="Arial"/>
        </w:rPr>
        <w:t xml:space="preserve"> ended</w:t>
      </w:r>
      <w:r w:rsidR="00573D28">
        <w:rPr>
          <w:rFonts w:cs="Arial"/>
        </w:rPr>
        <w:t xml:space="preserve"> November 30</w:t>
      </w:r>
      <w:r w:rsidR="00B73A8D">
        <w:rPr>
          <w:rFonts w:cs="Arial"/>
        </w:rPr>
        <w:t>,</w:t>
      </w:r>
      <w:r w:rsidR="00E31807">
        <w:rPr>
          <w:rFonts w:cs="Arial"/>
        </w:rPr>
        <w:t xml:space="preserve"> 202</w:t>
      </w:r>
      <w:r w:rsidR="0002252A">
        <w:rPr>
          <w:rFonts w:cs="Arial"/>
        </w:rPr>
        <w:t>2</w:t>
      </w:r>
      <w:r w:rsidR="0033260A">
        <w:rPr>
          <w:rFonts w:cs="Arial"/>
        </w:rPr>
        <w:t xml:space="preserve"> </w:t>
      </w:r>
      <w:r w:rsidRPr="00DE0932">
        <w:rPr>
          <w:rFonts w:cs="Arial"/>
        </w:rPr>
        <w:t xml:space="preserve">was </w:t>
      </w:r>
      <w:r>
        <w:rPr>
          <w:rFonts w:cs="Arial"/>
        </w:rPr>
        <w:t>$</w:t>
      </w:r>
      <w:r w:rsidR="00573D28">
        <w:rPr>
          <w:rFonts w:cs="Arial"/>
        </w:rPr>
        <w:t>Nil</w:t>
      </w:r>
      <w:r w:rsidRPr="00DE0932">
        <w:rPr>
          <w:rFonts w:cs="Arial"/>
        </w:rPr>
        <w:t xml:space="preserve">, compared to </w:t>
      </w:r>
      <w:r w:rsidR="00217F78">
        <w:rPr>
          <w:rFonts w:cs="Arial"/>
        </w:rPr>
        <w:t>$</w:t>
      </w:r>
      <w:r w:rsidR="00D96FDD">
        <w:rPr>
          <w:rFonts w:cs="Arial"/>
        </w:rPr>
        <w:t>8</w:t>
      </w:r>
      <w:r w:rsidR="00D25C82">
        <w:rPr>
          <w:rFonts w:cs="Arial"/>
        </w:rPr>
        <w:t>5</w:t>
      </w:r>
      <w:r w:rsidRPr="00DE0932">
        <w:rPr>
          <w:rFonts w:cs="Arial"/>
        </w:rPr>
        <w:t xml:space="preserve"> for the</w:t>
      </w:r>
      <w:r w:rsidR="00784AAC">
        <w:rPr>
          <w:rFonts w:cs="Arial"/>
        </w:rPr>
        <w:t xml:space="preserve"> </w:t>
      </w:r>
      <w:r w:rsidR="00D25C82">
        <w:rPr>
          <w:rFonts w:cs="Arial"/>
        </w:rPr>
        <w:t xml:space="preserve">three months </w:t>
      </w:r>
      <w:r w:rsidR="00784AAC">
        <w:rPr>
          <w:rFonts w:cs="Arial"/>
        </w:rPr>
        <w:t>ended</w:t>
      </w:r>
      <w:r w:rsidR="00D25C82">
        <w:rPr>
          <w:rFonts w:cs="Arial"/>
        </w:rPr>
        <w:t xml:space="preserve"> November 30</w:t>
      </w:r>
      <w:r w:rsidR="000E109B">
        <w:rPr>
          <w:rFonts w:cs="Arial"/>
        </w:rPr>
        <w:t>,</w:t>
      </w:r>
      <w:r w:rsidR="00C0653E">
        <w:rPr>
          <w:rFonts w:cs="Arial"/>
        </w:rPr>
        <w:t xml:space="preserve"> </w:t>
      </w:r>
      <w:r w:rsidR="00D67A56">
        <w:rPr>
          <w:rFonts w:cs="Arial"/>
        </w:rPr>
        <w:t>202</w:t>
      </w:r>
      <w:r w:rsidR="00D3523A">
        <w:rPr>
          <w:rFonts w:cs="Arial"/>
        </w:rPr>
        <w:t>1</w:t>
      </w:r>
      <w:r w:rsidRPr="00DE0932">
        <w:rPr>
          <w:rFonts w:cs="Arial"/>
        </w:rPr>
        <w:t>.</w:t>
      </w:r>
      <w:r w:rsidR="00E37C34">
        <w:rPr>
          <w:rFonts w:cs="Arial"/>
        </w:rPr>
        <w:t xml:space="preserve"> </w:t>
      </w:r>
    </w:p>
    <w:p w14:paraId="66232D69" w14:textId="46CEC25D" w:rsidR="009F7FE4" w:rsidRDefault="00E37C34" w:rsidP="00CD7E54">
      <w:pPr>
        <w:pStyle w:val="FS1"/>
        <w:spacing w:line="276" w:lineRule="auto"/>
        <w:ind w:left="0" w:firstLine="0"/>
        <w:jc w:val="both"/>
        <w:rPr>
          <w:rFonts w:cs="Arial"/>
        </w:rPr>
      </w:pPr>
      <w:r>
        <w:rPr>
          <w:rFonts w:cs="Arial"/>
        </w:rPr>
        <w:t xml:space="preserve"> </w:t>
      </w:r>
    </w:p>
    <w:p w14:paraId="711A452C" w14:textId="78FD327F" w:rsidR="00841149" w:rsidRDefault="007C442F" w:rsidP="00E33309">
      <w:pPr>
        <w:pStyle w:val="FS1"/>
        <w:spacing w:line="276" w:lineRule="auto"/>
        <w:ind w:left="0" w:firstLine="0"/>
        <w:jc w:val="both"/>
        <w:rPr>
          <w:rFonts w:cs="Arial"/>
        </w:rPr>
      </w:pPr>
      <w:r>
        <w:rPr>
          <w:rFonts w:cs="Arial"/>
        </w:rPr>
        <w:t xml:space="preserve">There </w:t>
      </w:r>
      <w:proofErr w:type="gramStart"/>
      <w:r>
        <w:rPr>
          <w:rFonts w:cs="Arial"/>
        </w:rPr>
        <w:t>were</w:t>
      </w:r>
      <w:proofErr w:type="gramEnd"/>
      <w:r>
        <w:rPr>
          <w:rFonts w:cs="Arial"/>
        </w:rPr>
        <w:t xml:space="preserve"> </w:t>
      </w:r>
      <w:r w:rsidR="00A32508">
        <w:rPr>
          <w:rFonts w:cs="Arial"/>
        </w:rPr>
        <w:t xml:space="preserve">no </w:t>
      </w:r>
      <w:r w:rsidR="00E37C34">
        <w:rPr>
          <w:rFonts w:cs="Arial"/>
        </w:rPr>
        <w:t xml:space="preserve">financing or </w:t>
      </w:r>
      <w:r w:rsidR="001C6E03">
        <w:rPr>
          <w:rFonts w:cs="Arial"/>
        </w:rPr>
        <w:t>investing</w:t>
      </w:r>
      <w:r>
        <w:rPr>
          <w:rFonts w:cs="Arial"/>
        </w:rPr>
        <w:t xml:space="preserve"> activities during the</w:t>
      </w:r>
      <w:r w:rsidR="00B14D59">
        <w:rPr>
          <w:rFonts w:cs="Arial"/>
        </w:rPr>
        <w:t xml:space="preserve"> </w:t>
      </w:r>
      <w:r w:rsidR="00D25C82">
        <w:rPr>
          <w:rFonts w:cs="Arial"/>
        </w:rPr>
        <w:t>three months</w:t>
      </w:r>
      <w:r w:rsidR="0029500A">
        <w:rPr>
          <w:rFonts w:cs="Arial"/>
        </w:rPr>
        <w:t xml:space="preserve"> </w:t>
      </w:r>
      <w:r w:rsidR="002B5AEF">
        <w:rPr>
          <w:rFonts w:cs="Arial"/>
        </w:rPr>
        <w:t xml:space="preserve">ended </w:t>
      </w:r>
      <w:r w:rsidR="00D25C82">
        <w:rPr>
          <w:rFonts w:cs="Arial"/>
        </w:rPr>
        <w:t>November 30</w:t>
      </w:r>
      <w:r w:rsidR="00B73A8D">
        <w:rPr>
          <w:rFonts w:cs="Arial"/>
        </w:rPr>
        <w:t>,</w:t>
      </w:r>
      <w:r w:rsidR="00B14D59">
        <w:rPr>
          <w:rFonts w:cs="Arial"/>
        </w:rPr>
        <w:t xml:space="preserve"> 202</w:t>
      </w:r>
      <w:r w:rsidR="00D3523A">
        <w:rPr>
          <w:rFonts w:cs="Arial"/>
        </w:rPr>
        <w:t>2</w:t>
      </w:r>
      <w:r w:rsidR="00D25C82">
        <w:rPr>
          <w:rFonts w:cs="Arial"/>
        </w:rPr>
        <w:t xml:space="preserve"> and 2021</w:t>
      </w:r>
      <w:r w:rsidR="00D3523A">
        <w:rPr>
          <w:rFonts w:cs="Arial"/>
        </w:rPr>
        <w:t xml:space="preserve">.  </w:t>
      </w:r>
    </w:p>
    <w:p w14:paraId="04904801" w14:textId="77777777" w:rsidR="00841149" w:rsidRDefault="00841149" w:rsidP="00E33309">
      <w:pPr>
        <w:pStyle w:val="FS1"/>
        <w:spacing w:line="276" w:lineRule="auto"/>
        <w:ind w:left="0" w:firstLine="0"/>
        <w:jc w:val="both"/>
        <w:rPr>
          <w:rFonts w:cs="Arial"/>
        </w:rPr>
      </w:pPr>
    </w:p>
    <w:p w14:paraId="33357B6E" w14:textId="05239905" w:rsidR="007C3E73" w:rsidRDefault="00B90AE0" w:rsidP="00CD7E54">
      <w:pPr>
        <w:spacing w:line="276" w:lineRule="auto"/>
        <w:jc w:val="both"/>
        <w:rPr>
          <w:rFonts w:ascii="Arial" w:hAnsi="Arial" w:cs="Arial"/>
          <w:sz w:val="20"/>
        </w:rPr>
      </w:pPr>
      <w:r>
        <w:rPr>
          <w:rFonts w:ascii="Arial" w:hAnsi="Arial" w:cs="Arial"/>
          <w:sz w:val="20"/>
        </w:rPr>
        <w:t>Kure</w:t>
      </w:r>
      <w:r w:rsidR="007C3E73" w:rsidRPr="00647A6B">
        <w:rPr>
          <w:rFonts w:ascii="Arial" w:hAnsi="Arial" w:cs="Arial"/>
          <w:sz w:val="20"/>
        </w:rPr>
        <w:t xml:space="preserve"> has incurred operating losses and negative cash flows from operations in recent years.  </w:t>
      </w:r>
      <w:r>
        <w:rPr>
          <w:rFonts w:ascii="Arial" w:hAnsi="Arial" w:cs="Arial"/>
          <w:sz w:val="20"/>
        </w:rPr>
        <w:t>Kure</w:t>
      </w:r>
      <w:r w:rsidR="007C3E73" w:rsidRPr="00647A6B">
        <w:rPr>
          <w:rFonts w:ascii="Arial" w:hAnsi="Arial" w:cs="Arial"/>
          <w:sz w:val="20"/>
        </w:rPr>
        <w:t xml:space="preserve"> </w:t>
      </w:r>
      <w:r w:rsidR="00445061">
        <w:rPr>
          <w:rFonts w:ascii="Arial" w:hAnsi="Arial" w:cs="Arial"/>
          <w:sz w:val="20"/>
        </w:rPr>
        <w:t>will</w:t>
      </w:r>
      <w:r w:rsidR="007C3E73" w:rsidRPr="00647A6B">
        <w:rPr>
          <w:rFonts w:ascii="Arial" w:hAnsi="Arial" w:cs="Arial"/>
          <w:sz w:val="20"/>
        </w:rPr>
        <w:t xml:space="preserve"> need to raise cash and/or reduce its outstanding commitments in order to meet the needs of its existing operations and commitments, giving rise to doubt about </w:t>
      </w:r>
      <w:r>
        <w:rPr>
          <w:rFonts w:ascii="Arial" w:hAnsi="Arial" w:cs="Arial"/>
          <w:sz w:val="20"/>
        </w:rPr>
        <w:t>Kure</w:t>
      </w:r>
      <w:r w:rsidR="007C3E73" w:rsidRPr="00647A6B">
        <w:rPr>
          <w:rFonts w:ascii="Arial" w:hAnsi="Arial" w:cs="Arial"/>
          <w:sz w:val="20"/>
        </w:rPr>
        <w:t>’</w:t>
      </w:r>
      <w:r w:rsidR="00445061">
        <w:rPr>
          <w:rFonts w:ascii="Arial" w:hAnsi="Arial" w:cs="Arial"/>
          <w:sz w:val="20"/>
        </w:rPr>
        <w:t>s</w:t>
      </w:r>
      <w:r w:rsidR="007C3E73" w:rsidRPr="00647A6B">
        <w:rPr>
          <w:rFonts w:ascii="Arial" w:hAnsi="Arial" w:cs="Arial"/>
          <w:sz w:val="20"/>
        </w:rPr>
        <w:t xml:space="preserve"> use of the going concern.</w:t>
      </w:r>
      <w:r w:rsidR="007C3E73">
        <w:rPr>
          <w:rFonts w:ascii="Arial" w:hAnsi="Arial" w:cs="Arial"/>
          <w:sz w:val="20"/>
        </w:rPr>
        <w:t xml:space="preserve">  </w:t>
      </w:r>
    </w:p>
    <w:p w14:paraId="25CD09AC" w14:textId="77777777" w:rsidR="007C3E73" w:rsidRDefault="007C3E73" w:rsidP="00CD7E54">
      <w:pPr>
        <w:spacing w:line="276" w:lineRule="auto"/>
        <w:jc w:val="both"/>
        <w:rPr>
          <w:rFonts w:ascii="Arial" w:hAnsi="Arial" w:cs="Arial"/>
          <w:sz w:val="20"/>
        </w:rPr>
      </w:pPr>
    </w:p>
    <w:p w14:paraId="09A54DE6" w14:textId="3970AAE4" w:rsidR="004177BD" w:rsidRDefault="007C3E73" w:rsidP="006D08EF">
      <w:pPr>
        <w:spacing w:line="276" w:lineRule="auto"/>
        <w:jc w:val="both"/>
        <w:rPr>
          <w:rFonts w:ascii="Arial" w:hAnsi="Arial" w:cs="Arial"/>
          <w:sz w:val="20"/>
        </w:rPr>
      </w:pPr>
      <w:r>
        <w:rPr>
          <w:rFonts w:ascii="Arial" w:hAnsi="Arial" w:cs="Arial"/>
          <w:sz w:val="20"/>
        </w:rPr>
        <w:t>The Company’s</w:t>
      </w:r>
      <w:r w:rsidRPr="00647A6B">
        <w:rPr>
          <w:rFonts w:ascii="Arial" w:hAnsi="Arial" w:cs="Arial"/>
          <w:sz w:val="20"/>
        </w:rPr>
        <w:t xml:space="preserve"> approach to managing liquidity is to ensure, as far as possible, that it will have sufficient liquidity to meet its current liabilities when due.</w:t>
      </w:r>
    </w:p>
    <w:p w14:paraId="5DCB7DE1" w14:textId="77777777" w:rsidR="005537A0" w:rsidRDefault="005537A0" w:rsidP="006D08EF">
      <w:pPr>
        <w:spacing w:line="276" w:lineRule="auto"/>
        <w:jc w:val="both"/>
        <w:rPr>
          <w:rFonts w:ascii="Arial" w:hAnsi="Arial" w:cs="Arial"/>
          <w:b/>
          <w:sz w:val="20"/>
        </w:rPr>
      </w:pPr>
    </w:p>
    <w:p w14:paraId="2645D8C9" w14:textId="7647648F" w:rsidR="00D16321" w:rsidRPr="00DE0932" w:rsidRDefault="00E0658A" w:rsidP="002723A4">
      <w:pPr>
        <w:ind w:left="360" w:hanging="360"/>
        <w:rPr>
          <w:rFonts w:ascii="Arial" w:hAnsi="Arial" w:cs="Arial"/>
          <w:b/>
          <w:sz w:val="20"/>
        </w:rPr>
      </w:pPr>
      <w:r>
        <w:rPr>
          <w:rFonts w:ascii="Arial" w:hAnsi="Arial" w:cs="Arial"/>
          <w:b/>
          <w:sz w:val="20"/>
        </w:rPr>
        <w:t>9</w:t>
      </w:r>
      <w:r w:rsidR="00765845" w:rsidRPr="00DE0932">
        <w:rPr>
          <w:rFonts w:ascii="Arial" w:hAnsi="Arial" w:cs="Arial"/>
          <w:b/>
          <w:sz w:val="20"/>
        </w:rPr>
        <w:t>.</w:t>
      </w:r>
      <w:r w:rsidR="007A7995" w:rsidRPr="00DE0932">
        <w:rPr>
          <w:rFonts w:ascii="Arial" w:hAnsi="Arial" w:cs="Arial"/>
          <w:b/>
          <w:sz w:val="20"/>
        </w:rPr>
        <w:tab/>
      </w:r>
      <w:r w:rsidR="00CA3C16" w:rsidRPr="00DE0932">
        <w:rPr>
          <w:rFonts w:ascii="Arial" w:hAnsi="Arial" w:cs="Arial"/>
          <w:b/>
          <w:sz w:val="20"/>
        </w:rPr>
        <w:t>SHARE CAPITAL</w:t>
      </w:r>
    </w:p>
    <w:p w14:paraId="609A641E" w14:textId="77777777" w:rsidR="00D82FED" w:rsidRPr="00DE0932" w:rsidRDefault="00D82FED" w:rsidP="002072E6">
      <w:pPr>
        <w:spacing w:line="276" w:lineRule="auto"/>
        <w:jc w:val="both"/>
        <w:rPr>
          <w:rFonts w:ascii="Arial" w:hAnsi="Arial" w:cs="Arial"/>
          <w:sz w:val="20"/>
        </w:rPr>
      </w:pPr>
    </w:p>
    <w:p w14:paraId="11A70964" w14:textId="4EA79192" w:rsidR="00445061" w:rsidRDefault="00445061" w:rsidP="002072E6">
      <w:pPr>
        <w:pStyle w:val="bn2"/>
        <w:spacing w:before="0" w:line="276" w:lineRule="auto"/>
        <w:ind w:left="0"/>
        <w:rPr>
          <w:rFonts w:eastAsiaTheme="minorHAnsi" w:cs="Arial"/>
          <w:color w:val="000000"/>
        </w:rPr>
      </w:pPr>
      <w:r w:rsidRPr="00666419">
        <w:rPr>
          <w:rFonts w:cs="Arial"/>
        </w:rPr>
        <w:t xml:space="preserve">As </w:t>
      </w:r>
      <w:proofErr w:type="gramStart"/>
      <w:r w:rsidR="008446BD">
        <w:rPr>
          <w:rFonts w:cs="Arial"/>
        </w:rPr>
        <w:t>at</w:t>
      </w:r>
      <w:proofErr w:type="gramEnd"/>
      <w:r w:rsidR="008446BD">
        <w:rPr>
          <w:rFonts w:cs="Arial"/>
        </w:rPr>
        <w:t xml:space="preserve"> </w:t>
      </w:r>
      <w:r w:rsidR="00B41BF4">
        <w:rPr>
          <w:rFonts w:cs="Arial"/>
        </w:rPr>
        <w:t>August 31, 202</w:t>
      </w:r>
      <w:r w:rsidR="006D0622">
        <w:rPr>
          <w:rFonts w:cs="Arial"/>
        </w:rPr>
        <w:t>2 and November 30, 2022</w:t>
      </w:r>
      <w:r w:rsidR="0003045A">
        <w:rPr>
          <w:rFonts w:cs="Arial"/>
        </w:rPr>
        <w:t>,</w:t>
      </w:r>
      <w:r w:rsidR="000A129E">
        <w:rPr>
          <w:rFonts w:cs="Arial"/>
        </w:rPr>
        <w:t xml:space="preserve"> </w:t>
      </w:r>
      <w:r w:rsidRPr="00666419">
        <w:rPr>
          <w:rFonts w:eastAsiaTheme="minorHAnsi" w:cs="Arial"/>
          <w:color w:val="000000"/>
        </w:rPr>
        <w:t xml:space="preserve"> approximately 15,097,800 common shares in Kure were issued and outstanding.</w:t>
      </w:r>
      <w:r w:rsidR="00BD112D">
        <w:rPr>
          <w:rFonts w:eastAsiaTheme="minorHAnsi" w:cs="Arial"/>
          <w:color w:val="000000"/>
        </w:rPr>
        <w:t xml:space="preserve">  On December 19, 2022, 1,092,658 </w:t>
      </w:r>
      <w:r w:rsidR="002B5DA6">
        <w:rPr>
          <w:rFonts w:eastAsiaTheme="minorHAnsi" w:cs="Arial"/>
          <w:color w:val="000000"/>
        </w:rPr>
        <w:t xml:space="preserve">additional </w:t>
      </w:r>
      <w:r w:rsidR="00BD112D">
        <w:rPr>
          <w:rFonts w:eastAsiaTheme="minorHAnsi" w:cs="Arial"/>
          <w:color w:val="000000"/>
        </w:rPr>
        <w:t>shares were issued</w:t>
      </w:r>
      <w:r w:rsidR="002B5DA6">
        <w:rPr>
          <w:rFonts w:eastAsiaTheme="minorHAnsi" w:cs="Arial"/>
          <w:color w:val="000000"/>
        </w:rPr>
        <w:t xml:space="preserve"> for a</w:t>
      </w:r>
      <w:r w:rsidR="003B51FD">
        <w:rPr>
          <w:rFonts w:eastAsiaTheme="minorHAnsi" w:cs="Arial"/>
          <w:color w:val="000000"/>
        </w:rPr>
        <w:t xml:space="preserve"> tota</w:t>
      </w:r>
      <w:r w:rsidR="002B5DA6">
        <w:rPr>
          <w:rFonts w:eastAsiaTheme="minorHAnsi" w:cs="Arial"/>
          <w:color w:val="000000"/>
        </w:rPr>
        <w:t>l of</w:t>
      </w:r>
      <w:r w:rsidR="003B51FD">
        <w:rPr>
          <w:rFonts w:eastAsiaTheme="minorHAnsi" w:cs="Arial"/>
          <w:color w:val="000000"/>
        </w:rPr>
        <w:t xml:space="preserve"> 16,190,458</w:t>
      </w:r>
      <w:r w:rsidR="002B5DA6">
        <w:rPr>
          <w:rFonts w:eastAsiaTheme="minorHAnsi" w:cs="Arial"/>
          <w:color w:val="000000"/>
        </w:rPr>
        <w:t xml:space="preserve"> common shares outstanding</w:t>
      </w:r>
      <w:r w:rsidR="003B51FD">
        <w:rPr>
          <w:rFonts w:eastAsiaTheme="minorHAnsi" w:cs="Arial"/>
          <w:color w:val="000000"/>
        </w:rPr>
        <w:t>.  Refer to the section entitled “Overview – Convertible debentures”</w:t>
      </w:r>
      <w:r w:rsidR="00815B0C">
        <w:rPr>
          <w:rFonts w:eastAsiaTheme="minorHAnsi" w:cs="Arial"/>
          <w:color w:val="000000"/>
        </w:rPr>
        <w:t>.</w:t>
      </w:r>
    </w:p>
    <w:p w14:paraId="4CA6DA20" w14:textId="1E89BC27" w:rsidR="00E97F29" w:rsidRPr="00060FFE" w:rsidRDefault="00E97F29" w:rsidP="002072E6">
      <w:pPr>
        <w:spacing w:line="276" w:lineRule="auto"/>
        <w:rPr>
          <w:rFonts w:ascii="Arial" w:hAnsi="Arial" w:cs="Arial"/>
          <w:b/>
          <w:sz w:val="20"/>
          <w:lang w:val="en-CA"/>
        </w:rPr>
      </w:pPr>
    </w:p>
    <w:p w14:paraId="479F1EEE" w14:textId="4353DF1E" w:rsidR="007D081F" w:rsidRPr="00DE0932" w:rsidRDefault="00736E9A" w:rsidP="002072E6">
      <w:pPr>
        <w:spacing w:line="276" w:lineRule="auto"/>
        <w:ind w:left="360" w:hanging="360"/>
        <w:rPr>
          <w:rFonts w:ascii="Arial" w:hAnsi="Arial" w:cs="Arial"/>
          <w:b/>
          <w:sz w:val="20"/>
        </w:rPr>
      </w:pPr>
      <w:r>
        <w:rPr>
          <w:rFonts w:ascii="Arial" w:hAnsi="Arial" w:cs="Arial"/>
          <w:b/>
          <w:sz w:val="20"/>
        </w:rPr>
        <w:t>1</w:t>
      </w:r>
      <w:r w:rsidR="00E0658A">
        <w:rPr>
          <w:rFonts w:ascii="Arial" w:hAnsi="Arial" w:cs="Arial"/>
          <w:b/>
          <w:sz w:val="20"/>
        </w:rPr>
        <w:t>0</w:t>
      </w:r>
      <w:r w:rsidR="007D081F" w:rsidRPr="00DE0932">
        <w:rPr>
          <w:rFonts w:ascii="Arial" w:hAnsi="Arial" w:cs="Arial"/>
          <w:b/>
          <w:sz w:val="20"/>
        </w:rPr>
        <w:t>.</w:t>
      </w:r>
      <w:r w:rsidR="007D081F" w:rsidRPr="00DE0932">
        <w:rPr>
          <w:rFonts w:ascii="Arial" w:hAnsi="Arial" w:cs="Arial"/>
          <w:b/>
          <w:sz w:val="20"/>
        </w:rPr>
        <w:tab/>
        <w:t>STOCK BASED COMPENSATION</w:t>
      </w:r>
    </w:p>
    <w:p w14:paraId="3E7273E4" w14:textId="77777777" w:rsidR="005D41A6" w:rsidRPr="00DE0932" w:rsidRDefault="005D41A6" w:rsidP="002072E6">
      <w:pPr>
        <w:pStyle w:val="bn2"/>
        <w:spacing w:before="0" w:line="276" w:lineRule="auto"/>
        <w:rPr>
          <w:rFonts w:cs="Arial"/>
        </w:rPr>
      </w:pPr>
    </w:p>
    <w:p w14:paraId="11ACE94B" w14:textId="39262F57" w:rsidR="00DF5103" w:rsidRDefault="00B15D0F" w:rsidP="00105A4F">
      <w:pPr>
        <w:pStyle w:val="bn2"/>
        <w:spacing w:before="0" w:line="276" w:lineRule="auto"/>
        <w:ind w:left="0"/>
        <w:rPr>
          <w:rFonts w:cs="Arial"/>
        </w:rPr>
      </w:pPr>
      <w:r>
        <w:rPr>
          <w:rFonts w:cs="Arial"/>
        </w:rPr>
        <w:t>As at</w:t>
      </w:r>
      <w:r w:rsidR="00504D49">
        <w:rPr>
          <w:rFonts w:cs="Arial"/>
        </w:rPr>
        <w:t xml:space="preserve"> </w:t>
      </w:r>
      <w:r w:rsidR="00A21693">
        <w:rPr>
          <w:rFonts w:cs="Arial"/>
        </w:rPr>
        <w:t>August 31, 2022</w:t>
      </w:r>
      <w:r w:rsidR="007E02CF">
        <w:rPr>
          <w:rFonts w:cs="Arial"/>
        </w:rPr>
        <w:t xml:space="preserve">, </w:t>
      </w:r>
      <w:r w:rsidR="00A21693">
        <w:rPr>
          <w:rFonts w:cs="Arial"/>
        </w:rPr>
        <w:t>November 30</w:t>
      </w:r>
      <w:r w:rsidR="00324B28">
        <w:rPr>
          <w:rFonts w:cs="Arial"/>
        </w:rPr>
        <w:t>, 202</w:t>
      </w:r>
      <w:r w:rsidR="00915FD7">
        <w:rPr>
          <w:rFonts w:cs="Arial"/>
        </w:rPr>
        <w:t>2</w:t>
      </w:r>
      <w:r w:rsidR="00324B28">
        <w:rPr>
          <w:rFonts w:cs="Arial"/>
        </w:rPr>
        <w:t xml:space="preserve"> and</w:t>
      </w:r>
      <w:r w:rsidR="00626FF5">
        <w:rPr>
          <w:rFonts w:cs="Arial"/>
        </w:rPr>
        <w:t xml:space="preserve"> </w:t>
      </w:r>
      <w:r w:rsidR="00DA54E0">
        <w:rPr>
          <w:rFonts w:cs="Arial"/>
        </w:rPr>
        <w:t>January</w:t>
      </w:r>
      <w:r w:rsidR="00ED5617">
        <w:rPr>
          <w:rFonts w:cs="Arial"/>
        </w:rPr>
        <w:t xml:space="preserve"> </w:t>
      </w:r>
      <w:r w:rsidR="00A21693">
        <w:rPr>
          <w:rFonts w:cs="Arial"/>
        </w:rPr>
        <w:t>3</w:t>
      </w:r>
      <w:r w:rsidR="00BF271B">
        <w:rPr>
          <w:rFonts w:cs="Arial"/>
        </w:rPr>
        <w:t>1</w:t>
      </w:r>
      <w:r w:rsidR="007E02CF">
        <w:rPr>
          <w:rFonts w:cs="Arial"/>
        </w:rPr>
        <w:t>, 202</w:t>
      </w:r>
      <w:r w:rsidR="00DA54E0">
        <w:rPr>
          <w:rFonts w:cs="Arial"/>
        </w:rPr>
        <w:t>3</w:t>
      </w:r>
      <w:r>
        <w:rPr>
          <w:rFonts w:cs="Arial"/>
        </w:rPr>
        <w:t>, no stock opt</w:t>
      </w:r>
      <w:r w:rsidR="00E97F29">
        <w:rPr>
          <w:rFonts w:cs="Arial"/>
        </w:rPr>
        <w:t>ions were issued or outstanding, and no stock options were granted or expired.</w:t>
      </w:r>
      <w:r w:rsidR="0083421D">
        <w:rPr>
          <w:rFonts w:cs="Arial"/>
        </w:rPr>
        <w:t xml:space="preserve">  On December 19, 2022, 546,329 warrants were issued </w:t>
      </w:r>
      <w:r w:rsidR="00CA523F">
        <w:rPr>
          <w:rFonts w:cs="Arial"/>
        </w:rPr>
        <w:t>(refer to the section entitled “Overview – Convertible debentures”).</w:t>
      </w:r>
    </w:p>
    <w:p w14:paraId="125445C1" w14:textId="77777777" w:rsidR="0083285C" w:rsidRDefault="0083285C" w:rsidP="00105A4F">
      <w:pPr>
        <w:pStyle w:val="bn2"/>
        <w:spacing w:before="0" w:line="276" w:lineRule="auto"/>
        <w:ind w:left="0"/>
        <w:rPr>
          <w:rFonts w:cs="Arial"/>
          <w:b/>
        </w:rPr>
      </w:pPr>
    </w:p>
    <w:p w14:paraId="33D05E51" w14:textId="2A42F305" w:rsidR="00C12866" w:rsidRPr="00DE0932" w:rsidRDefault="006319A3" w:rsidP="00CD7E54">
      <w:pPr>
        <w:pStyle w:val="bn2"/>
        <w:tabs>
          <w:tab w:val="left" w:pos="360"/>
        </w:tabs>
        <w:spacing w:before="0" w:line="276" w:lineRule="auto"/>
        <w:ind w:left="360" w:hanging="360"/>
        <w:rPr>
          <w:rFonts w:cs="Arial"/>
          <w:b/>
        </w:rPr>
      </w:pPr>
      <w:r>
        <w:rPr>
          <w:rFonts w:cs="Arial"/>
          <w:b/>
        </w:rPr>
        <w:t>1</w:t>
      </w:r>
      <w:r w:rsidR="00E0658A">
        <w:rPr>
          <w:rFonts w:cs="Arial"/>
          <w:b/>
        </w:rPr>
        <w:t>1</w:t>
      </w:r>
      <w:r w:rsidR="00C12866" w:rsidRPr="00DE0932">
        <w:rPr>
          <w:rFonts w:cs="Arial"/>
          <w:b/>
        </w:rPr>
        <w:t>.</w:t>
      </w:r>
      <w:r w:rsidR="00C12866" w:rsidRPr="00DE0932">
        <w:rPr>
          <w:rFonts w:cs="Arial"/>
          <w:b/>
        </w:rPr>
        <w:tab/>
        <w:t>RELATED PARTY TRANSACTIONS</w:t>
      </w:r>
    </w:p>
    <w:p w14:paraId="5BBF0D89" w14:textId="77777777" w:rsidR="00BB1F8E" w:rsidRPr="00DE0932" w:rsidRDefault="00BB1F8E" w:rsidP="00CD7E54">
      <w:pPr>
        <w:pStyle w:val="bn2"/>
        <w:tabs>
          <w:tab w:val="left" w:pos="360"/>
        </w:tabs>
        <w:spacing w:before="0" w:line="276" w:lineRule="auto"/>
        <w:ind w:left="360" w:hanging="360"/>
        <w:rPr>
          <w:rFonts w:cs="Arial"/>
          <w:spacing w:val="-2"/>
        </w:rPr>
      </w:pPr>
    </w:p>
    <w:p w14:paraId="4B771EE1" w14:textId="0C22476F" w:rsidR="00585FD7" w:rsidRDefault="00585FD7" w:rsidP="00861D06">
      <w:pPr>
        <w:spacing w:line="276" w:lineRule="auto"/>
        <w:rPr>
          <w:rFonts w:ascii="Arial" w:hAnsi="Arial" w:cs="Arial"/>
          <w:b/>
          <w:sz w:val="20"/>
        </w:rPr>
      </w:pPr>
      <w:r w:rsidRPr="00861D06">
        <w:rPr>
          <w:rFonts w:ascii="Arial" w:hAnsi="Arial" w:cs="Arial"/>
          <w:b/>
          <w:sz w:val="20"/>
        </w:rPr>
        <w:t>Compensation of key management personnel</w:t>
      </w:r>
    </w:p>
    <w:p w14:paraId="37B1E63D" w14:textId="77777777" w:rsidR="00EF0A72" w:rsidRDefault="00B3455F" w:rsidP="007243E4">
      <w:pPr>
        <w:overflowPunct w:val="0"/>
        <w:autoSpaceDE w:val="0"/>
        <w:autoSpaceDN w:val="0"/>
        <w:adjustRightInd w:val="0"/>
        <w:spacing w:line="276" w:lineRule="auto"/>
        <w:jc w:val="both"/>
        <w:textAlignment w:val="baseline"/>
        <w:rPr>
          <w:rFonts w:ascii="Arial" w:hAnsi="Arial" w:cs="Arial"/>
          <w:sz w:val="20"/>
          <w:lang w:val="en-CA"/>
        </w:rPr>
      </w:pPr>
      <w:r w:rsidRPr="00B3455F">
        <w:rPr>
          <w:rFonts w:ascii="Arial" w:hAnsi="Arial" w:cs="Arial"/>
          <w:sz w:val="20"/>
          <w:lang w:val="en-CA"/>
        </w:rPr>
        <w:t>The Company’s key management personnel include</w:t>
      </w:r>
      <w:r w:rsidR="00AD7A7C">
        <w:rPr>
          <w:rFonts w:ascii="Arial" w:hAnsi="Arial" w:cs="Arial"/>
          <w:sz w:val="20"/>
          <w:lang w:val="en-CA"/>
        </w:rPr>
        <w:t>s</w:t>
      </w:r>
      <w:r w:rsidRPr="00B3455F">
        <w:rPr>
          <w:rFonts w:ascii="Arial" w:hAnsi="Arial" w:cs="Arial"/>
          <w:sz w:val="20"/>
          <w:lang w:val="en-CA"/>
        </w:rPr>
        <w:t xml:space="preserve"> members of the executive team and the board of directors of the Company and its wholly owned subsidiaries</w:t>
      </w:r>
      <w:r w:rsidR="00470E23">
        <w:rPr>
          <w:rFonts w:ascii="Arial" w:hAnsi="Arial" w:cs="Arial"/>
          <w:sz w:val="20"/>
          <w:lang w:val="en-CA"/>
        </w:rPr>
        <w:t>.</w:t>
      </w:r>
      <w:r w:rsidR="000E109B">
        <w:rPr>
          <w:rFonts w:ascii="Arial" w:hAnsi="Arial" w:cs="Arial"/>
          <w:sz w:val="20"/>
          <w:lang w:val="en-CA"/>
        </w:rPr>
        <w:t xml:space="preserve">  </w:t>
      </w:r>
    </w:p>
    <w:p w14:paraId="604DF846" w14:textId="77777777" w:rsidR="00EF0A72" w:rsidRDefault="00EF0A72" w:rsidP="007243E4">
      <w:pPr>
        <w:overflowPunct w:val="0"/>
        <w:autoSpaceDE w:val="0"/>
        <w:autoSpaceDN w:val="0"/>
        <w:adjustRightInd w:val="0"/>
        <w:spacing w:line="276" w:lineRule="auto"/>
        <w:jc w:val="both"/>
        <w:textAlignment w:val="baseline"/>
        <w:rPr>
          <w:rFonts w:ascii="Arial" w:hAnsi="Arial" w:cs="Arial"/>
          <w:sz w:val="20"/>
          <w:lang w:val="en-CA"/>
        </w:rPr>
      </w:pPr>
    </w:p>
    <w:p w14:paraId="78639B40" w14:textId="4341DA4C" w:rsidR="00551CAA" w:rsidRDefault="00300E21" w:rsidP="00551CAA">
      <w:pPr>
        <w:pStyle w:val="Heading4"/>
        <w:spacing w:line="276" w:lineRule="auto"/>
        <w:jc w:val="both"/>
        <w:rPr>
          <w:b w:val="0"/>
          <w:bCs w:val="0"/>
        </w:rPr>
      </w:pPr>
      <w:r w:rsidRPr="00551CAA">
        <w:rPr>
          <w:b w:val="0"/>
          <w:bCs w:val="0"/>
        </w:rPr>
        <w:t xml:space="preserve">Key management </w:t>
      </w:r>
      <w:r w:rsidR="005308F8" w:rsidRPr="00551CAA">
        <w:rPr>
          <w:b w:val="0"/>
          <w:bCs w:val="0"/>
        </w:rPr>
        <w:t>compensation</w:t>
      </w:r>
      <w:r w:rsidR="003A0D98" w:rsidRPr="00551CAA">
        <w:rPr>
          <w:b w:val="0"/>
          <w:bCs w:val="0"/>
        </w:rPr>
        <w:t xml:space="preserve"> is</w:t>
      </w:r>
      <w:r w:rsidRPr="00551CAA">
        <w:rPr>
          <w:b w:val="0"/>
          <w:bCs w:val="0"/>
        </w:rPr>
        <w:t xml:space="preserve"> as follows:</w:t>
      </w:r>
      <w:bookmarkStart w:id="1" w:name="_Hlk503777897"/>
    </w:p>
    <w:p w14:paraId="50607D9C" w14:textId="77777777" w:rsidR="000A09E9" w:rsidRPr="000A09E9" w:rsidRDefault="000A09E9" w:rsidP="000A09E9">
      <w:pPr>
        <w:rPr>
          <w:lang w:val="en-CA"/>
        </w:rPr>
      </w:pPr>
    </w:p>
    <w:tbl>
      <w:tblPr>
        <w:tblW w:w="9450" w:type="dxa"/>
        <w:tblInd w:w="-15" w:type="dxa"/>
        <w:tblLayout w:type="fixed"/>
        <w:tblLook w:val="0000" w:firstRow="0" w:lastRow="0" w:firstColumn="0" w:lastColumn="0" w:noHBand="0" w:noVBand="0"/>
      </w:tblPr>
      <w:tblGrid>
        <w:gridCol w:w="3240"/>
        <w:gridCol w:w="1620"/>
        <w:gridCol w:w="1620"/>
        <w:gridCol w:w="1530"/>
        <w:gridCol w:w="1440"/>
      </w:tblGrid>
      <w:tr w:rsidR="00551CAA" w:rsidRPr="00DE0932" w14:paraId="7DAF12C2" w14:textId="77777777" w:rsidTr="00612837">
        <w:trPr>
          <w:trHeight w:val="303"/>
        </w:trPr>
        <w:tc>
          <w:tcPr>
            <w:tcW w:w="3240" w:type="dxa"/>
            <w:tcBorders>
              <w:top w:val="single" w:sz="4" w:space="0" w:color="auto"/>
              <w:left w:val="single" w:sz="4" w:space="0" w:color="auto"/>
            </w:tcBorders>
            <w:vAlign w:val="center"/>
          </w:tcPr>
          <w:p w14:paraId="2047D8AB" w14:textId="77777777" w:rsidR="00551CAA" w:rsidRPr="00DE0932" w:rsidRDefault="00551CAA" w:rsidP="007C3E62">
            <w:pPr>
              <w:tabs>
                <w:tab w:val="left" w:pos="5400"/>
                <w:tab w:val="left" w:pos="7560"/>
              </w:tabs>
              <w:spacing w:line="276" w:lineRule="auto"/>
              <w:jc w:val="both"/>
              <w:rPr>
                <w:rFonts w:ascii="Arial" w:hAnsi="Arial" w:cs="Arial"/>
                <w:i/>
                <w:sz w:val="18"/>
                <w:szCs w:val="18"/>
              </w:rPr>
            </w:pPr>
          </w:p>
        </w:tc>
        <w:tc>
          <w:tcPr>
            <w:tcW w:w="3240" w:type="dxa"/>
            <w:gridSpan w:val="2"/>
            <w:tcBorders>
              <w:top w:val="single" w:sz="4" w:space="0" w:color="auto"/>
              <w:right w:val="single" w:sz="4" w:space="0" w:color="auto"/>
            </w:tcBorders>
            <w:shd w:val="clear" w:color="auto" w:fill="auto"/>
            <w:vAlign w:val="center"/>
          </w:tcPr>
          <w:p w14:paraId="355EE5F1" w14:textId="630A2325" w:rsidR="00551CAA" w:rsidRDefault="00551CAA" w:rsidP="007C3E62">
            <w:pPr>
              <w:spacing w:line="276" w:lineRule="auto"/>
              <w:jc w:val="center"/>
              <w:rPr>
                <w:rFonts w:ascii="Arial" w:hAnsi="Arial" w:cs="Arial"/>
                <w:b/>
                <w:sz w:val="18"/>
                <w:szCs w:val="18"/>
              </w:rPr>
            </w:pPr>
          </w:p>
        </w:tc>
        <w:tc>
          <w:tcPr>
            <w:tcW w:w="2970" w:type="dxa"/>
            <w:gridSpan w:val="2"/>
            <w:tcBorders>
              <w:top w:val="single" w:sz="6" w:space="0" w:color="auto"/>
              <w:left w:val="single" w:sz="4" w:space="0" w:color="auto"/>
              <w:bottom w:val="single" w:sz="6" w:space="0" w:color="auto"/>
              <w:right w:val="single" w:sz="6" w:space="0" w:color="auto"/>
            </w:tcBorders>
            <w:shd w:val="pct10" w:color="auto" w:fill="FFFFFF"/>
            <w:vAlign w:val="center"/>
          </w:tcPr>
          <w:p w14:paraId="20CDA6ED" w14:textId="77777777" w:rsidR="009A3175" w:rsidRDefault="009A3175" w:rsidP="00612837">
            <w:pPr>
              <w:spacing w:line="276" w:lineRule="auto"/>
              <w:jc w:val="center"/>
              <w:rPr>
                <w:rFonts w:ascii="Arial" w:hAnsi="Arial" w:cs="Arial"/>
                <w:b/>
                <w:sz w:val="18"/>
                <w:szCs w:val="18"/>
              </w:rPr>
            </w:pPr>
            <w:r>
              <w:rPr>
                <w:rFonts w:ascii="Arial" w:hAnsi="Arial" w:cs="Arial"/>
                <w:b/>
                <w:sz w:val="18"/>
                <w:szCs w:val="18"/>
              </w:rPr>
              <w:t xml:space="preserve">Three months </w:t>
            </w:r>
            <w:proofErr w:type="gramStart"/>
            <w:r>
              <w:rPr>
                <w:rFonts w:ascii="Arial" w:hAnsi="Arial" w:cs="Arial"/>
                <w:b/>
                <w:sz w:val="18"/>
                <w:szCs w:val="18"/>
              </w:rPr>
              <w:t>ended</w:t>
            </w:r>
            <w:proofErr w:type="gramEnd"/>
            <w:r>
              <w:rPr>
                <w:rFonts w:ascii="Arial" w:hAnsi="Arial" w:cs="Arial"/>
                <w:b/>
                <w:sz w:val="18"/>
                <w:szCs w:val="18"/>
              </w:rPr>
              <w:t xml:space="preserve"> </w:t>
            </w:r>
          </w:p>
          <w:p w14:paraId="10F76374" w14:textId="569EAFDD" w:rsidR="00551CAA" w:rsidRPr="00DE0932" w:rsidRDefault="009A3175" w:rsidP="00612837">
            <w:pPr>
              <w:spacing w:line="276" w:lineRule="auto"/>
              <w:jc w:val="center"/>
              <w:rPr>
                <w:rFonts w:ascii="Arial" w:hAnsi="Arial" w:cs="Arial"/>
                <w:b/>
                <w:sz w:val="18"/>
                <w:szCs w:val="18"/>
              </w:rPr>
            </w:pPr>
            <w:r>
              <w:rPr>
                <w:rFonts w:ascii="Arial" w:hAnsi="Arial" w:cs="Arial"/>
                <w:b/>
                <w:sz w:val="18"/>
                <w:szCs w:val="18"/>
              </w:rPr>
              <w:t>November 30</w:t>
            </w:r>
            <w:r w:rsidR="00551CAA">
              <w:rPr>
                <w:rFonts w:ascii="Arial" w:hAnsi="Arial" w:cs="Arial"/>
                <w:b/>
                <w:sz w:val="18"/>
                <w:szCs w:val="18"/>
              </w:rPr>
              <w:t>,</w:t>
            </w:r>
          </w:p>
        </w:tc>
      </w:tr>
      <w:tr w:rsidR="00551CAA" w:rsidRPr="00DE0932" w14:paraId="0EE73058" w14:textId="77777777" w:rsidTr="00612837">
        <w:trPr>
          <w:trHeight w:val="210"/>
        </w:trPr>
        <w:tc>
          <w:tcPr>
            <w:tcW w:w="3240" w:type="dxa"/>
            <w:tcBorders>
              <w:left w:val="single" w:sz="4" w:space="0" w:color="auto"/>
              <w:bottom w:val="single" w:sz="4" w:space="0" w:color="auto"/>
            </w:tcBorders>
            <w:vAlign w:val="center"/>
          </w:tcPr>
          <w:p w14:paraId="406F9077" w14:textId="77777777" w:rsidR="00551CAA" w:rsidRPr="00DE0932" w:rsidRDefault="00551CAA" w:rsidP="007C3E62">
            <w:pPr>
              <w:tabs>
                <w:tab w:val="left" w:pos="5400"/>
                <w:tab w:val="left" w:pos="7560"/>
              </w:tabs>
              <w:spacing w:line="276" w:lineRule="auto"/>
              <w:jc w:val="both"/>
              <w:rPr>
                <w:rFonts w:ascii="Arial" w:hAnsi="Arial" w:cs="Arial"/>
                <w:i/>
                <w:sz w:val="18"/>
                <w:szCs w:val="18"/>
              </w:rPr>
            </w:pPr>
          </w:p>
        </w:tc>
        <w:tc>
          <w:tcPr>
            <w:tcW w:w="1620" w:type="dxa"/>
            <w:tcBorders>
              <w:bottom w:val="single" w:sz="4" w:space="0" w:color="auto"/>
            </w:tcBorders>
            <w:shd w:val="clear" w:color="auto" w:fill="auto"/>
            <w:vAlign w:val="center"/>
          </w:tcPr>
          <w:p w14:paraId="130605F7" w14:textId="0AE6816C" w:rsidR="00551CAA" w:rsidRPr="00DE0932" w:rsidRDefault="00551CAA" w:rsidP="007C3E62">
            <w:pPr>
              <w:spacing w:line="276" w:lineRule="auto"/>
              <w:ind w:right="77"/>
              <w:jc w:val="right"/>
              <w:rPr>
                <w:rFonts w:ascii="Arial" w:hAnsi="Arial" w:cs="Arial"/>
                <w:b/>
                <w:sz w:val="18"/>
                <w:szCs w:val="18"/>
              </w:rPr>
            </w:pPr>
          </w:p>
        </w:tc>
        <w:tc>
          <w:tcPr>
            <w:tcW w:w="1620" w:type="dxa"/>
            <w:tcBorders>
              <w:bottom w:val="single" w:sz="4" w:space="0" w:color="auto"/>
              <w:right w:val="single" w:sz="4" w:space="0" w:color="auto"/>
            </w:tcBorders>
            <w:shd w:val="clear" w:color="auto" w:fill="auto"/>
            <w:vAlign w:val="center"/>
          </w:tcPr>
          <w:p w14:paraId="691F9B50" w14:textId="16F33289" w:rsidR="00551CAA" w:rsidRPr="007C7BC4" w:rsidRDefault="00551CAA" w:rsidP="007C3E62">
            <w:pPr>
              <w:spacing w:line="276" w:lineRule="auto"/>
              <w:ind w:right="77"/>
              <w:jc w:val="right"/>
              <w:rPr>
                <w:rFonts w:ascii="Arial" w:hAnsi="Arial" w:cs="Arial"/>
                <w:bCs/>
                <w:sz w:val="18"/>
                <w:szCs w:val="18"/>
              </w:rPr>
            </w:pPr>
          </w:p>
        </w:tc>
        <w:tc>
          <w:tcPr>
            <w:tcW w:w="1530" w:type="dxa"/>
            <w:tcBorders>
              <w:top w:val="single" w:sz="6" w:space="0" w:color="auto"/>
              <w:left w:val="single" w:sz="4" w:space="0" w:color="auto"/>
              <w:bottom w:val="single" w:sz="6" w:space="0" w:color="auto"/>
              <w:right w:val="single" w:sz="6" w:space="0" w:color="auto"/>
            </w:tcBorders>
            <w:shd w:val="pct10" w:color="auto" w:fill="FFFFFF"/>
            <w:vAlign w:val="center"/>
          </w:tcPr>
          <w:p w14:paraId="7C9629F2" w14:textId="77777777" w:rsidR="00551CAA" w:rsidRPr="00DE0932" w:rsidRDefault="00551CAA" w:rsidP="007C3E62">
            <w:pPr>
              <w:spacing w:line="276" w:lineRule="auto"/>
              <w:ind w:right="77"/>
              <w:jc w:val="right"/>
              <w:rPr>
                <w:rFonts w:ascii="Arial" w:hAnsi="Arial" w:cs="Arial"/>
                <w:b/>
                <w:sz w:val="18"/>
                <w:szCs w:val="18"/>
              </w:rPr>
            </w:pPr>
            <w:r>
              <w:rPr>
                <w:rFonts w:ascii="Arial" w:hAnsi="Arial" w:cs="Arial"/>
                <w:b/>
                <w:sz w:val="18"/>
                <w:szCs w:val="18"/>
              </w:rPr>
              <w:t>2022</w:t>
            </w:r>
          </w:p>
        </w:tc>
        <w:tc>
          <w:tcPr>
            <w:tcW w:w="1440" w:type="dxa"/>
            <w:tcBorders>
              <w:top w:val="single" w:sz="6" w:space="0" w:color="auto"/>
              <w:left w:val="single" w:sz="6" w:space="0" w:color="auto"/>
              <w:bottom w:val="single" w:sz="6" w:space="0" w:color="auto"/>
              <w:right w:val="single" w:sz="6" w:space="0" w:color="auto"/>
            </w:tcBorders>
            <w:vAlign w:val="center"/>
          </w:tcPr>
          <w:p w14:paraId="27D4199C" w14:textId="77777777" w:rsidR="00551CAA" w:rsidRPr="007C7BC4" w:rsidRDefault="00551CAA" w:rsidP="007C3E62">
            <w:pPr>
              <w:spacing w:line="276" w:lineRule="auto"/>
              <w:ind w:right="77"/>
              <w:jc w:val="right"/>
              <w:rPr>
                <w:rFonts w:ascii="Arial" w:hAnsi="Arial" w:cs="Arial"/>
                <w:bCs/>
                <w:sz w:val="18"/>
                <w:szCs w:val="18"/>
              </w:rPr>
            </w:pPr>
            <w:r>
              <w:rPr>
                <w:rFonts w:ascii="Arial" w:hAnsi="Arial" w:cs="Arial"/>
                <w:bCs/>
                <w:sz w:val="18"/>
                <w:szCs w:val="18"/>
              </w:rPr>
              <w:t>2021</w:t>
            </w:r>
          </w:p>
        </w:tc>
      </w:tr>
      <w:tr w:rsidR="00551CAA" w:rsidRPr="00DE0932" w14:paraId="425AFBC9" w14:textId="77777777" w:rsidTr="00612837">
        <w:trPr>
          <w:trHeight w:val="318"/>
        </w:trPr>
        <w:tc>
          <w:tcPr>
            <w:tcW w:w="3240" w:type="dxa"/>
            <w:tcBorders>
              <w:top w:val="single" w:sz="4" w:space="0" w:color="auto"/>
              <w:left w:val="single" w:sz="4" w:space="0" w:color="auto"/>
            </w:tcBorders>
            <w:vAlign w:val="bottom"/>
          </w:tcPr>
          <w:p w14:paraId="56365C0F" w14:textId="6180F9ED" w:rsidR="00551CAA" w:rsidRPr="00DE0932" w:rsidRDefault="00EC18F2" w:rsidP="007C3E62">
            <w:pPr>
              <w:tabs>
                <w:tab w:val="left" w:pos="5400"/>
                <w:tab w:val="left" w:pos="7560"/>
              </w:tabs>
              <w:spacing w:line="276" w:lineRule="auto"/>
              <w:rPr>
                <w:rFonts w:ascii="Arial" w:hAnsi="Arial" w:cs="Arial"/>
                <w:sz w:val="18"/>
                <w:szCs w:val="18"/>
              </w:rPr>
            </w:pPr>
            <w:r>
              <w:rPr>
                <w:rFonts w:ascii="Arial" w:hAnsi="Arial" w:cs="Arial"/>
                <w:sz w:val="18"/>
                <w:szCs w:val="18"/>
              </w:rPr>
              <w:t>Chief Executive Officer fees</w:t>
            </w:r>
          </w:p>
        </w:tc>
        <w:tc>
          <w:tcPr>
            <w:tcW w:w="1620" w:type="dxa"/>
            <w:tcBorders>
              <w:top w:val="single" w:sz="4" w:space="0" w:color="auto"/>
            </w:tcBorders>
            <w:shd w:val="clear" w:color="auto" w:fill="auto"/>
            <w:vAlign w:val="bottom"/>
          </w:tcPr>
          <w:p w14:paraId="7E769F36" w14:textId="39E6153B" w:rsidR="00551CAA" w:rsidRDefault="00551CAA" w:rsidP="007C3E62">
            <w:pPr>
              <w:tabs>
                <w:tab w:val="left" w:pos="612"/>
                <w:tab w:val="decimal" w:pos="1331"/>
              </w:tabs>
              <w:spacing w:line="276" w:lineRule="auto"/>
              <w:rPr>
                <w:rFonts w:ascii="Arial" w:hAnsi="Arial" w:cs="Arial"/>
                <w:b/>
                <w:sz w:val="18"/>
                <w:szCs w:val="18"/>
              </w:rPr>
            </w:pPr>
          </w:p>
        </w:tc>
        <w:tc>
          <w:tcPr>
            <w:tcW w:w="1620" w:type="dxa"/>
            <w:tcBorders>
              <w:top w:val="single" w:sz="4" w:space="0" w:color="auto"/>
              <w:right w:val="single" w:sz="4" w:space="0" w:color="auto"/>
            </w:tcBorders>
            <w:shd w:val="clear" w:color="auto" w:fill="auto"/>
            <w:vAlign w:val="bottom"/>
          </w:tcPr>
          <w:p w14:paraId="27C6CCCF" w14:textId="47FFC2EF" w:rsidR="00551CAA" w:rsidRPr="007C7BC4" w:rsidRDefault="00551CAA" w:rsidP="007C3E62">
            <w:pPr>
              <w:spacing w:line="276" w:lineRule="auto"/>
              <w:ind w:right="71"/>
              <w:jc w:val="right"/>
              <w:rPr>
                <w:rFonts w:ascii="Arial" w:hAnsi="Arial" w:cs="Arial"/>
                <w:bCs/>
                <w:sz w:val="18"/>
                <w:szCs w:val="18"/>
              </w:rPr>
            </w:pPr>
          </w:p>
        </w:tc>
        <w:tc>
          <w:tcPr>
            <w:tcW w:w="1530" w:type="dxa"/>
            <w:tcBorders>
              <w:top w:val="single" w:sz="6" w:space="0" w:color="auto"/>
              <w:left w:val="single" w:sz="4" w:space="0" w:color="auto"/>
              <w:right w:val="single" w:sz="6" w:space="0" w:color="auto"/>
            </w:tcBorders>
            <w:shd w:val="pct10" w:color="auto" w:fill="FFFFFF"/>
            <w:vAlign w:val="bottom"/>
          </w:tcPr>
          <w:p w14:paraId="10ABF426" w14:textId="2A34E1B9" w:rsidR="00551CAA" w:rsidRPr="00DE0932" w:rsidRDefault="00551CAA" w:rsidP="007C3E62">
            <w:pPr>
              <w:tabs>
                <w:tab w:val="left" w:pos="521"/>
                <w:tab w:val="decimal" w:pos="1241"/>
              </w:tabs>
              <w:spacing w:line="276" w:lineRule="auto"/>
              <w:rPr>
                <w:rFonts w:ascii="Arial" w:hAnsi="Arial" w:cs="Arial"/>
                <w:b/>
                <w:sz w:val="18"/>
                <w:szCs w:val="18"/>
              </w:rPr>
            </w:pPr>
            <w:r>
              <w:rPr>
                <w:rFonts w:ascii="Arial" w:hAnsi="Arial" w:cs="Arial"/>
                <w:b/>
                <w:sz w:val="18"/>
                <w:szCs w:val="18"/>
              </w:rPr>
              <w:tab/>
              <w:t>$</w:t>
            </w:r>
            <w:r>
              <w:rPr>
                <w:rFonts w:ascii="Arial" w:hAnsi="Arial" w:cs="Arial"/>
                <w:b/>
                <w:sz w:val="18"/>
                <w:szCs w:val="18"/>
              </w:rPr>
              <w:tab/>
            </w:r>
            <w:r w:rsidR="009A3175">
              <w:rPr>
                <w:rFonts w:ascii="Arial" w:hAnsi="Arial" w:cs="Arial"/>
                <w:b/>
                <w:sz w:val="18"/>
                <w:szCs w:val="18"/>
              </w:rPr>
              <w:t>14</w:t>
            </w:r>
          </w:p>
        </w:tc>
        <w:tc>
          <w:tcPr>
            <w:tcW w:w="1440" w:type="dxa"/>
            <w:tcBorders>
              <w:top w:val="single" w:sz="6" w:space="0" w:color="auto"/>
              <w:left w:val="single" w:sz="6" w:space="0" w:color="auto"/>
              <w:right w:val="single" w:sz="6" w:space="0" w:color="auto"/>
            </w:tcBorders>
            <w:vAlign w:val="bottom"/>
          </w:tcPr>
          <w:p w14:paraId="2FC20C34" w14:textId="2ED35BF0" w:rsidR="00551CAA" w:rsidRPr="007C7BC4" w:rsidRDefault="00551CAA" w:rsidP="007C3E62">
            <w:pPr>
              <w:tabs>
                <w:tab w:val="left" w:pos="435"/>
                <w:tab w:val="decimal" w:pos="1372"/>
              </w:tabs>
              <w:spacing w:line="276" w:lineRule="auto"/>
              <w:ind w:right="71"/>
              <w:rPr>
                <w:rFonts w:ascii="Arial" w:hAnsi="Arial" w:cs="Arial"/>
                <w:bCs/>
                <w:sz w:val="18"/>
                <w:szCs w:val="18"/>
              </w:rPr>
            </w:pPr>
            <w:r w:rsidRPr="007C7BC4">
              <w:rPr>
                <w:rFonts w:ascii="Arial" w:hAnsi="Arial" w:cs="Arial"/>
                <w:bCs/>
                <w:sz w:val="18"/>
                <w:szCs w:val="18"/>
              </w:rPr>
              <w:tab/>
              <w:t>$</w:t>
            </w:r>
            <w:r w:rsidRPr="007C7BC4">
              <w:rPr>
                <w:rFonts w:ascii="Arial" w:hAnsi="Arial" w:cs="Arial"/>
                <w:bCs/>
                <w:sz w:val="18"/>
                <w:szCs w:val="18"/>
              </w:rPr>
              <w:tab/>
            </w:r>
            <w:r w:rsidR="00EC18F2">
              <w:rPr>
                <w:rFonts w:ascii="Arial" w:hAnsi="Arial" w:cs="Arial"/>
                <w:bCs/>
                <w:sz w:val="18"/>
                <w:szCs w:val="18"/>
              </w:rPr>
              <w:t>1</w:t>
            </w:r>
            <w:r w:rsidR="009A3175">
              <w:rPr>
                <w:rFonts w:ascii="Arial" w:hAnsi="Arial" w:cs="Arial"/>
                <w:bCs/>
                <w:sz w:val="18"/>
                <w:szCs w:val="18"/>
              </w:rPr>
              <w:t>4</w:t>
            </w:r>
          </w:p>
        </w:tc>
      </w:tr>
      <w:tr w:rsidR="00551CAA" w:rsidRPr="00DE0932" w14:paraId="6418DA37" w14:textId="77777777" w:rsidTr="00612837">
        <w:trPr>
          <w:trHeight w:val="318"/>
        </w:trPr>
        <w:tc>
          <w:tcPr>
            <w:tcW w:w="3240" w:type="dxa"/>
            <w:tcBorders>
              <w:left w:val="single" w:sz="4" w:space="0" w:color="auto"/>
            </w:tcBorders>
            <w:vAlign w:val="bottom"/>
          </w:tcPr>
          <w:p w14:paraId="388CDF92" w14:textId="0AA0440D" w:rsidR="00551CAA" w:rsidRDefault="00EC18F2" w:rsidP="00551CAA">
            <w:pPr>
              <w:tabs>
                <w:tab w:val="left" w:pos="5400"/>
                <w:tab w:val="left" w:pos="7560"/>
              </w:tabs>
              <w:spacing w:line="276" w:lineRule="auto"/>
              <w:rPr>
                <w:rFonts w:ascii="Arial" w:hAnsi="Arial" w:cs="Arial"/>
                <w:sz w:val="18"/>
                <w:szCs w:val="18"/>
              </w:rPr>
            </w:pPr>
            <w:r>
              <w:rPr>
                <w:rFonts w:ascii="Arial" w:hAnsi="Arial" w:cs="Arial"/>
                <w:sz w:val="18"/>
                <w:szCs w:val="18"/>
              </w:rPr>
              <w:t>Chief Financial Officer fees</w:t>
            </w:r>
          </w:p>
        </w:tc>
        <w:tc>
          <w:tcPr>
            <w:tcW w:w="1620" w:type="dxa"/>
            <w:shd w:val="clear" w:color="auto" w:fill="auto"/>
            <w:vAlign w:val="bottom"/>
          </w:tcPr>
          <w:p w14:paraId="0F69B929" w14:textId="24C5A2E0" w:rsidR="00551CAA" w:rsidRDefault="00551CAA" w:rsidP="00551CAA">
            <w:pPr>
              <w:tabs>
                <w:tab w:val="left" w:pos="612"/>
                <w:tab w:val="decimal" w:pos="1331"/>
              </w:tabs>
              <w:spacing w:line="276" w:lineRule="auto"/>
              <w:rPr>
                <w:rFonts w:ascii="Arial" w:hAnsi="Arial" w:cs="Arial"/>
                <w:b/>
                <w:sz w:val="18"/>
                <w:szCs w:val="18"/>
              </w:rPr>
            </w:pPr>
          </w:p>
        </w:tc>
        <w:tc>
          <w:tcPr>
            <w:tcW w:w="1620" w:type="dxa"/>
            <w:tcBorders>
              <w:right w:val="single" w:sz="4" w:space="0" w:color="auto"/>
            </w:tcBorders>
            <w:shd w:val="clear" w:color="auto" w:fill="auto"/>
            <w:vAlign w:val="bottom"/>
          </w:tcPr>
          <w:p w14:paraId="65F11A8E" w14:textId="4AC93A12" w:rsidR="00551CAA" w:rsidRPr="007C7BC4" w:rsidRDefault="00551CAA" w:rsidP="00551CAA">
            <w:pPr>
              <w:spacing w:line="276" w:lineRule="auto"/>
              <w:ind w:right="71"/>
              <w:jc w:val="right"/>
              <w:rPr>
                <w:rFonts w:ascii="Arial" w:hAnsi="Arial" w:cs="Arial"/>
                <w:bCs/>
                <w:sz w:val="18"/>
                <w:szCs w:val="18"/>
              </w:rPr>
            </w:pPr>
          </w:p>
        </w:tc>
        <w:tc>
          <w:tcPr>
            <w:tcW w:w="1530" w:type="dxa"/>
            <w:tcBorders>
              <w:left w:val="single" w:sz="4" w:space="0" w:color="auto"/>
              <w:right w:val="single" w:sz="6" w:space="0" w:color="auto"/>
            </w:tcBorders>
            <w:shd w:val="pct10" w:color="auto" w:fill="FFFFFF"/>
            <w:vAlign w:val="bottom"/>
          </w:tcPr>
          <w:p w14:paraId="6D94B06B" w14:textId="47E446FA" w:rsidR="00551CAA" w:rsidRDefault="00551CAA" w:rsidP="00551CAA">
            <w:pPr>
              <w:tabs>
                <w:tab w:val="left" w:pos="521"/>
                <w:tab w:val="decimal" w:pos="1241"/>
              </w:tabs>
              <w:spacing w:line="276"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sidR="009A3175">
              <w:rPr>
                <w:rFonts w:ascii="Arial" w:hAnsi="Arial" w:cs="Arial"/>
                <w:b/>
                <w:sz w:val="18"/>
                <w:szCs w:val="18"/>
              </w:rPr>
              <w:t>14</w:t>
            </w:r>
          </w:p>
        </w:tc>
        <w:tc>
          <w:tcPr>
            <w:tcW w:w="1440" w:type="dxa"/>
            <w:tcBorders>
              <w:left w:val="single" w:sz="6" w:space="0" w:color="auto"/>
              <w:right w:val="single" w:sz="6" w:space="0" w:color="auto"/>
            </w:tcBorders>
            <w:vAlign w:val="bottom"/>
          </w:tcPr>
          <w:p w14:paraId="7C40FC38" w14:textId="0DF54190" w:rsidR="00551CAA" w:rsidRPr="007C7BC4" w:rsidRDefault="00551CAA" w:rsidP="00551CAA">
            <w:pPr>
              <w:tabs>
                <w:tab w:val="left" w:pos="435"/>
                <w:tab w:val="decimal" w:pos="1372"/>
              </w:tabs>
              <w:spacing w:line="276" w:lineRule="auto"/>
              <w:ind w:right="71"/>
              <w:rPr>
                <w:rFonts w:ascii="Arial" w:hAnsi="Arial" w:cs="Arial"/>
                <w:bCs/>
                <w:sz w:val="18"/>
                <w:szCs w:val="18"/>
              </w:rPr>
            </w:pPr>
            <w:r w:rsidRPr="007C7BC4">
              <w:rPr>
                <w:rFonts w:ascii="Arial" w:hAnsi="Arial" w:cs="Arial"/>
                <w:bCs/>
                <w:sz w:val="18"/>
                <w:szCs w:val="18"/>
              </w:rPr>
              <w:tab/>
            </w:r>
            <w:r w:rsidRPr="007C7BC4">
              <w:rPr>
                <w:rFonts w:ascii="Arial" w:hAnsi="Arial" w:cs="Arial"/>
                <w:bCs/>
                <w:sz w:val="18"/>
                <w:szCs w:val="18"/>
              </w:rPr>
              <w:tab/>
            </w:r>
            <w:r w:rsidR="009A3175">
              <w:rPr>
                <w:rFonts w:ascii="Arial" w:hAnsi="Arial" w:cs="Arial"/>
                <w:bCs/>
                <w:sz w:val="18"/>
                <w:szCs w:val="18"/>
              </w:rPr>
              <w:t>14</w:t>
            </w:r>
          </w:p>
        </w:tc>
      </w:tr>
      <w:tr w:rsidR="00551CAA" w:rsidRPr="00DE0932" w14:paraId="411B8050" w14:textId="77777777" w:rsidTr="00612837">
        <w:trPr>
          <w:trHeight w:val="318"/>
        </w:trPr>
        <w:tc>
          <w:tcPr>
            <w:tcW w:w="3240" w:type="dxa"/>
            <w:tcBorders>
              <w:left w:val="single" w:sz="4" w:space="0" w:color="auto"/>
              <w:bottom w:val="single" w:sz="4" w:space="0" w:color="auto"/>
            </w:tcBorders>
            <w:vAlign w:val="bottom"/>
          </w:tcPr>
          <w:p w14:paraId="377A2024" w14:textId="1A828AB4" w:rsidR="00551CAA" w:rsidRPr="00DE0932" w:rsidRDefault="00EC18F2" w:rsidP="00551CAA">
            <w:pPr>
              <w:tabs>
                <w:tab w:val="left" w:pos="5400"/>
                <w:tab w:val="left" w:pos="7560"/>
              </w:tabs>
              <w:spacing w:line="276" w:lineRule="auto"/>
              <w:rPr>
                <w:rFonts w:ascii="Arial" w:hAnsi="Arial" w:cs="Arial"/>
                <w:sz w:val="18"/>
                <w:szCs w:val="18"/>
              </w:rPr>
            </w:pPr>
            <w:r>
              <w:rPr>
                <w:rFonts w:ascii="Arial" w:hAnsi="Arial" w:cs="Arial"/>
                <w:sz w:val="18"/>
                <w:szCs w:val="18"/>
              </w:rPr>
              <w:t>Director fees</w:t>
            </w:r>
          </w:p>
        </w:tc>
        <w:tc>
          <w:tcPr>
            <w:tcW w:w="1620" w:type="dxa"/>
            <w:tcBorders>
              <w:bottom w:val="single" w:sz="4" w:space="0" w:color="auto"/>
            </w:tcBorders>
            <w:shd w:val="clear" w:color="auto" w:fill="auto"/>
            <w:vAlign w:val="bottom"/>
          </w:tcPr>
          <w:p w14:paraId="632FE1EA" w14:textId="02CB557A" w:rsidR="00551CAA" w:rsidRPr="00DE0932" w:rsidRDefault="00551CAA" w:rsidP="00551CAA">
            <w:pPr>
              <w:tabs>
                <w:tab w:val="decimal" w:pos="1331"/>
              </w:tabs>
              <w:spacing w:line="276" w:lineRule="auto"/>
              <w:rPr>
                <w:rFonts w:ascii="Arial" w:hAnsi="Arial" w:cs="Arial"/>
                <w:b/>
                <w:sz w:val="18"/>
                <w:szCs w:val="18"/>
              </w:rPr>
            </w:pPr>
          </w:p>
        </w:tc>
        <w:tc>
          <w:tcPr>
            <w:tcW w:w="1620" w:type="dxa"/>
            <w:tcBorders>
              <w:bottom w:val="single" w:sz="4" w:space="0" w:color="auto"/>
              <w:right w:val="single" w:sz="4" w:space="0" w:color="auto"/>
            </w:tcBorders>
            <w:shd w:val="clear" w:color="auto" w:fill="auto"/>
            <w:vAlign w:val="bottom"/>
          </w:tcPr>
          <w:p w14:paraId="3EFAA9DF" w14:textId="4D063926" w:rsidR="00551CAA" w:rsidRPr="007C7BC4" w:rsidRDefault="00551CAA" w:rsidP="00551CAA">
            <w:pPr>
              <w:spacing w:line="276" w:lineRule="auto"/>
              <w:ind w:right="71"/>
              <w:jc w:val="right"/>
              <w:rPr>
                <w:rFonts w:ascii="Arial" w:hAnsi="Arial" w:cs="Arial"/>
                <w:bCs/>
                <w:sz w:val="18"/>
                <w:szCs w:val="18"/>
              </w:rPr>
            </w:pPr>
          </w:p>
        </w:tc>
        <w:tc>
          <w:tcPr>
            <w:tcW w:w="1530" w:type="dxa"/>
            <w:tcBorders>
              <w:left w:val="single" w:sz="4" w:space="0" w:color="auto"/>
              <w:bottom w:val="single" w:sz="4" w:space="0" w:color="auto"/>
              <w:right w:val="single" w:sz="6" w:space="0" w:color="auto"/>
            </w:tcBorders>
            <w:shd w:val="pct10" w:color="auto" w:fill="FFFFFF"/>
            <w:vAlign w:val="bottom"/>
          </w:tcPr>
          <w:p w14:paraId="31539E03" w14:textId="78138DD9" w:rsidR="00551CAA" w:rsidRPr="00DE0932" w:rsidRDefault="00551CAA" w:rsidP="00551CAA">
            <w:pPr>
              <w:tabs>
                <w:tab w:val="left" w:pos="521"/>
                <w:tab w:val="decimal" w:pos="1241"/>
              </w:tabs>
              <w:spacing w:line="276" w:lineRule="auto"/>
              <w:rPr>
                <w:rFonts w:ascii="Arial" w:hAnsi="Arial" w:cs="Arial"/>
                <w:b/>
                <w:bCs/>
                <w:sz w:val="18"/>
                <w:szCs w:val="18"/>
              </w:rPr>
            </w:pPr>
            <w:r>
              <w:rPr>
                <w:rFonts w:ascii="Arial" w:hAnsi="Arial" w:cs="Arial"/>
                <w:b/>
                <w:sz w:val="18"/>
                <w:szCs w:val="18"/>
              </w:rPr>
              <w:tab/>
            </w:r>
            <w:r>
              <w:rPr>
                <w:rFonts w:ascii="Arial" w:hAnsi="Arial" w:cs="Arial"/>
                <w:b/>
                <w:sz w:val="18"/>
                <w:szCs w:val="18"/>
              </w:rPr>
              <w:tab/>
            </w:r>
            <w:r w:rsidR="009A3175">
              <w:rPr>
                <w:rFonts w:ascii="Arial" w:hAnsi="Arial" w:cs="Arial"/>
                <w:b/>
                <w:sz w:val="18"/>
                <w:szCs w:val="18"/>
              </w:rPr>
              <w:t>2</w:t>
            </w:r>
          </w:p>
        </w:tc>
        <w:tc>
          <w:tcPr>
            <w:tcW w:w="1440" w:type="dxa"/>
            <w:tcBorders>
              <w:left w:val="single" w:sz="6" w:space="0" w:color="auto"/>
              <w:bottom w:val="single" w:sz="4" w:space="0" w:color="auto"/>
              <w:right w:val="single" w:sz="6" w:space="0" w:color="auto"/>
            </w:tcBorders>
            <w:vAlign w:val="bottom"/>
          </w:tcPr>
          <w:p w14:paraId="6FE1B64C" w14:textId="0AFE0945" w:rsidR="00551CAA" w:rsidRPr="007C7BC4" w:rsidRDefault="009A3175" w:rsidP="00551CAA">
            <w:pPr>
              <w:tabs>
                <w:tab w:val="decimal" w:pos="1372"/>
              </w:tabs>
              <w:spacing w:line="276" w:lineRule="auto"/>
              <w:ind w:right="71"/>
              <w:rPr>
                <w:rFonts w:ascii="Arial" w:hAnsi="Arial" w:cs="Arial"/>
                <w:bCs/>
                <w:sz w:val="18"/>
                <w:szCs w:val="18"/>
              </w:rPr>
            </w:pPr>
            <w:r>
              <w:rPr>
                <w:rFonts w:ascii="Arial" w:hAnsi="Arial" w:cs="Arial"/>
                <w:bCs/>
                <w:sz w:val="18"/>
                <w:szCs w:val="18"/>
              </w:rPr>
              <w:t>2</w:t>
            </w:r>
          </w:p>
        </w:tc>
      </w:tr>
      <w:tr w:rsidR="00551CAA" w:rsidRPr="00DE0932" w14:paraId="3CD2F573" w14:textId="77777777" w:rsidTr="00612837">
        <w:trPr>
          <w:trHeight w:val="332"/>
        </w:trPr>
        <w:tc>
          <w:tcPr>
            <w:tcW w:w="3240" w:type="dxa"/>
            <w:tcBorders>
              <w:top w:val="single" w:sz="4" w:space="0" w:color="auto"/>
              <w:left w:val="single" w:sz="4" w:space="0" w:color="auto"/>
              <w:bottom w:val="single" w:sz="4" w:space="0" w:color="auto"/>
            </w:tcBorders>
            <w:vAlign w:val="bottom"/>
          </w:tcPr>
          <w:p w14:paraId="57165CE5" w14:textId="3719BE16" w:rsidR="00551CAA" w:rsidRPr="00DE0932" w:rsidRDefault="00551CAA" w:rsidP="00551CAA">
            <w:pPr>
              <w:tabs>
                <w:tab w:val="left" w:pos="5400"/>
                <w:tab w:val="left" w:pos="7560"/>
              </w:tabs>
              <w:spacing w:line="276" w:lineRule="auto"/>
              <w:rPr>
                <w:rFonts w:ascii="Arial" w:hAnsi="Arial" w:cs="Arial"/>
                <w:sz w:val="18"/>
                <w:szCs w:val="18"/>
              </w:rPr>
            </w:pPr>
          </w:p>
        </w:tc>
        <w:tc>
          <w:tcPr>
            <w:tcW w:w="1620" w:type="dxa"/>
            <w:tcBorders>
              <w:top w:val="single" w:sz="4" w:space="0" w:color="auto"/>
              <w:bottom w:val="single" w:sz="4" w:space="0" w:color="auto"/>
            </w:tcBorders>
            <w:shd w:val="clear" w:color="auto" w:fill="auto"/>
            <w:vAlign w:val="bottom"/>
          </w:tcPr>
          <w:p w14:paraId="0FF6A33F" w14:textId="4AB61D08" w:rsidR="00551CAA" w:rsidRPr="00DE0932" w:rsidRDefault="00551CAA" w:rsidP="00551CAA">
            <w:pPr>
              <w:tabs>
                <w:tab w:val="left" w:pos="612"/>
                <w:tab w:val="decimal" w:pos="1331"/>
              </w:tabs>
              <w:spacing w:line="276" w:lineRule="auto"/>
              <w:rPr>
                <w:rFonts w:ascii="Arial" w:hAnsi="Arial" w:cs="Arial"/>
                <w:b/>
                <w:sz w:val="18"/>
                <w:szCs w:val="18"/>
              </w:rPr>
            </w:pPr>
          </w:p>
        </w:tc>
        <w:tc>
          <w:tcPr>
            <w:tcW w:w="1620" w:type="dxa"/>
            <w:tcBorders>
              <w:top w:val="single" w:sz="4" w:space="0" w:color="auto"/>
              <w:bottom w:val="single" w:sz="4" w:space="0" w:color="auto"/>
              <w:right w:val="single" w:sz="4" w:space="0" w:color="auto"/>
            </w:tcBorders>
            <w:shd w:val="clear" w:color="auto" w:fill="auto"/>
            <w:vAlign w:val="bottom"/>
          </w:tcPr>
          <w:p w14:paraId="03E16A81" w14:textId="4D9AE7A9" w:rsidR="00551CAA" w:rsidRPr="007C7BC4" w:rsidRDefault="00551CAA" w:rsidP="00551CAA">
            <w:pPr>
              <w:spacing w:line="276" w:lineRule="auto"/>
              <w:ind w:right="71"/>
              <w:jc w:val="right"/>
              <w:rPr>
                <w:rFonts w:ascii="Arial" w:hAnsi="Arial" w:cs="Arial"/>
                <w:bCs/>
                <w:sz w:val="18"/>
                <w:szCs w:val="18"/>
              </w:rPr>
            </w:pPr>
          </w:p>
        </w:tc>
        <w:tc>
          <w:tcPr>
            <w:tcW w:w="1530" w:type="dxa"/>
            <w:tcBorders>
              <w:top w:val="single" w:sz="4" w:space="0" w:color="auto"/>
              <w:left w:val="single" w:sz="4" w:space="0" w:color="auto"/>
              <w:bottom w:val="single" w:sz="6" w:space="0" w:color="auto"/>
              <w:right w:val="single" w:sz="6" w:space="0" w:color="auto"/>
            </w:tcBorders>
            <w:shd w:val="pct10" w:color="auto" w:fill="FFFFFF"/>
            <w:vAlign w:val="bottom"/>
          </w:tcPr>
          <w:p w14:paraId="79BF7654" w14:textId="6BADCB23" w:rsidR="00551CAA" w:rsidRPr="00DE0932" w:rsidRDefault="00551CAA" w:rsidP="00551CAA">
            <w:pPr>
              <w:tabs>
                <w:tab w:val="left" w:pos="521"/>
                <w:tab w:val="decimal" w:pos="1241"/>
              </w:tabs>
              <w:spacing w:line="276" w:lineRule="auto"/>
              <w:rPr>
                <w:rFonts w:ascii="Arial" w:hAnsi="Arial" w:cs="Arial"/>
                <w:b/>
                <w:sz w:val="18"/>
                <w:szCs w:val="18"/>
              </w:rPr>
            </w:pPr>
            <w:r w:rsidRPr="00DE0932">
              <w:rPr>
                <w:rFonts w:ascii="Arial" w:hAnsi="Arial" w:cs="Arial"/>
                <w:b/>
                <w:sz w:val="18"/>
                <w:szCs w:val="18"/>
              </w:rPr>
              <w:tab/>
              <w:t>$</w:t>
            </w:r>
            <w:r w:rsidRPr="00DE0932">
              <w:rPr>
                <w:rFonts w:ascii="Arial" w:hAnsi="Arial" w:cs="Arial"/>
                <w:b/>
                <w:sz w:val="18"/>
                <w:szCs w:val="18"/>
              </w:rPr>
              <w:tab/>
            </w:r>
            <w:r w:rsidR="009A3175">
              <w:rPr>
                <w:rFonts w:ascii="Arial" w:hAnsi="Arial" w:cs="Arial"/>
                <w:b/>
                <w:sz w:val="18"/>
                <w:szCs w:val="18"/>
              </w:rPr>
              <w:t>30</w:t>
            </w:r>
          </w:p>
        </w:tc>
        <w:tc>
          <w:tcPr>
            <w:tcW w:w="1440" w:type="dxa"/>
            <w:tcBorders>
              <w:top w:val="single" w:sz="4" w:space="0" w:color="auto"/>
              <w:left w:val="single" w:sz="6" w:space="0" w:color="auto"/>
              <w:bottom w:val="single" w:sz="6" w:space="0" w:color="auto"/>
              <w:right w:val="single" w:sz="6" w:space="0" w:color="auto"/>
            </w:tcBorders>
            <w:vAlign w:val="bottom"/>
          </w:tcPr>
          <w:p w14:paraId="412B7FCF" w14:textId="5BC98E23" w:rsidR="00551CAA" w:rsidRPr="007C7BC4" w:rsidRDefault="00551CAA" w:rsidP="00551CAA">
            <w:pPr>
              <w:tabs>
                <w:tab w:val="left" w:pos="435"/>
                <w:tab w:val="decimal" w:pos="1372"/>
              </w:tabs>
              <w:spacing w:line="276" w:lineRule="auto"/>
              <w:ind w:right="71"/>
              <w:rPr>
                <w:rFonts w:ascii="Arial" w:hAnsi="Arial" w:cs="Arial"/>
                <w:bCs/>
                <w:sz w:val="18"/>
                <w:szCs w:val="18"/>
              </w:rPr>
            </w:pPr>
            <w:r w:rsidRPr="007C7BC4">
              <w:rPr>
                <w:rFonts w:ascii="Arial" w:hAnsi="Arial" w:cs="Arial"/>
                <w:bCs/>
                <w:sz w:val="18"/>
                <w:szCs w:val="18"/>
              </w:rPr>
              <w:tab/>
              <w:t>$</w:t>
            </w:r>
            <w:r w:rsidRPr="007C7BC4">
              <w:rPr>
                <w:rFonts w:ascii="Arial" w:hAnsi="Arial" w:cs="Arial"/>
                <w:bCs/>
                <w:sz w:val="18"/>
                <w:szCs w:val="18"/>
              </w:rPr>
              <w:tab/>
            </w:r>
            <w:r w:rsidR="009A3175">
              <w:rPr>
                <w:rFonts w:ascii="Arial" w:hAnsi="Arial" w:cs="Arial"/>
                <w:bCs/>
                <w:sz w:val="18"/>
                <w:szCs w:val="18"/>
              </w:rPr>
              <w:t>30</w:t>
            </w:r>
          </w:p>
        </w:tc>
      </w:tr>
    </w:tbl>
    <w:p w14:paraId="041F2109" w14:textId="77777777" w:rsidR="00551CAA" w:rsidRDefault="00551CAA" w:rsidP="00551CAA">
      <w:pPr>
        <w:pStyle w:val="Heading4"/>
        <w:spacing w:line="276" w:lineRule="auto"/>
        <w:jc w:val="both"/>
        <w:rPr>
          <w:szCs w:val="20"/>
        </w:rPr>
      </w:pPr>
    </w:p>
    <w:p w14:paraId="77B03B44" w14:textId="5AFAB42A" w:rsidR="00C05EFF" w:rsidRPr="00C05EFF" w:rsidRDefault="00C05EFF" w:rsidP="00CC7B8E">
      <w:pPr>
        <w:overflowPunct w:val="0"/>
        <w:autoSpaceDE w:val="0"/>
        <w:autoSpaceDN w:val="0"/>
        <w:adjustRightInd w:val="0"/>
        <w:spacing w:line="276" w:lineRule="auto"/>
        <w:jc w:val="both"/>
        <w:textAlignment w:val="baseline"/>
        <w:rPr>
          <w:rFonts w:ascii="Arial" w:hAnsi="Arial" w:cs="Arial"/>
          <w:sz w:val="24"/>
          <w:lang w:val="en-CA"/>
        </w:rPr>
      </w:pPr>
      <w:r w:rsidRPr="00C05EFF">
        <w:rPr>
          <w:rFonts w:ascii="Arial" w:hAnsi="Arial" w:cs="Arial"/>
          <w:sz w:val="20"/>
          <w:lang w:val="en-CA"/>
        </w:rPr>
        <w:t>There are no ongoing contractual or other commitments arising from these transactions with related parties.</w:t>
      </w:r>
      <w:bookmarkEnd w:id="1"/>
    </w:p>
    <w:p w14:paraId="75D8BC04" w14:textId="77777777" w:rsidR="00F31778" w:rsidRDefault="00F31778" w:rsidP="00861D06">
      <w:pPr>
        <w:pStyle w:val="bn1"/>
        <w:spacing w:before="0" w:line="276" w:lineRule="auto"/>
        <w:ind w:left="0"/>
        <w:rPr>
          <w:rFonts w:cs="Arial"/>
          <w:b/>
        </w:rPr>
      </w:pPr>
    </w:p>
    <w:p w14:paraId="71780DF6" w14:textId="77777777" w:rsidR="009A3175" w:rsidRDefault="009A3175">
      <w:pPr>
        <w:rPr>
          <w:rFonts w:ascii="Arial" w:hAnsi="Arial" w:cs="Arial"/>
          <w:b/>
          <w:sz w:val="20"/>
          <w:lang w:val="en-CA"/>
        </w:rPr>
      </w:pPr>
      <w:r>
        <w:rPr>
          <w:rFonts w:cs="Arial"/>
          <w:b/>
        </w:rPr>
        <w:br w:type="page"/>
      </w:r>
    </w:p>
    <w:p w14:paraId="4C6286A6" w14:textId="5E5EAF4D" w:rsidR="002F741F" w:rsidRPr="00DF7B97" w:rsidRDefault="002F741F" w:rsidP="00861D06">
      <w:pPr>
        <w:pStyle w:val="bn1"/>
        <w:spacing w:before="0" w:line="276" w:lineRule="auto"/>
        <w:ind w:left="0"/>
        <w:rPr>
          <w:rFonts w:cs="Arial"/>
          <w:b/>
        </w:rPr>
      </w:pPr>
      <w:r w:rsidRPr="00DF7B97">
        <w:rPr>
          <w:rFonts w:cs="Arial"/>
          <w:b/>
        </w:rPr>
        <w:lastRenderedPageBreak/>
        <w:t>Short-term loan</w:t>
      </w:r>
      <w:r w:rsidR="00923D90" w:rsidRPr="00DF7B97">
        <w:rPr>
          <w:rFonts w:cs="Arial"/>
          <w:b/>
        </w:rPr>
        <w:t>s</w:t>
      </w:r>
      <w:r w:rsidRPr="00DF7B97">
        <w:rPr>
          <w:rFonts w:cs="Arial"/>
          <w:b/>
        </w:rPr>
        <w:t xml:space="preserve"> </w:t>
      </w:r>
    </w:p>
    <w:p w14:paraId="485CAACC" w14:textId="17F7106B" w:rsidR="00AF119B" w:rsidRPr="00AF119B" w:rsidRDefault="00126DAD" w:rsidP="007D1EA6">
      <w:pPr>
        <w:overflowPunct w:val="0"/>
        <w:autoSpaceDE w:val="0"/>
        <w:autoSpaceDN w:val="0"/>
        <w:adjustRightInd w:val="0"/>
        <w:spacing w:line="276" w:lineRule="auto"/>
        <w:jc w:val="both"/>
        <w:textAlignment w:val="baseline"/>
        <w:rPr>
          <w:rFonts w:ascii="Arial" w:hAnsi="Arial" w:cs="Arial"/>
          <w:sz w:val="20"/>
          <w:lang w:val="en-CA"/>
        </w:rPr>
      </w:pPr>
      <w:r w:rsidRPr="00AF119B">
        <w:rPr>
          <w:rFonts w:ascii="Arial" w:hAnsi="Arial" w:cs="Arial"/>
          <w:sz w:val="20"/>
          <w:lang w:val="en-CA"/>
        </w:rPr>
        <w:t xml:space="preserve">Between </w:t>
      </w:r>
      <w:r w:rsidR="00FC142D">
        <w:rPr>
          <w:rFonts w:ascii="Arial" w:hAnsi="Arial" w:cs="Arial"/>
          <w:sz w:val="20"/>
          <w:lang w:val="en-CA"/>
        </w:rPr>
        <w:t>August 31</w:t>
      </w:r>
      <w:r w:rsidRPr="00AF119B">
        <w:rPr>
          <w:rFonts w:ascii="Arial" w:hAnsi="Arial" w:cs="Arial"/>
          <w:sz w:val="20"/>
          <w:lang w:val="en-CA"/>
        </w:rPr>
        <w:t>, 2018 and February 12, 2021, interim unsecured demand loans were extended to the Company by a director at an annual interest rate of 12%.</w:t>
      </w:r>
    </w:p>
    <w:p w14:paraId="7D13C9D3" w14:textId="77777777" w:rsidR="00AF119B" w:rsidRPr="00AF119B" w:rsidRDefault="00AF119B" w:rsidP="007D1EA6">
      <w:pPr>
        <w:overflowPunct w:val="0"/>
        <w:autoSpaceDE w:val="0"/>
        <w:autoSpaceDN w:val="0"/>
        <w:adjustRightInd w:val="0"/>
        <w:spacing w:line="276" w:lineRule="auto"/>
        <w:jc w:val="both"/>
        <w:textAlignment w:val="baseline"/>
        <w:rPr>
          <w:rFonts w:ascii="Arial" w:hAnsi="Arial" w:cs="Arial"/>
          <w:sz w:val="20"/>
          <w:lang w:val="en-CA"/>
        </w:rPr>
      </w:pPr>
    </w:p>
    <w:p w14:paraId="3F2DB887" w14:textId="20BFB379" w:rsidR="007D1EA6" w:rsidRDefault="007D1EA6" w:rsidP="007D1EA6">
      <w:pPr>
        <w:overflowPunct w:val="0"/>
        <w:autoSpaceDE w:val="0"/>
        <w:autoSpaceDN w:val="0"/>
        <w:adjustRightInd w:val="0"/>
        <w:spacing w:line="276" w:lineRule="auto"/>
        <w:jc w:val="both"/>
        <w:textAlignment w:val="baseline"/>
        <w:rPr>
          <w:rFonts w:ascii="Arial" w:hAnsi="Arial" w:cs="Arial"/>
          <w:sz w:val="20"/>
          <w:lang w:val="en-CA"/>
        </w:rPr>
      </w:pPr>
      <w:r w:rsidRPr="007D1EA6">
        <w:rPr>
          <w:rFonts w:ascii="Arial" w:hAnsi="Arial" w:cs="Arial"/>
          <w:sz w:val="20"/>
          <w:lang w:val="en-CA"/>
        </w:rPr>
        <w:t>Details of the balance on the loans are as follows:</w:t>
      </w:r>
    </w:p>
    <w:p w14:paraId="7554EEB6" w14:textId="77777777" w:rsidR="000A09E9" w:rsidRPr="007D1EA6" w:rsidRDefault="000A09E9" w:rsidP="007D1EA6">
      <w:pPr>
        <w:overflowPunct w:val="0"/>
        <w:autoSpaceDE w:val="0"/>
        <w:autoSpaceDN w:val="0"/>
        <w:adjustRightInd w:val="0"/>
        <w:spacing w:line="276" w:lineRule="auto"/>
        <w:jc w:val="both"/>
        <w:textAlignment w:val="baseline"/>
        <w:rPr>
          <w:rFonts w:ascii="Arial" w:hAnsi="Arial" w:cs="Arial"/>
          <w:sz w:val="20"/>
          <w:lang w:val="en-CA"/>
        </w:rPr>
      </w:pPr>
    </w:p>
    <w:tbl>
      <w:tblPr>
        <w:tblStyle w:val="TableGrid2"/>
        <w:tblW w:w="94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74"/>
        <w:gridCol w:w="1475"/>
        <w:gridCol w:w="266"/>
        <w:gridCol w:w="1534"/>
      </w:tblGrid>
      <w:tr w:rsidR="00E63B72" w:rsidRPr="00A82A30" w14:paraId="4DF447CB" w14:textId="77777777" w:rsidTr="00EA5D34">
        <w:trPr>
          <w:trHeight w:val="273"/>
        </w:trPr>
        <w:tc>
          <w:tcPr>
            <w:tcW w:w="5760" w:type="dxa"/>
            <w:tcBorders>
              <w:top w:val="single" w:sz="4" w:space="0" w:color="auto"/>
              <w:left w:val="single" w:sz="4" w:space="0" w:color="auto"/>
              <w:bottom w:val="single" w:sz="4" w:space="0" w:color="auto"/>
              <w:right w:val="single" w:sz="4" w:space="0" w:color="auto"/>
            </w:tcBorders>
          </w:tcPr>
          <w:p w14:paraId="1D59223F" w14:textId="77777777" w:rsidR="00E63B72" w:rsidRPr="00A82A30" w:rsidRDefault="00E63B72" w:rsidP="000C7418">
            <w:pPr>
              <w:ind w:left="-559"/>
              <w:rPr>
                <w:rFonts w:ascii="Arial" w:hAnsi="Arial" w:cs="Arial"/>
                <w:sz w:val="18"/>
                <w:szCs w:val="18"/>
                <w:lang w:val="en-CA" w:eastAsia="en-CA"/>
              </w:rPr>
            </w:pPr>
          </w:p>
        </w:tc>
        <w:tc>
          <w:tcPr>
            <w:tcW w:w="1849" w:type="dxa"/>
            <w:gridSpan w:val="2"/>
            <w:tcBorders>
              <w:top w:val="single" w:sz="4" w:space="0" w:color="auto"/>
              <w:left w:val="single" w:sz="4" w:space="0" w:color="auto"/>
              <w:bottom w:val="single" w:sz="4" w:space="0" w:color="auto"/>
              <w:right w:val="single" w:sz="4" w:space="0" w:color="auto"/>
            </w:tcBorders>
            <w:shd w:val="pct5" w:color="auto" w:fill="auto"/>
          </w:tcPr>
          <w:p w14:paraId="4E8EF65A" w14:textId="4D8F628D" w:rsidR="00A84908" w:rsidRDefault="005D5107" w:rsidP="00A82A30">
            <w:pPr>
              <w:jc w:val="right"/>
              <w:rPr>
                <w:rFonts w:ascii="Arial" w:hAnsi="Arial" w:cs="Arial"/>
                <w:b/>
                <w:sz w:val="18"/>
                <w:szCs w:val="18"/>
                <w:lang w:val="en-CA" w:eastAsia="en-CA"/>
              </w:rPr>
            </w:pPr>
            <w:r>
              <w:rPr>
                <w:rFonts w:ascii="Arial" w:hAnsi="Arial" w:cs="Arial"/>
                <w:b/>
                <w:sz w:val="18"/>
                <w:szCs w:val="18"/>
                <w:lang w:val="en-CA" w:eastAsia="en-CA"/>
              </w:rPr>
              <w:t>November 30</w:t>
            </w:r>
            <w:r w:rsidR="00A84908">
              <w:rPr>
                <w:rFonts w:ascii="Arial" w:hAnsi="Arial" w:cs="Arial"/>
                <w:b/>
                <w:sz w:val="18"/>
                <w:szCs w:val="18"/>
                <w:lang w:val="en-CA" w:eastAsia="en-CA"/>
              </w:rPr>
              <w:t>,</w:t>
            </w:r>
          </w:p>
          <w:p w14:paraId="7F8381F5" w14:textId="1D231A78" w:rsidR="00E63B72" w:rsidRDefault="00E63B72" w:rsidP="00A82A30">
            <w:pPr>
              <w:jc w:val="right"/>
              <w:rPr>
                <w:rFonts w:ascii="Arial" w:hAnsi="Arial" w:cs="Arial"/>
                <w:b/>
                <w:sz w:val="18"/>
                <w:szCs w:val="18"/>
                <w:lang w:val="en-CA" w:eastAsia="en-CA"/>
              </w:rPr>
            </w:pPr>
            <w:r>
              <w:rPr>
                <w:rFonts w:ascii="Arial" w:hAnsi="Arial" w:cs="Arial"/>
                <w:b/>
                <w:sz w:val="18"/>
                <w:szCs w:val="18"/>
                <w:lang w:val="en-CA" w:eastAsia="en-CA"/>
              </w:rPr>
              <w:t>202</w:t>
            </w:r>
            <w:r w:rsidR="00D67118">
              <w:rPr>
                <w:rFonts w:ascii="Arial" w:hAnsi="Arial" w:cs="Arial"/>
                <w:b/>
                <w:sz w:val="18"/>
                <w:szCs w:val="18"/>
                <w:lang w:val="en-CA" w:eastAsia="en-CA"/>
              </w:rPr>
              <w:t>2</w:t>
            </w:r>
          </w:p>
        </w:tc>
        <w:tc>
          <w:tcPr>
            <w:tcW w:w="1800" w:type="dxa"/>
            <w:gridSpan w:val="2"/>
            <w:tcBorders>
              <w:top w:val="single" w:sz="4" w:space="0" w:color="auto"/>
              <w:left w:val="single" w:sz="4" w:space="0" w:color="auto"/>
              <w:bottom w:val="single" w:sz="4" w:space="0" w:color="auto"/>
              <w:right w:val="single" w:sz="4" w:space="0" w:color="auto"/>
            </w:tcBorders>
          </w:tcPr>
          <w:p w14:paraId="1BA9ABCC" w14:textId="77777777" w:rsidR="00A84908" w:rsidRDefault="00A84908" w:rsidP="00A82A30">
            <w:pPr>
              <w:jc w:val="right"/>
              <w:rPr>
                <w:rFonts w:ascii="Arial" w:hAnsi="Arial" w:cs="Arial"/>
                <w:sz w:val="18"/>
                <w:szCs w:val="18"/>
                <w:lang w:val="en-CA" w:eastAsia="en-CA"/>
              </w:rPr>
            </w:pPr>
            <w:r>
              <w:rPr>
                <w:rFonts w:ascii="Arial" w:hAnsi="Arial" w:cs="Arial"/>
                <w:sz w:val="18"/>
                <w:szCs w:val="18"/>
                <w:lang w:val="en-CA" w:eastAsia="en-CA"/>
              </w:rPr>
              <w:t xml:space="preserve">August 31, </w:t>
            </w:r>
          </w:p>
          <w:p w14:paraId="731D813F" w14:textId="41FE2CEF" w:rsidR="00E63B72" w:rsidRPr="00A82A30" w:rsidRDefault="00E63B72" w:rsidP="00A82A30">
            <w:pPr>
              <w:jc w:val="right"/>
              <w:rPr>
                <w:rFonts w:ascii="Arial" w:hAnsi="Arial" w:cs="Arial"/>
                <w:sz w:val="18"/>
                <w:szCs w:val="18"/>
                <w:lang w:val="en-CA" w:eastAsia="en-CA"/>
              </w:rPr>
            </w:pPr>
            <w:r>
              <w:rPr>
                <w:rFonts w:ascii="Arial" w:hAnsi="Arial" w:cs="Arial"/>
                <w:sz w:val="18"/>
                <w:szCs w:val="18"/>
                <w:lang w:val="en-CA" w:eastAsia="en-CA"/>
              </w:rPr>
              <w:t>202</w:t>
            </w:r>
            <w:r w:rsidR="005D5107">
              <w:rPr>
                <w:rFonts w:ascii="Arial" w:hAnsi="Arial" w:cs="Arial"/>
                <w:sz w:val="18"/>
                <w:szCs w:val="18"/>
                <w:lang w:val="en-CA" w:eastAsia="en-CA"/>
              </w:rPr>
              <w:t>2</w:t>
            </w:r>
          </w:p>
        </w:tc>
      </w:tr>
      <w:tr w:rsidR="00555243" w:rsidRPr="00A82A30" w14:paraId="03B91B8D" w14:textId="77777777" w:rsidTr="00EA5D34">
        <w:trPr>
          <w:trHeight w:val="272"/>
        </w:trPr>
        <w:tc>
          <w:tcPr>
            <w:tcW w:w="5760" w:type="dxa"/>
            <w:tcBorders>
              <w:top w:val="single" w:sz="4" w:space="0" w:color="auto"/>
              <w:left w:val="single" w:sz="4" w:space="0" w:color="auto"/>
              <w:right w:val="single" w:sz="4" w:space="0" w:color="auto"/>
            </w:tcBorders>
            <w:vAlign w:val="bottom"/>
          </w:tcPr>
          <w:p w14:paraId="733478E6" w14:textId="4402B388" w:rsidR="00A82A30" w:rsidRPr="00A82A30" w:rsidRDefault="00BD66DB" w:rsidP="00A82A30">
            <w:pPr>
              <w:ind w:left="73"/>
              <w:rPr>
                <w:rFonts w:ascii="Arial" w:hAnsi="Arial" w:cs="Arial"/>
                <w:sz w:val="18"/>
                <w:szCs w:val="18"/>
                <w:lang w:val="en-CA" w:eastAsia="en-CA"/>
              </w:rPr>
            </w:pPr>
            <w:r>
              <w:rPr>
                <w:rFonts w:ascii="Arial" w:hAnsi="Arial" w:cs="Arial"/>
                <w:sz w:val="18"/>
                <w:szCs w:val="18"/>
                <w:lang w:val="en-CA" w:eastAsia="en-CA"/>
              </w:rPr>
              <w:t>Balance, ope</w:t>
            </w:r>
            <w:r w:rsidR="007F2438">
              <w:rPr>
                <w:rFonts w:ascii="Arial" w:hAnsi="Arial" w:cs="Arial"/>
                <w:sz w:val="18"/>
                <w:szCs w:val="18"/>
                <w:lang w:val="en-CA" w:eastAsia="en-CA"/>
              </w:rPr>
              <w:t>n</w:t>
            </w:r>
            <w:r>
              <w:rPr>
                <w:rFonts w:ascii="Arial" w:hAnsi="Arial" w:cs="Arial"/>
                <w:sz w:val="18"/>
                <w:szCs w:val="18"/>
                <w:lang w:val="en-CA" w:eastAsia="en-CA"/>
              </w:rPr>
              <w:t>ing</w:t>
            </w:r>
          </w:p>
        </w:tc>
        <w:tc>
          <w:tcPr>
            <w:tcW w:w="374" w:type="dxa"/>
            <w:tcBorders>
              <w:top w:val="single" w:sz="4" w:space="0" w:color="auto"/>
              <w:left w:val="single" w:sz="4" w:space="0" w:color="auto"/>
            </w:tcBorders>
            <w:shd w:val="pct5" w:color="auto" w:fill="auto"/>
            <w:vAlign w:val="bottom"/>
          </w:tcPr>
          <w:p w14:paraId="3F0F1095" w14:textId="2D15EC55" w:rsidR="00A82A30" w:rsidRPr="00A82A30" w:rsidRDefault="00A82A30" w:rsidP="00A82A30">
            <w:pPr>
              <w:jc w:val="right"/>
              <w:rPr>
                <w:rFonts w:ascii="Arial" w:hAnsi="Arial" w:cs="Arial"/>
                <w:b/>
                <w:sz w:val="18"/>
                <w:szCs w:val="18"/>
                <w:lang w:val="en-CA" w:eastAsia="en-CA"/>
              </w:rPr>
            </w:pPr>
          </w:p>
        </w:tc>
        <w:tc>
          <w:tcPr>
            <w:tcW w:w="1475" w:type="dxa"/>
            <w:tcBorders>
              <w:top w:val="single" w:sz="4" w:space="0" w:color="auto"/>
              <w:right w:val="single" w:sz="4" w:space="0" w:color="auto"/>
            </w:tcBorders>
            <w:shd w:val="pct5" w:color="auto" w:fill="auto"/>
            <w:vAlign w:val="bottom"/>
          </w:tcPr>
          <w:p w14:paraId="3FFBF5E0" w14:textId="7A832A2D" w:rsidR="00A82A30" w:rsidRPr="00A82A30" w:rsidRDefault="006D2F98" w:rsidP="00A82A30">
            <w:pPr>
              <w:jc w:val="right"/>
              <w:rPr>
                <w:rFonts w:ascii="Arial" w:hAnsi="Arial" w:cs="Arial"/>
                <w:b/>
                <w:sz w:val="18"/>
                <w:szCs w:val="18"/>
                <w:lang w:val="en-CA" w:eastAsia="en-CA"/>
              </w:rPr>
            </w:pPr>
            <w:r>
              <w:rPr>
                <w:rFonts w:ascii="Arial" w:hAnsi="Arial" w:cs="Arial"/>
                <w:b/>
                <w:sz w:val="18"/>
                <w:szCs w:val="18"/>
                <w:lang w:val="en-CA" w:eastAsia="en-CA"/>
              </w:rPr>
              <w:t xml:space="preserve">$    </w:t>
            </w:r>
            <w:r w:rsidR="005D5107">
              <w:rPr>
                <w:rFonts w:ascii="Arial" w:hAnsi="Arial" w:cs="Arial"/>
                <w:b/>
                <w:sz w:val="18"/>
                <w:szCs w:val="18"/>
                <w:lang w:val="en-CA" w:eastAsia="en-CA"/>
              </w:rPr>
              <w:t>203</w:t>
            </w:r>
          </w:p>
        </w:tc>
        <w:tc>
          <w:tcPr>
            <w:tcW w:w="266" w:type="dxa"/>
            <w:tcBorders>
              <w:top w:val="single" w:sz="4" w:space="0" w:color="auto"/>
              <w:left w:val="single" w:sz="4" w:space="0" w:color="auto"/>
            </w:tcBorders>
            <w:vAlign w:val="bottom"/>
          </w:tcPr>
          <w:p w14:paraId="401472BC" w14:textId="5D9299B5" w:rsidR="00A82A30" w:rsidRPr="00A82A30" w:rsidRDefault="00A82A30" w:rsidP="00A82A30">
            <w:pPr>
              <w:jc w:val="right"/>
              <w:rPr>
                <w:rFonts w:ascii="Arial" w:hAnsi="Arial" w:cs="Arial"/>
                <w:sz w:val="18"/>
                <w:szCs w:val="18"/>
                <w:lang w:val="en-CA" w:eastAsia="en-CA"/>
              </w:rPr>
            </w:pPr>
          </w:p>
        </w:tc>
        <w:tc>
          <w:tcPr>
            <w:tcW w:w="1534" w:type="dxa"/>
            <w:tcBorders>
              <w:top w:val="single" w:sz="4" w:space="0" w:color="auto"/>
              <w:right w:val="single" w:sz="4" w:space="0" w:color="auto"/>
            </w:tcBorders>
            <w:vAlign w:val="bottom"/>
          </w:tcPr>
          <w:p w14:paraId="6B826066" w14:textId="1CC344DA" w:rsidR="00A82A30" w:rsidRPr="00A82A30" w:rsidRDefault="00857BF0" w:rsidP="00A82A30">
            <w:pPr>
              <w:jc w:val="right"/>
              <w:rPr>
                <w:rFonts w:ascii="Arial" w:hAnsi="Arial" w:cs="Arial"/>
                <w:sz w:val="18"/>
                <w:szCs w:val="18"/>
                <w:lang w:val="en-CA" w:eastAsia="en-CA"/>
              </w:rPr>
            </w:pPr>
            <w:r>
              <w:rPr>
                <w:rFonts w:ascii="Arial" w:hAnsi="Arial" w:cs="Arial"/>
                <w:sz w:val="18"/>
                <w:szCs w:val="18"/>
                <w:lang w:val="en-CA" w:eastAsia="en-CA"/>
              </w:rPr>
              <w:t xml:space="preserve">$     </w:t>
            </w:r>
            <w:r w:rsidR="00017B7D">
              <w:rPr>
                <w:rFonts w:ascii="Arial" w:hAnsi="Arial" w:cs="Arial"/>
                <w:sz w:val="18"/>
                <w:szCs w:val="18"/>
                <w:lang w:val="en-CA" w:eastAsia="en-CA"/>
              </w:rPr>
              <w:t>1</w:t>
            </w:r>
            <w:r w:rsidR="005D5107">
              <w:rPr>
                <w:rFonts w:ascii="Arial" w:hAnsi="Arial" w:cs="Arial"/>
                <w:sz w:val="18"/>
                <w:szCs w:val="18"/>
                <w:lang w:val="en-CA" w:eastAsia="en-CA"/>
              </w:rPr>
              <w:t>85</w:t>
            </w:r>
          </w:p>
        </w:tc>
      </w:tr>
      <w:tr w:rsidR="00555243" w:rsidRPr="00A82A30" w14:paraId="0C7AF3D6" w14:textId="77777777" w:rsidTr="00EA5D34">
        <w:trPr>
          <w:trHeight w:val="272"/>
        </w:trPr>
        <w:tc>
          <w:tcPr>
            <w:tcW w:w="5760" w:type="dxa"/>
            <w:tcBorders>
              <w:left w:val="single" w:sz="4" w:space="0" w:color="auto"/>
              <w:right w:val="single" w:sz="4" w:space="0" w:color="auto"/>
            </w:tcBorders>
            <w:vAlign w:val="bottom"/>
          </w:tcPr>
          <w:p w14:paraId="6F629250" w14:textId="7AF72A3D" w:rsidR="00A82A30" w:rsidRPr="00A82A30" w:rsidRDefault="00A82A30" w:rsidP="00A82A30">
            <w:pPr>
              <w:ind w:left="73"/>
              <w:rPr>
                <w:rFonts w:ascii="Arial" w:hAnsi="Arial" w:cs="Arial"/>
                <w:sz w:val="18"/>
                <w:szCs w:val="18"/>
                <w:lang w:val="en-CA" w:eastAsia="en-CA"/>
              </w:rPr>
            </w:pPr>
            <w:r w:rsidRPr="00A82A30">
              <w:rPr>
                <w:rFonts w:ascii="Arial" w:hAnsi="Arial" w:cs="Arial"/>
                <w:sz w:val="18"/>
                <w:szCs w:val="18"/>
                <w:lang w:val="en-CA" w:eastAsia="en-CA"/>
              </w:rPr>
              <w:t>Accrued interest</w:t>
            </w:r>
            <w:r w:rsidR="004A124C">
              <w:rPr>
                <w:rFonts w:ascii="Arial" w:hAnsi="Arial" w:cs="Arial"/>
                <w:sz w:val="18"/>
                <w:szCs w:val="18"/>
                <w:lang w:val="en-CA" w:eastAsia="en-CA"/>
              </w:rPr>
              <w:t xml:space="preserve"> on unsecured loans</w:t>
            </w:r>
            <w:r w:rsidRPr="00A82A30">
              <w:rPr>
                <w:rFonts w:ascii="Arial" w:hAnsi="Arial" w:cs="Arial"/>
                <w:sz w:val="18"/>
                <w:szCs w:val="18"/>
                <w:lang w:val="en-CA" w:eastAsia="en-CA"/>
              </w:rPr>
              <w:t xml:space="preserve"> </w:t>
            </w:r>
          </w:p>
        </w:tc>
        <w:tc>
          <w:tcPr>
            <w:tcW w:w="374" w:type="dxa"/>
            <w:tcBorders>
              <w:left w:val="single" w:sz="4" w:space="0" w:color="auto"/>
            </w:tcBorders>
            <w:shd w:val="pct5" w:color="auto" w:fill="auto"/>
            <w:vAlign w:val="bottom"/>
          </w:tcPr>
          <w:p w14:paraId="3393F9B4" w14:textId="77777777" w:rsidR="00A82A30" w:rsidRPr="00A82A30" w:rsidRDefault="00A82A30" w:rsidP="004A124C">
            <w:pPr>
              <w:jc w:val="center"/>
              <w:rPr>
                <w:rFonts w:ascii="Arial" w:hAnsi="Arial" w:cs="Arial"/>
                <w:b/>
                <w:sz w:val="18"/>
                <w:szCs w:val="18"/>
                <w:lang w:val="en-CA" w:eastAsia="en-CA"/>
              </w:rPr>
            </w:pPr>
          </w:p>
        </w:tc>
        <w:tc>
          <w:tcPr>
            <w:tcW w:w="1475" w:type="dxa"/>
            <w:tcBorders>
              <w:right w:val="single" w:sz="4" w:space="0" w:color="auto"/>
            </w:tcBorders>
            <w:shd w:val="pct5" w:color="auto" w:fill="auto"/>
            <w:vAlign w:val="bottom"/>
          </w:tcPr>
          <w:p w14:paraId="4EDF44EF" w14:textId="66A353E9" w:rsidR="00A82A30" w:rsidRPr="00A82A30" w:rsidRDefault="005D5107" w:rsidP="00A82A30">
            <w:pPr>
              <w:jc w:val="right"/>
              <w:rPr>
                <w:rFonts w:ascii="Arial" w:hAnsi="Arial" w:cs="Arial"/>
                <w:b/>
                <w:sz w:val="18"/>
                <w:szCs w:val="18"/>
                <w:lang w:val="en-CA" w:eastAsia="en-CA"/>
              </w:rPr>
            </w:pPr>
            <w:r>
              <w:rPr>
                <w:rFonts w:ascii="Arial" w:hAnsi="Arial" w:cs="Arial"/>
                <w:b/>
                <w:sz w:val="18"/>
                <w:szCs w:val="18"/>
                <w:lang w:val="en-CA" w:eastAsia="en-CA"/>
              </w:rPr>
              <w:t>4</w:t>
            </w:r>
          </w:p>
        </w:tc>
        <w:tc>
          <w:tcPr>
            <w:tcW w:w="266" w:type="dxa"/>
            <w:tcBorders>
              <w:left w:val="single" w:sz="4" w:space="0" w:color="auto"/>
            </w:tcBorders>
            <w:vAlign w:val="bottom"/>
          </w:tcPr>
          <w:p w14:paraId="666456CB" w14:textId="77777777" w:rsidR="00A82A30" w:rsidRPr="00A82A30" w:rsidRDefault="00A82A30" w:rsidP="00A82A30">
            <w:pPr>
              <w:jc w:val="right"/>
              <w:rPr>
                <w:rFonts w:ascii="Arial" w:hAnsi="Arial" w:cs="Arial"/>
                <w:sz w:val="18"/>
                <w:szCs w:val="18"/>
                <w:lang w:val="en-CA" w:eastAsia="en-CA"/>
              </w:rPr>
            </w:pPr>
          </w:p>
        </w:tc>
        <w:tc>
          <w:tcPr>
            <w:tcW w:w="1534" w:type="dxa"/>
            <w:tcBorders>
              <w:right w:val="single" w:sz="4" w:space="0" w:color="auto"/>
            </w:tcBorders>
            <w:vAlign w:val="bottom"/>
          </w:tcPr>
          <w:p w14:paraId="32629F03" w14:textId="4C94C18D" w:rsidR="00A82A30" w:rsidRPr="00A82A30" w:rsidRDefault="00017B7D" w:rsidP="00A82A30">
            <w:pPr>
              <w:jc w:val="right"/>
              <w:rPr>
                <w:rFonts w:ascii="Arial" w:hAnsi="Arial" w:cs="Arial"/>
                <w:sz w:val="18"/>
                <w:szCs w:val="18"/>
                <w:lang w:val="en-CA" w:eastAsia="en-CA"/>
              </w:rPr>
            </w:pPr>
            <w:r>
              <w:rPr>
                <w:rFonts w:ascii="Arial" w:hAnsi="Arial" w:cs="Arial"/>
                <w:sz w:val="18"/>
                <w:szCs w:val="18"/>
                <w:lang w:val="en-CA" w:eastAsia="en-CA"/>
              </w:rPr>
              <w:t>1</w:t>
            </w:r>
            <w:r w:rsidR="005D5107">
              <w:rPr>
                <w:rFonts w:ascii="Arial" w:hAnsi="Arial" w:cs="Arial"/>
                <w:sz w:val="18"/>
                <w:szCs w:val="18"/>
                <w:lang w:val="en-CA" w:eastAsia="en-CA"/>
              </w:rPr>
              <w:t>8</w:t>
            </w:r>
          </w:p>
        </w:tc>
      </w:tr>
      <w:tr w:rsidR="0094507D" w:rsidRPr="00A82A30" w14:paraId="7387326B" w14:textId="77777777" w:rsidTr="00EA5D34">
        <w:trPr>
          <w:trHeight w:val="272"/>
        </w:trPr>
        <w:tc>
          <w:tcPr>
            <w:tcW w:w="5760" w:type="dxa"/>
            <w:tcBorders>
              <w:top w:val="single" w:sz="2" w:space="0" w:color="auto"/>
              <w:left w:val="single" w:sz="4" w:space="0" w:color="auto"/>
              <w:bottom w:val="single" w:sz="4" w:space="0" w:color="auto"/>
              <w:right w:val="single" w:sz="4" w:space="0" w:color="auto"/>
            </w:tcBorders>
            <w:vAlign w:val="bottom"/>
          </w:tcPr>
          <w:p w14:paraId="7E48F00A" w14:textId="54C42E65" w:rsidR="00A82A30" w:rsidRPr="00A82A30" w:rsidRDefault="0061104E" w:rsidP="00A82A30">
            <w:pPr>
              <w:ind w:left="73"/>
              <w:rPr>
                <w:rFonts w:ascii="Arial" w:hAnsi="Arial" w:cs="Arial"/>
                <w:sz w:val="18"/>
                <w:szCs w:val="18"/>
                <w:lang w:val="en-CA" w:eastAsia="en-CA"/>
              </w:rPr>
            </w:pPr>
            <w:r>
              <w:rPr>
                <w:rFonts w:ascii="Arial" w:hAnsi="Arial" w:cs="Arial"/>
                <w:sz w:val="18"/>
                <w:szCs w:val="18"/>
                <w:lang w:val="en-CA" w:eastAsia="en-CA"/>
              </w:rPr>
              <w:t>Balance, ending</w:t>
            </w:r>
          </w:p>
        </w:tc>
        <w:tc>
          <w:tcPr>
            <w:tcW w:w="374" w:type="dxa"/>
            <w:tcBorders>
              <w:top w:val="single" w:sz="2" w:space="0" w:color="auto"/>
              <w:left w:val="single" w:sz="4" w:space="0" w:color="auto"/>
              <w:bottom w:val="single" w:sz="4" w:space="0" w:color="auto"/>
            </w:tcBorders>
            <w:shd w:val="pct5" w:color="auto" w:fill="auto"/>
            <w:vAlign w:val="bottom"/>
          </w:tcPr>
          <w:p w14:paraId="4F2DB23B" w14:textId="3D18496D" w:rsidR="00A82A30" w:rsidRPr="00A82A30" w:rsidRDefault="00A82A30" w:rsidP="00A82A30">
            <w:pPr>
              <w:jc w:val="right"/>
              <w:rPr>
                <w:rFonts w:ascii="Arial" w:hAnsi="Arial" w:cs="Arial"/>
                <w:b/>
                <w:sz w:val="18"/>
                <w:szCs w:val="18"/>
                <w:lang w:val="en-CA" w:eastAsia="en-CA"/>
              </w:rPr>
            </w:pPr>
          </w:p>
        </w:tc>
        <w:tc>
          <w:tcPr>
            <w:tcW w:w="1475" w:type="dxa"/>
            <w:tcBorders>
              <w:top w:val="single" w:sz="2" w:space="0" w:color="auto"/>
              <w:bottom w:val="single" w:sz="4" w:space="0" w:color="auto"/>
              <w:right w:val="single" w:sz="4" w:space="0" w:color="auto"/>
            </w:tcBorders>
            <w:shd w:val="pct5" w:color="auto" w:fill="auto"/>
            <w:vAlign w:val="bottom"/>
          </w:tcPr>
          <w:p w14:paraId="271B725A" w14:textId="2EFA0D56" w:rsidR="00A82A30" w:rsidRPr="00A82A30" w:rsidRDefault="006D2F98" w:rsidP="00A82A30">
            <w:pPr>
              <w:jc w:val="right"/>
              <w:rPr>
                <w:rFonts w:ascii="Arial" w:hAnsi="Arial" w:cs="Arial"/>
                <w:b/>
                <w:sz w:val="18"/>
                <w:szCs w:val="18"/>
                <w:lang w:val="en-CA" w:eastAsia="en-CA"/>
              </w:rPr>
            </w:pPr>
            <w:r>
              <w:rPr>
                <w:rFonts w:ascii="Arial" w:hAnsi="Arial" w:cs="Arial"/>
                <w:b/>
                <w:sz w:val="18"/>
                <w:szCs w:val="18"/>
                <w:lang w:val="en-CA" w:eastAsia="en-CA"/>
              </w:rPr>
              <w:t xml:space="preserve">$    </w:t>
            </w:r>
            <w:r w:rsidR="000A09E9">
              <w:rPr>
                <w:rFonts w:ascii="Arial" w:hAnsi="Arial" w:cs="Arial"/>
                <w:b/>
                <w:sz w:val="18"/>
                <w:szCs w:val="18"/>
                <w:lang w:val="en-CA" w:eastAsia="en-CA"/>
              </w:rPr>
              <w:t>20</w:t>
            </w:r>
            <w:r w:rsidR="005D5107">
              <w:rPr>
                <w:rFonts w:ascii="Arial" w:hAnsi="Arial" w:cs="Arial"/>
                <w:b/>
                <w:sz w:val="18"/>
                <w:szCs w:val="18"/>
                <w:lang w:val="en-CA" w:eastAsia="en-CA"/>
              </w:rPr>
              <w:t>7</w:t>
            </w:r>
          </w:p>
        </w:tc>
        <w:tc>
          <w:tcPr>
            <w:tcW w:w="266" w:type="dxa"/>
            <w:tcBorders>
              <w:top w:val="single" w:sz="2" w:space="0" w:color="auto"/>
              <w:left w:val="single" w:sz="4" w:space="0" w:color="auto"/>
              <w:bottom w:val="single" w:sz="4" w:space="0" w:color="auto"/>
            </w:tcBorders>
            <w:vAlign w:val="bottom"/>
          </w:tcPr>
          <w:p w14:paraId="62FEB644" w14:textId="5C1F9C61" w:rsidR="00A82A30" w:rsidRPr="00A82A30" w:rsidRDefault="00A82A30" w:rsidP="00A82A30">
            <w:pPr>
              <w:jc w:val="right"/>
              <w:rPr>
                <w:rFonts w:ascii="Arial" w:hAnsi="Arial" w:cs="Arial"/>
                <w:sz w:val="18"/>
                <w:szCs w:val="18"/>
                <w:lang w:val="en-CA" w:eastAsia="en-CA"/>
              </w:rPr>
            </w:pPr>
          </w:p>
        </w:tc>
        <w:tc>
          <w:tcPr>
            <w:tcW w:w="1534" w:type="dxa"/>
            <w:tcBorders>
              <w:top w:val="single" w:sz="2" w:space="0" w:color="auto"/>
              <w:bottom w:val="single" w:sz="4" w:space="0" w:color="auto"/>
              <w:right w:val="single" w:sz="4" w:space="0" w:color="auto"/>
            </w:tcBorders>
            <w:vAlign w:val="bottom"/>
          </w:tcPr>
          <w:p w14:paraId="60A34B28" w14:textId="377F8A2F" w:rsidR="00A82A30" w:rsidRPr="00A82A30" w:rsidRDefault="00857BF0" w:rsidP="00A82A30">
            <w:pPr>
              <w:jc w:val="right"/>
              <w:rPr>
                <w:rFonts w:ascii="Arial" w:hAnsi="Arial" w:cs="Arial"/>
                <w:sz w:val="18"/>
                <w:szCs w:val="18"/>
                <w:lang w:val="en-CA" w:eastAsia="en-CA"/>
              </w:rPr>
            </w:pPr>
            <w:r>
              <w:rPr>
                <w:rFonts w:ascii="Arial" w:hAnsi="Arial" w:cs="Arial"/>
                <w:sz w:val="18"/>
                <w:szCs w:val="18"/>
                <w:lang w:val="en-CA" w:eastAsia="en-CA"/>
              </w:rPr>
              <w:t xml:space="preserve">$   </w:t>
            </w:r>
            <w:r w:rsidR="005D5107">
              <w:rPr>
                <w:rFonts w:ascii="Arial" w:hAnsi="Arial" w:cs="Arial"/>
                <w:sz w:val="18"/>
                <w:szCs w:val="18"/>
                <w:lang w:val="en-CA" w:eastAsia="en-CA"/>
              </w:rPr>
              <w:t>203</w:t>
            </w:r>
          </w:p>
        </w:tc>
      </w:tr>
    </w:tbl>
    <w:p w14:paraId="2D7BB9E1" w14:textId="6E8E390F" w:rsidR="00950870" w:rsidRDefault="00950870" w:rsidP="00465A76">
      <w:pPr>
        <w:overflowPunct w:val="0"/>
        <w:autoSpaceDE w:val="0"/>
        <w:autoSpaceDN w:val="0"/>
        <w:adjustRightInd w:val="0"/>
        <w:spacing w:line="276" w:lineRule="auto"/>
        <w:jc w:val="both"/>
        <w:textAlignment w:val="baseline"/>
        <w:rPr>
          <w:rFonts w:ascii="Arial" w:hAnsi="Arial" w:cs="Arial"/>
          <w:sz w:val="10"/>
          <w:szCs w:val="10"/>
          <w:lang w:val="en-CA"/>
        </w:rPr>
      </w:pPr>
    </w:p>
    <w:p w14:paraId="612FEF68" w14:textId="77777777" w:rsidR="00391884" w:rsidRPr="00950870" w:rsidRDefault="00391884" w:rsidP="00465A76">
      <w:pPr>
        <w:overflowPunct w:val="0"/>
        <w:autoSpaceDE w:val="0"/>
        <w:autoSpaceDN w:val="0"/>
        <w:adjustRightInd w:val="0"/>
        <w:spacing w:line="276" w:lineRule="auto"/>
        <w:jc w:val="both"/>
        <w:textAlignment w:val="baseline"/>
        <w:rPr>
          <w:rFonts w:ascii="Arial" w:hAnsi="Arial" w:cs="Arial"/>
          <w:sz w:val="10"/>
          <w:szCs w:val="10"/>
          <w:lang w:val="en-CA"/>
        </w:rPr>
      </w:pPr>
    </w:p>
    <w:p w14:paraId="7651D4F2" w14:textId="7099AF8B" w:rsidR="00BF271B" w:rsidRDefault="001F76BA" w:rsidP="005D5107">
      <w:pPr>
        <w:jc w:val="both"/>
        <w:rPr>
          <w:rFonts w:ascii="Arial" w:hAnsi="Arial" w:cs="Arial"/>
          <w:bCs/>
          <w:sz w:val="20"/>
        </w:rPr>
      </w:pPr>
      <w:r>
        <w:rPr>
          <w:rFonts w:ascii="Arial" w:hAnsi="Arial" w:cs="Arial"/>
          <w:bCs/>
          <w:sz w:val="20"/>
        </w:rPr>
        <w:t xml:space="preserve">Interest recorded on the loans during the </w:t>
      </w:r>
      <w:r w:rsidR="005D5107">
        <w:rPr>
          <w:rFonts w:ascii="Arial" w:hAnsi="Arial" w:cs="Arial"/>
          <w:bCs/>
          <w:sz w:val="20"/>
        </w:rPr>
        <w:t>three months</w:t>
      </w:r>
      <w:r>
        <w:rPr>
          <w:rFonts w:ascii="Arial" w:hAnsi="Arial" w:cs="Arial"/>
          <w:bCs/>
          <w:sz w:val="20"/>
        </w:rPr>
        <w:t xml:space="preserve"> ended</w:t>
      </w:r>
      <w:r w:rsidR="005D5107">
        <w:rPr>
          <w:rFonts w:ascii="Arial" w:hAnsi="Arial" w:cs="Arial"/>
          <w:bCs/>
          <w:sz w:val="20"/>
        </w:rPr>
        <w:t xml:space="preserve"> November 30</w:t>
      </w:r>
      <w:r>
        <w:rPr>
          <w:rFonts w:ascii="Arial" w:hAnsi="Arial" w:cs="Arial"/>
          <w:bCs/>
          <w:sz w:val="20"/>
        </w:rPr>
        <w:t>, 2022 totaled $</w:t>
      </w:r>
      <w:r w:rsidR="005D5107">
        <w:rPr>
          <w:rFonts w:ascii="Arial" w:hAnsi="Arial" w:cs="Arial"/>
          <w:bCs/>
          <w:sz w:val="20"/>
        </w:rPr>
        <w:t>4</w:t>
      </w:r>
      <w:r>
        <w:rPr>
          <w:rFonts w:ascii="Arial" w:hAnsi="Arial" w:cs="Arial"/>
          <w:bCs/>
          <w:sz w:val="20"/>
        </w:rPr>
        <w:t xml:space="preserve"> (</w:t>
      </w:r>
      <w:r w:rsidR="005D5107">
        <w:rPr>
          <w:rFonts w:ascii="Arial" w:hAnsi="Arial" w:cs="Arial"/>
          <w:bCs/>
          <w:sz w:val="20"/>
        </w:rPr>
        <w:t>November 30</w:t>
      </w:r>
      <w:r>
        <w:rPr>
          <w:rFonts w:ascii="Arial" w:hAnsi="Arial" w:cs="Arial"/>
          <w:bCs/>
          <w:sz w:val="20"/>
        </w:rPr>
        <w:t>, 2021 - $5).</w:t>
      </w:r>
    </w:p>
    <w:p w14:paraId="64C80B83" w14:textId="3838014C" w:rsidR="00DA331C" w:rsidRDefault="00DA331C">
      <w:pPr>
        <w:rPr>
          <w:rFonts w:ascii="Arial" w:hAnsi="Arial" w:cs="Arial"/>
          <w:b/>
          <w:sz w:val="20"/>
        </w:rPr>
      </w:pPr>
    </w:p>
    <w:p w14:paraId="437F6AD6" w14:textId="58C7EC9D" w:rsidR="00544E9D" w:rsidRPr="00DE0932" w:rsidRDefault="00544E9D" w:rsidP="00283955">
      <w:pPr>
        <w:spacing w:line="276" w:lineRule="auto"/>
        <w:ind w:left="360" w:hanging="360"/>
        <w:jc w:val="both"/>
        <w:rPr>
          <w:rFonts w:ascii="Arial" w:hAnsi="Arial" w:cs="Arial"/>
          <w:b/>
          <w:sz w:val="20"/>
        </w:rPr>
      </w:pPr>
      <w:r w:rsidRPr="00DE0932">
        <w:rPr>
          <w:rFonts w:ascii="Arial" w:hAnsi="Arial" w:cs="Arial"/>
          <w:b/>
          <w:sz w:val="20"/>
        </w:rPr>
        <w:t>1</w:t>
      </w:r>
      <w:r w:rsidR="00E0658A">
        <w:rPr>
          <w:rFonts w:ascii="Arial" w:hAnsi="Arial" w:cs="Arial"/>
          <w:b/>
          <w:sz w:val="20"/>
        </w:rPr>
        <w:t>2</w:t>
      </w:r>
      <w:r w:rsidRPr="00DE0932">
        <w:rPr>
          <w:rFonts w:ascii="Arial" w:hAnsi="Arial" w:cs="Arial"/>
          <w:b/>
          <w:sz w:val="20"/>
        </w:rPr>
        <w:t>.</w:t>
      </w:r>
      <w:r w:rsidRPr="00DE0932">
        <w:rPr>
          <w:rFonts w:ascii="Arial" w:hAnsi="Arial" w:cs="Arial"/>
          <w:b/>
          <w:sz w:val="20"/>
        </w:rPr>
        <w:tab/>
        <w:t>OPERATING RISKS AND UNCERTAINTIES</w:t>
      </w:r>
    </w:p>
    <w:p w14:paraId="0A327F45" w14:textId="77777777" w:rsidR="00544E9D" w:rsidRPr="00DE0932" w:rsidRDefault="00544E9D" w:rsidP="00283955">
      <w:pPr>
        <w:tabs>
          <w:tab w:val="left" w:pos="360"/>
        </w:tabs>
        <w:spacing w:line="276" w:lineRule="auto"/>
        <w:ind w:left="360" w:hanging="360"/>
        <w:jc w:val="both"/>
        <w:rPr>
          <w:rFonts w:ascii="Arial" w:hAnsi="Arial" w:cs="Arial"/>
          <w:b/>
          <w:sz w:val="20"/>
        </w:rPr>
      </w:pPr>
    </w:p>
    <w:p w14:paraId="4E492047" w14:textId="77777777" w:rsidR="00544E9D" w:rsidRPr="00DE0932" w:rsidRDefault="00544E9D" w:rsidP="00283955">
      <w:pPr>
        <w:pStyle w:val="bnul"/>
        <w:spacing w:before="0" w:line="276" w:lineRule="auto"/>
        <w:ind w:left="0" w:hanging="7"/>
        <w:rPr>
          <w:rFonts w:cs="Arial"/>
          <w:b w:val="0"/>
          <w:sz w:val="23"/>
          <w:szCs w:val="23"/>
          <w:lang w:val="en-US"/>
        </w:rPr>
      </w:pPr>
      <w:r w:rsidRPr="00DE0932">
        <w:rPr>
          <w:rFonts w:cs="Arial"/>
          <w:lang w:val="en-US"/>
        </w:rPr>
        <w:t>Management of capital</w:t>
      </w:r>
    </w:p>
    <w:p w14:paraId="6494CAB8" w14:textId="72C94B14" w:rsidR="00447622" w:rsidRPr="00447622" w:rsidRDefault="00447622" w:rsidP="00447622">
      <w:pPr>
        <w:overflowPunct w:val="0"/>
        <w:autoSpaceDE w:val="0"/>
        <w:autoSpaceDN w:val="0"/>
        <w:adjustRightInd w:val="0"/>
        <w:spacing w:line="276" w:lineRule="auto"/>
        <w:jc w:val="both"/>
        <w:textAlignment w:val="baseline"/>
        <w:rPr>
          <w:rFonts w:ascii="Arial" w:hAnsi="Arial" w:cs="Arial"/>
          <w:sz w:val="20"/>
          <w:lang w:val="en-CA"/>
        </w:rPr>
      </w:pPr>
      <w:r w:rsidRPr="00447622">
        <w:rPr>
          <w:rFonts w:ascii="Arial" w:hAnsi="Arial" w:cs="Arial"/>
          <w:sz w:val="20"/>
          <w:lang w:val="en-CA"/>
        </w:rPr>
        <w:t xml:space="preserve">The Company’s main objective when managing capital is to safeguard the Company’s ability to continue as a going concern. As </w:t>
      </w:r>
      <w:proofErr w:type="gramStart"/>
      <w:r w:rsidRPr="00447622">
        <w:rPr>
          <w:rFonts w:ascii="Arial" w:hAnsi="Arial" w:cs="Arial"/>
          <w:sz w:val="20"/>
          <w:lang w:val="en-CA"/>
        </w:rPr>
        <w:t>at</w:t>
      </w:r>
      <w:proofErr w:type="gramEnd"/>
      <w:r w:rsidR="005D5107">
        <w:rPr>
          <w:rFonts w:ascii="Arial" w:hAnsi="Arial" w:cs="Arial"/>
          <w:sz w:val="20"/>
          <w:lang w:val="en-CA"/>
        </w:rPr>
        <w:t xml:space="preserve"> November 30</w:t>
      </w:r>
      <w:r w:rsidR="00BA69B8">
        <w:rPr>
          <w:rFonts w:ascii="Arial" w:hAnsi="Arial" w:cs="Arial"/>
          <w:sz w:val="20"/>
          <w:lang w:val="en-CA"/>
        </w:rPr>
        <w:t>, 202</w:t>
      </w:r>
      <w:r w:rsidR="00EA5D34">
        <w:rPr>
          <w:rFonts w:ascii="Arial" w:hAnsi="Arial" w:cs="Arial"/>
          <w:sz w:val="20"/>
          <w:lang w:val="en-CA"/>
        </w:rPr>
        <w:t>2</w:t>
      </w:r>
      <w:r w:rsidRPr="00447622">
        <w:rPr>
          <w:rFonts w:ascii="Arial" w:hAnsi="Arial" w:cs="Arial"/>
          <w:sz w:val="20"/>
          <w:lang w:val="en-CA"/>
        </w:rPr>
        <w:t xml:space="preserve">, the Company </w:t>
      </w:r>
      <w:r w:rsidR="00D01D47">
        <w:rPr>
          <w:rFonts w:ascii="Arial" w:hAnsi="Arial" w:cs="Arial"/>
          <w:sz w:val="20"/>
          <w:lang w:val="en-CA"/>
        </w:rPr>
        <w:t>wa</w:t>
      </w:r>
      <w:r w:rsidRPr="00447622">
        <w:rPr>
          <w:rFonts w:ascii="Arial" w:hAnsi="Arial" w:cs="Arial"/>
          <w:sz w:val="20"/>
          <w:lang w:val="en-CA"/>
        </w:rPr>
        <w:t xml:space="preserve">s not subject to any externally imposed capital requirements.  The Company defines its capital as shareholders’ equity plus </w:t>
      </w:r>
      <w:r w:rsidR="00D01D47">
        <w:rPr>
          <w:rFonts w:ascii="Arial" w:hAnsi="Arial" w:cs="Arial"/>
          <w:sz w:val="20"/>
          <w:lang w:val="en-CA"/>
        </w:rPr>
        <w:t xml:space="preserve">convertible debentures and </w:t>
      </w:r>
      <w:r w:rsidRPr="00447622">
        <w:rPr>
          <w:rFonts w:ascii="Arial" w:hAnsi="Arial" w:cs="Arial"/>
          <w:sz w:val="20"/>
          <w:lang w:val="en-CA"/>
        </w:rPr>
        <w:t>short</w:t>
      </w:r>
      <w:r w:rsidR="005B374B">
        <w:rPr>
          <w:rFonts w:ascii="Arial" w:hAnsi="Arial" w:cs="Arial"/>
          <w:sz w:val="20"/>
          <w:lang w:val="en-CA"/>
        </w:rPr>
        <w:t>-</w:t>
      </w:r>
      <w:r w:rsidRPr="00447622">
        <w:rPr>
          <w:rFonts w:ascii="Arial" w:hAnsi="Arial" w:cs="Arial"/>
          <w:sz w:val="20"/>
          <w:lang w:val="en-CA"/>
        </w:rPr>
        <w:t>term loans.</w:t>
      </w:r>
    </w:p>
    <w:p w14:paraId="3B31E251" w14:textId="77777777" w:rsidR="00447622" w:rsidRPr="00447622" w:rsidRDefault="00447622" w:rsidP="00447622">
      <w:pPr>
        <w:overflowPunct w:val="0"/>
        <w:autoSpaceDE w:val="0"/>
        <w:autoSpaceDN w:val="0"/>
        <w:adjustRightInd w:val="0"/>
        <w:spacing w:line="276" w:lineRule="auto"/>
        <w:ind w:left="547"/>
        <w:jc w:val="both"/>
        <w:textAlignment w:val="baseline"/>
        <w:rPr>
          <w:rFonts w:ascii="Arial" w:hAnsi="Arial" w:cs="Arial"/>
          <w:sz w:val="20"/>
          <w:lang w:val="en-CA"/>
        </w:rPr>
      </w:pPr>
    </w:p>
    <w:p w14:paraId="3503276B" w14:textId="1B1B5CC2" w:rsidR="00D65797" w:rsidRDefault="00447622" w:rsidP="002768B7">
      <w:pPr>
        <w:overflowPunct w:val="0"/>
        <w:autoSpaceDE w:val="0"/>
        <w:autoSpaceDN w:val="0"/>
        <w:adjustRightInd w:val="0"/>
        <w:spacing w:line="276" w:lineRule="auto"/>
        <w:jc w:val="both"/>
        <w:textAlignment w:val="baseline"/>
        <w:rPr>
          <w:rFonts w:cs="Arial"/>
        </w:rPr>
      </w:pPr>
      <w:r w:rsidRPr="00447622">
        <w:rPr>
          <w:rFonts w:ascii="Arial" w:hAnsi="Arial" w:cs="Arial"/>
          <w:sz w:val="20"/>
          <w:lang w:val="en-CA"/>
        </w:rPr>
        <w:t>The Board of Directors does not establish quantitative return on capital criteria for management, but rather relies on the expertise of the Company’s management to sustain future development of the business.  There were no significant changes to the Company’s approach to capital management during the</w:t>
      </w:r>
      <w:r w:rsidR="00B14D59">
        <w:rPr>
          <w:rFonts w:ascii="Arial" w:hAnsi="Arial" w:cs="Arial"/>
          <w:sz w:val="20"/>
          <w:lang w:val="en-CA"/>
        </w:rPr>
        <w:t xml:space="preserve"> </w:t>
      </w:r>
      <w:r w:rsidR="00BA2A2C">
        <w:rPr>
          <w:rFonts w:ascii="Arial" w:hAnsi="Arial" w:cs="Arial"/>
          <w:sz w:val="20"/>
          <w:lang w:val="en-CA"/>
        </w:rPr>
        <w:t>three months ended November 30</w:t>
      </w:r>
      <w:r w:rsidR="00B73A8D">
        <w:rPr>
          <w:rFonts w:ascii="Arial" w:hAnsi="Arial" w:cs="Arial"/>
          <w:sz w:val="20"/>
          <w:lang w:val="en-CA"/>
        </w:rPr>
        <w:t>,</w:t>
      </w:r>
      <w:r w:rsidR="00B14D59">
        <w:rPr>
          <w:rFonts w:ascii="Arial" w:hAnsi="Arial" w:cs="Arial"/>
          <w:sz w:val="20"/>
          <w:lang w:val="en-CA"/>
        </w:rPr>
        <w:t xml:space="preserve"> </w:t>
      </w:r>
      <w:r w:rsidR="00B73A8D">
        <w:rPr>
          <w:rFonts w:ascii="Arial" w:hAnsi="Arial" w:cs="Arial"/>
          <w:sz w:val="20"/>
          <w:lang w:val="en-CA"/>
        </w:rPr>
        <w:t>2022 and 2021</w:t>
      </w:r>
      <w:r w:rsidRPr="00447622">
        <w:rPr>
          <w:rFonts w:ascii="Arial" w:hAnsi="Arial" w:cs="Arial"/>
          <w:sz w:val="20"/>
          <w:lang w:val="en-CA"/>
        </w:rPr>
        <w:t>.</w:t>
      </w:r>
    </w:p>
    <w:p w14:paraId="1C67B908" w14:textId="2AF7F507" w:rsidR="00BF271B" w:rsidRDefault="00BF271B">
      <w:pPr>
        <w:rPr>
          <w:rFonts w:ascii="Arial" w:hAnsi="Arial" w:cs="Arial"/>
          <w:b/>
          <w:sz w:val="20"/>
          <w:lang w:val="en-CA"/>
        </w:rPr>
      </w:pPr>
    </w:p>
    <w:p w14:paraId="2024B98D" w14:textId="1EE04299" w:rsidR="00544E9D" w:rsidRPr="00DE0932" w:rsidRDefault="00544E9D" w:rsidP="00EA791E">
      <w:pPr>
        <w:pStyle w:val="bnul"/>
        <w:spacing w:before="0" w:line="276" w:lineRule="auto"/>
        <w:rPr>
          <w:rFonts w:cs="Arial"/>
        </w:rPr>
      </w:pPr>
      <w:r w:rsidRPr="00DE0932">
        <w:rPr>
          <w:rFonts w:cs="Arial"/>
        </w:rPr>
        <w:t>Financial instruments and risk management</w:t>
      </w:r>
    </w:p>
    <w:p w14:paraId="6EA7D775" w14:textId="77777777" w:rsidR="00162006" w:rsidRDefault="00544E9D" w:rsidP="00EA791E">
      <w:pPr>
        <w:spacing w:line="276" w:lineRule="auto"/>
        <w:jc w:val="both"/>
        <w:rPr>
          <w:rFonts w:ascii="Arial" w:hAnsi="Arial" w:cs="Arial"/>
          <w:sz w:val="20"/>
        </w:rPr>
      </w:pPr>
      <w:r w:rsidRPr="00DE0932">
        <w:rPr>
          <w:rFonts w:ascii="Arial" w:hAnsi="Arial" w:cs="Arial"/>
          <w:sz w:val="20"/>
        </w:rPr>
        <w:t xml:space="preserve">The Company's activities may expose it to a variety of financial risks: </w:t>
      </w:r>
      <w:r w:rsidR="00447622">
        <w:rPr>
          <w:rFonts w:ascii="Arial" w:hAnsi="Arial" w:cs="Arial"/>
          <w:sz w:val="20"/>
        </w:rPr>
        <w:t xml:space="preserve">fair values, </w:t>
      </w:r>
      <w:r w:rsidRPr="00DE0932">
        <w:rPr>
          <w:rFonts w:ascii="Arial" w:hAnsi="Arial" w:cs="Arial"/>
          <w:sz w:val="20"/>
        </w:rPr>
        <w:t>credit risk, liquidity risk and market risk (including interest rate and equity price risk).</w:t>
      </w:r>
      <w:r w:rsidR="00B0104E">
        <w:rPr>
          <w:rFonts w:ascii="Arial" w:hAnsi="Arial" w:cs="Arial"/>
          <w:sz w:val="20"/>
        </w:rPr>
        <w:t xml:space="preserve">  </w:t>
      </w:r>
    </w:p>
    <w:p w14:paraId="30D8752D" w14:textId="77777777" w:rsidR="00162006" w:rsidRDefault="00162006" w:rsidP="00EA791E">
      <w:pPr>
        <w:spacing w:line="276" w:lineRule="auto"/>
        <w:jc w:val="both"/>
        <w:rPr>
          <w:rFonts w:ascii="Arial" w:hAnsi="Arial" w:cs="Arial"/>
          <w:sz w:val="20"/>
        </w:rPr>
      </w:pPr>
    </w:p>
    <w:p w14:paraId="63B46F19" w14:textId="38019C5D" w:rsidR="00544E9D" w:rsidRPr="00DE0932" w:rsidRDefault="00544E9D" w:rsidP="00EA791E">
      <w:pPr>
        <w:spacing w:line="276" w:lineRule="auto"/>
        <w:jc w:val="both"/>
        <w:rPr>
          <w:rFonts w:ascii="Arial" w:hAnsi="Arial" w:cs="Arial"/>
          <w:sz w:val="20"/>
        </w:rPr>
      </w:pPr>
      <w:r w:rsidRPr="00DE0932">
        <w:rPr>
          <w:rFonts w:ascii="Arial" w:hAnsi="Arial" w:cs="Arial"/>
          <w:sz w:val="20"/>
        </w:rPr>
        <w:t>Risk management is carried out by the Company's management team with guidance from the Audit Committee</w:t>
      </w:r>
      <w:r w:rsidR="006369C8" w:rsidRPr="00DE0932">
        <w:rPr>
          <w:rFonts w:ascii="Arial" w:hAnsi="Arial" w:cs="Arial"/>
          <w:sz w:val="20"/>
        </w:rPr>
        <w:t>,</w:t>
      </w:r>
      <w:r w:rsidR="00FF6976" w:rsidRPr="00DE0932">
        <w:rPr>
          <w:rFonts w:ascii="Arial" w:hAnsi="Arial" w:cs="Arial"/>
          <w:sz w:val="20"/>
        </w:rPr>
        <w:t xml:space="preserve"> under policies approved by the Board of Directors</w:t>
      </w:r>
      <w:r w:rsidRPr="00DE0932">
        <w:rPr>
          <w:rFonts w:ascii="Arial" w:hAnsi="Arial" w:cs="Arial"/>
          <w:sz w:val="20"/>
        </w:rPr>
        <w:t xml:space="preserve">.  The Board of Directors </w:t>
      </w:r>
      <w:r w:rsidR="00FF6976" w:rsidRPr="00DE0932">
        <w:rPr>
          <w:rFonts w:ascii="Arial" w:hAnsi="Arial" w:cs="Arial"/>
          <w:sz w:val="20"/>
        </w:rPr>
        <w:t xml:space="preserve">also </w:t>
      </w:r>
      <w:r w:rsidRPr="00DE0932">
        <w:rPr>
          <w:rFonts w:ascii="Arial" w:hAnsi="Arial" w:cs="Arial"/>
          <w:sz w:val="20"/>
        </w:rPr>
        <w:t>provides regular guidance for overall risk management.</w:t>
      </w:r>
    </w:p>
    <w:p w14:paraId="3C37B0CA" w14:textId="58732BA4" w:rsidR="00DF2D01" w:rsidRDefault="00DF2D01">
      <w:pPr>
        <w:rPr>
          <w:rFonts w:ascii="Arial" w:hAnsi="Arial" w:cs="Arial"/>
          <w:sz w:val="20"/>
          <w:u w:val="single"/>
          <w:lang w:val="en-CA" w:eastAsia="en-CA"/>
        </w:rPr>
      </w:pPr>
    </w:p>
    <w:p w14:paraId="528F7580" w14:textId="43BCC754" w:rsidR="00CF1DE8" w:rsidRPr="00CF1DE8" w:rsidRDefault="00CF1DE8" w:rsidP="00CF1DE8">
      <w:pPr>
        <w:widowControl w:val="0"/>
        <w:autoSpaceDE w:val="0"/>
        <w:autoSpaceDN w:val="0"/>
        <w:adjustRightInd w:val="0"/>
        <w:spacing w:line="276" w:lineRule="auto"/>
        <w:jc w:val="both"/>
        <w:rPr>
          <w:rFonts w:ascii="Arial" w:hAnsi="Arial" w:cs="Arial"/>
          <w:sz w:val="20"/>
          <w:u w:val="single"/>
          <w:lang w:val="en-CA" w:eastAsia="en-CA"/>
        </w:rPr>
      </w:pPr>
      <w:r w:rsidRPr="00CF1DE8">
        <w:rPr>
          <w:rFonts w:ascii="Arial" w:hAnsi="Arial" w:cs="Arial"/>
          <w:sz w:val="20"/>
          <w:u w:val="single"/>
          <w:lang w:val="en-CA" w:eastAsia="en-CA"/>
        </w:rPr>
        <w:t>Fair values</w:t>
      </w:r>
    </w:p>
    <w:p w14:paraId="649B879D" w14:textId="043B2CE0" w:rsidR="00CF1DE8" w:rsidRPr="00CF1DE8" w:rsidRDefault="00CF1DE8" w:rsidP="00CF1DE8">
      <w:pPr>
        <w:widowControl w:val="0"/>
        <w:autoSpaceDE w:val="0"/>
        <w:autoSpaceDN w:val="0"/>
        <w:adjustRightInd w:val="0"/>
        <w:spacing w:line="276" w:lineRule="auto"/>
        <w:jc w:val="both"/>
        <w:rPr>
          <w:rFonts w:ascii="Arial" w:hAnsi="Arial" w:cs="Arial"/>
          <w:sz w:val="20"/>
          <w:lang w:val="en-CA" w:eastAsia="en-CA"/>
        </w:rPr>
      </w:pPr>
      <w:bookmarkStart w:id="2" w:name="_Hlk9250355"/>
      <w:r w:rsidRPr="00CF1DE8">
        <w:rPr>
          <w:rFonts w:ascii="Arial" w:hAnsi="Arial" w:cs="Arial"/>
          <w:sz w:val="20"/>
          <w:lang w:val="en-CA" w:eastAsia="en-CA"/>
        </w:rPr>
        <w:t xml:space="preserve">As </w:t>
      </w:r>
      <w:proofErr w:type="gramStart"/>
      <w:r w:rsidRPr="00CF1DE8">
        <w:rPr>
          <w:rFonts w:ascii="Arial" w:hAnsi="Arial" w:cs="Arial"/>
          <w:sz w:val="20"/>
          <w:lang w:val="en-CA" w:eastAsia="en-CA"/>
        </w:rPr>
        <w:t>at</w:t>
      </w:r>
      <w:proofErr w:type="gramEnd"/>
      <w:r w:rsidR="001C22A3">
        <w:rPr>
          <w:rFonts w:ascii="Arial" w:hAnsi="Arial" w:cs="Arial"/>
          <w:sz w:val="20"/>
          <w:lang w:val="en-CA" w:eastAsia="en-CA"/>
        </w:rPr>
        <w:t xml:space="preserve"> </w:t>
      </w:r>
      <w:r w:rsidR="00AF5D38">
        <w:rPr>
          <w:rFonts w:ascii="Arial" w:hAnsi="Arial" w:cs="Arial"/>
          <w:sz w:val="20"/>
          <w:lang w:val="en-CA" w:eastAsia="en-CA"/>
        </w:rPr>
        <w:t xml:space="preserve">November 30, 2022 and </w:t>
      </w:r>
      <w:r w:rsidR="00FC142D">
        <w:rPr>
          <w:rFonts w:ascii="Arial" w:hAnsi="Arial" w:cs="Arial"/>
          <w:sz w:val="20"/>
          <w:lang w:val="en-CA" w:eastAsia="en-CA"/>
        </w:rPr>
        <w:t>August 31</w:t>
      </w:r>
      <w:r w:rsidR="00BA69B8">
        <w:rPr>
          <w:rFonts w:ascii="Arial" w:hAnsi="Arial" w:cs="Arial"/>
          <w:sz w:val="20"/>
          <w:lang w:val="en-CA" w:eastAsia="en-CA"/>
        </w:rPr>
        <w:t>, 202</w:t>
      </w:r>
      <w:r w:rsidR="002F05F2">
        <w:rPr>
          <w:rFonts w:ascii="Arial" w:hAnsi="Arial" w:cs="Arial"/>
          <w:sz w:val="20"/>
          <w:lang w:val="en-CA" w:eastAsia="en-CA"/>
        </w:rPr>
        <w:t>2</w:t>
      </w:r>
      <w:r w:rsidRPr="00CF1DE8">
        <w:rPr>
          <w:rFonts w:ascii="Arial" w:hAnsi="Arial" w:cs="Arial"/>
          <w:sz w:val="20"/>
          <w:lang w:val="en-CA" w:eastAsia="en-CA"/>
        </w:rPr>
        <w:t>, financial instruments consist of cash, accounts receivable and other receivables,</w:t>
      </w:r>
      <w:r w:rsidR="00DF2D01">
        <w:rPr>
          <w:rFonts w:ascii="Arial" w:hAnsi="Arial" w:cs="Arial"/>
          <w:sz w:val="20"/>
          <w:lang w:val="en-CA" w:eastAsia="en-CA"/>
        </w:rPr>
        <w:t xml:space="preserve"> </w:t>
      </w:r>
      <w:r w:rsidRPr="00CF1DE8">
        <w:rPr>
          <w:rFonts w:ascii="Arial" w:hAnsi="Arial" w:cs="Arial"/>
          <w:sz w:val="20"/>
          <w:lang w:val="en-CA" w:eastAsia="en-CA"/>
        </w:rPr>
        <w:t>accounts payable</w:t>
      </w:r>
      <w:r w:rsidR="00C7677F">
        <w:rPr>
          <w:rFonts w:ascii="Arial" w:hAnsi="Arial" w:cs="Arial"/>
          <w:sz w:val="20"/>
          <w:lang w:val="en-CA" w:eastAsia="en-CA"/>
        </w:rPr>
        <w:t>,</w:t>
      </w:r>
      <w:r w:rsidRPr="00CF1DE8">
        <w:rPr>
          <w:rFonts w:ascii="Arial" w:hAnsi="Arial" w:cs="Arial"/>
          <w:sz w:val="20"/>
          <w:lang w:val="en-CA" w:eastAsia="en-CA"/>
        </w:rPr>
        <w:t xml:space="preserve"> accrued liabilities</w:t>
      </w:r>
      <w:r w:rsidR="00AB1671">
        <w:rPr>
          <w:rFonts w:ascii="Arial" w:hAnsi="Arial" w:cs="Arial"/>
          <w:sz w:val="20"/>
          <w:lang w:val="en-CA" w:eastAsia="en-CA"/>
        </w:rPr>
        <w:t xml:space="preserve">, </w:t>
      </w:r>
      <w:r w:rsidR="002768B7">
        <w:rPr>
          <w:rFonts w:ascii="Arial" w:hAnsi="Arial" w:cs="Arial"/>
          <w:sz w:val="20"/>
          <w:lang w:val="en-CA" w:eastAsia="en-CA"/>
        </w:rPr>
        <w:t xml:space="preserve">convertible debentures, derivative liabilities, </w:t>
      </w:r>
      <w:r w:rsidR="00AF5D38">
        <w:rPr>
          <w:rFonts w:ascii="Arial" w:hAnsi="Arial" w:cs="Arial"/>
          <w:sz w:val="20"/>
          <w:lang w:val="en-CA" w:eastAsia="en-CA"/>
        </w:rPr>
        <w:t xml:space="preserve">and </w:t>
      </w:r>
      <w:r w:rsidR="00C7677F">
        <w:rPr>
          <w:rFonts w:ascii="Arial" w:hAnsi="Arial" w:cs="Arial"/>
          <w:sz w:val="20"/>
          <w:lang w:val="en-CA" w:eastAsia="en-CA"/>
        </w:rPr>
        <w:t>short-term loans</w:t>
      </w:r>
      <w:r w:rsidRPr="00CF1DE8">
        <w:rPr>
          <w:rFonts w:ascii="Arial" w:hAnsi="Arial" w:cs="Arial"/>
          <w:sz w:val="20"/>
          <w:lang w:val="en-CA" w:eastAsia="en-CA"/>
        </w:rPr>
        <w:t>.  The fair values of these financial instruments approximate their carrying values due to the relatively short-term maturity of these instruments.</w:t>
      </w:r>
    </w:p>
    <w:p w14:paraId="3DAE8341" w14:textId="77777777" w:rsidR="00CF1DE8" w:rsidRPr="00CF1DE8" w:rsidRDefault="00CF1DE8" w:rsidP="00CF1DE8">
      <w:pPr>
        <w:widowControl w:val="0"/>
        <w:autoSpaceDE w:val="0"/>
        <w:autoSpaceDN w:val="0"/>
        <w:adjustRightInd w:val="0"/>
        <w:spacing w:line="276" w:lineRule="auto"/>
        <w:jc w:val="both"/>
        <w:rPr>
          <w:rFonts w:ascii="Arial" w:hAnsi="Arial" w:cs="Arial"/>
          <w:sz w:val="20"/>
          <w:lang w:val="en-CA" w:eastAsia="en-CA"/>
        </w:rPr>
      </w:pPr>
    </w:p>
    <w:bookmarkEnd w:id="2"/>
    <w:p w14:paraId="5C21ED75" w14:textId="54861579" w:rsidR="00A53416" w:rsidRPr="00A53416" w:rsidRDefault="00A53416" w:rsidP="00A53416">
      <w:pPr>
        <w:widowControl w:val="0"/>
        <w:autoSpaceDE w:val="0"/>
        <w:autoSpaceDN w:val="0"/>
        <w:adjustRightInd w:val="0"/>
        <w:spacing w:line="276" w:lineRule="auto"/>
        <w:jc w:val="both"/>
        <w:rPr>
          <w:rFonts w:ascii="Arial" w:hAnsi="Arial" w:cs="Arial"/>
          <w:color w:val="000000"/>
          <w:sz w:val="20"/>
          <w:lang w:val="en-CA" w:eastAsia="en-CA"/>
        </w:rPr>
      </w:pPr>
      <w:r w:rsidRPr="00A53416">
        <w:rPr>
          <w:rFonts w:ascii="Arial" w:hAnsi="Arial" w:cs="Arial"/>
          <w:color w:val="000000"/>
          <w:sz w:val="20"/>
          <w:lang w:val="en-CA" w:eastAsia="en-CA"/>
        </w:rPr>
        <w:t xml:space="preserve">Fair value estimates are made at a specific point in time, based on relevant market information and information about financial instruments. These estimates are subject to and involve uncertainties and matters of significant judgment, </w:t>
      </w:r>
      <w:r w:rsidR="00214205">
        <w:rPr>
          <w:rFonts w:ascii="Arial" w:hAnsi="Arial" w:cs="Arial"/>
          <w:color w:val="000000"/>
          <w:sz w:val="20"/>
          <w:lang w:val="en-CA" w:eastAsia="en-CA"/>
        </w:rPr>
        <w:t xml:space="preserve">and </w:t>
      </w:r>
      <w:r w:rsidRPr="00A53416">
        <w:rPr>
          <w:rFonts w:ascii="Arial" w:hAnsi="Arial" w:cs="Arial"/>
          <w:color w:val="000000"/>
          <w:sz w:val="20"/>
          <w:lang w:val="en-CA" w:eastAsia="en-CA"/>
        </w:rPr>
        <w:t xml:space="preserve">therefore cannot be determined with precision. Changes in assumptions could significantly affect the estimates. </w:t>
      </w:r>
    </w:p>
    <w:p w14:paraId="1C9F7EA4" w14:textId="77777777" w:rsidR="00A53416" w:rsidRPr="00A53416" w:rsidRDefault="00A53416" w:rsidP="00A53416">
      <w:pPr>
        <w:widowControl w:val="0"/>
        <w:autoSpaceDE w:val="0"/>
        <w:autoSpaceDN w:val="0"/>
        <w:adjustRightInd w:val="0"/>
        <w:spacing w:line="276" w:lineRule="auto"/>
        <w:jc w:val="both"/>
        <w:rPr>
          <w:rFonts w:ascii="Arial" w:hAnsi="Arial" w:cs="Arial"/>
          <w:color w:val="000000"/>
          <w:sz w:val="20"/>
          <w:lang w:val="en-CA" w:eastAsia="en-CA"/>
        </w:rPr>
      </w:pPr>
    </w:p>
    <w:p w14:paraId="2DCA2AF4" w14:textId="3ED7ADAA" w:rsidR="00A53416" w:rsidRPr="00A53416" w:rsidRDefault="00A53416" w:rsidP="00A53416">
      <w:pPr>
        <w:widowControl w:val="0"/>
        <w:autoSpaceDE w:val="0"/>
        <w:autoSpaceDN w:val="0"/>
        <w:adjustRightInd w:val="0"/>
        <w:spacing w:line="276" w:lineRule="auto"/>
        <w:jc w:val="both"/>
        <w:rPr>
          <w:rFonts w:ascii="Arial" w:hAnsi="Arial" w:cs="Arial"/>
          <w:color w:val="000000"/>
          <w:sz w:val="20"/>
          <w:lang w:val="en-CA" w:eastAsia="en-CA"/>
        </w:rPr>
      </w:pPr>
      <w:r w:rsidRPr="00A53416">
        <w:rPr>
          <w:rFonts w:ascii="Arial" w:hAnsi="Arial" w:cs="Arial"/>
          <w:color w:val="000000"/>
          <w:sz w:val="20"/>
          <w:lang w:val="en-CA" w:eastAsia="en-CA"/>
        </w:rPr>
        <w:t xml:space="preserve">The Company classifies its financial instruments carried at fair value according to a three-level hierarchy that reflects the significance of the inputs used in making the fair value measurements. The three levels of fair value hierarchy are as follows: </w:t>
      </w:r>
    </w:p>
    <w:p w14:paraId="3FDE9028" w14:textId="77777777" w:rsidR="00A53416" w:rsidRPr="00A53416" w:rsidRDefault="00A53416" w:rsidP="00A53416">
      <w:pPr>
        <w:widowControl w:val="0"/>
        <w:autoSpaceDE w:val="0"/>
        <w:autoSpaceDN w:val="0"/>
        <w:adjustRightInd w:val="0"/>
        <w:spacing w:line="276" w:lineRule="auto"/>
        <w:jc w:val="both"/>
        <w:rPr>
          <w:rFonts w:ascii="Arial" w:hAnsi="Arial" w:cs="Arial"/>
          <w:color w:val="000000"/>
          <w:sz w:val="20"/>
          <w:lang w:val="en-CA" w:eastAsia="en-CA"/>
        </w:rPr>
      </w:pPr>
    </w:p>
    <w:p w14:paraId="584D2D3D" w14:textId="77777777" w:rsidR="00A53416" w:rsidRPr="00A53416" w:rsidRDefault="00A53416" w:rsidP="00A53416">
      <w:pPr>
        <w:widowControl w:val="0"/>
        <w:numPr>
          <w:ilvl w:val="0"/>
          <w:numId w:val="45"/>
        </w:numPr>
        <w:overflowPunct w:val="0"/>
        <w:autoSpaceDE w:val="0"/>
        <w:autoSpaceDN w:val="0"/>
        <w:adjustRightInd w:val="0"/>
        <w:spacing w:line="276" w:lineRule="auto"/>
        <w:ind w:left="360"/>
        <w:jc w:val="both"/>
        <w:textAlignment w:val="baseline"/>
        <w:rPr>
          <w:rFonts w:ascii="Arial" w:hAnsi="Arial" w:cs="Arial"/>
          <w:sz w:val="20"/>
          <w:lang w:val="en-CA" w:eastAsia="en-CA"/>
        </w:rPr>
      </w:pPr>
      <w:r w:rsidRPr="00A53416">
        <w:rPr>
          <w:rFonts w:ascii="Arial" w:hAnsi="Arial" w:cs="Arial"/>
          <w:color w:val="000000"/>
          <w:sz w:val="20"/>
          <w:lang w:val="en-CA" w:eastAsia="en-CA"/>
        </w:rPr>
        <w:t xml:space="preserve">Level 1 – Unadjusted quoted prices in active markets for identical assets or liabilities; </w:t>
      </w:r>
    </w:p>
    <w:p w14:paraId="23CD6DC8" w14:textId="77777777" w:rsidR="00A53416" w:rsidRPr="00A53416" w:rsidRDefault="00A53416" w:rsidP="00A53416">
      <w:pPr>
        <w:widowControl w:val="0"/>
        <w:numPr>
          <w:ilvl w:val="0"/>
          <w:numId w:val="45"/>
        </w:numPr>
        <w:overflowPunct w:val="0"/>
        <w:autoSpaceDE w:val="0"/>
        <w:autoSpaceDN w:val="0"/>
        <w:adjustRightInd w:val="0"/>
        <w:spacing w:line="276" w:lineRule="auto"/>
        <w:ind w:left="360"/>
        <w:jc w:val="both"/>
        <w:textAlignment w:val="baseline"/>
        <w:rPr>
          <w:rFonts w:ascii="Arial" w:hAnsi="Arial" w:cs="Arial"/>
          <w:sz w:val="20"/>
          <w:lang w:val="en-CA" w:eastAsia="en-CA"/>
        </w:rPr>
      </w:pPr>
      <w:r w:rsidRPr="00A53416">
        <w:rPr>
          <w:rFonts w:ascii="Arial" w:hAnsi="Arial" w:cs="Arial"/>
          <w:color w:val="000000"/>
          <w:sz w:val="20"/>
          <w:lang w:val="en-CA" w:eastAsia="en-CA"/>
        </w:rPr>
        <w:t xml:space="preserve">Level 2 - Inputs other than quoted prices that are observable for assets and liabilities, either directly or indirectly; </w:t>
      </w:r>
    </w:p>
    <w:p w14:paraId="1AF9455C" w14:textId="77777777" w:rsidR="00A53416" w:rsidRPr="00A53416" w:rsidRDefault="00A53416" w:rsidP="00A53416">
      <w:pPr>
        <w:widowControl w:val="0"/>
        <w:numPr>
          <w:ilvl w:val="0"/>
          <w:numId w:val="45"/>
        </w:numPr>
        <w:overflowPunct w:val="0"/>
        <w:autoSpaceDE w:val="0"/>
        <w:autoSpaceDN w:val="0"/>
        <w:adjustRightInd w:val="0"/>
        <w:spacing w:line="276" w:lineRule="auto"/>
        <w:ind w:left="360"/>
        <w:jc w:val="both"/>
        <w:textAlignment w:val="baseline"/>
        <w:rPr>
          <w:rFonts w:ascii="Arial" w:hAnsi="Arial" w:cs="Arial"/>
          <w:sz w:val="20"/>
          <w:lang w:val="en-CA" w:eastAsia="en-CA"/>
        </w:rPr>
      </w:pPr>
      <w:r w:rsidRPr="00A53416">
        <w:rPr>
          <w:rFonts w:ascii="Arial" w:hAnsi="Arial" w:cs="Arial"/>
          <w:color w:val="000000"/>
          <w:sz w:val="20"/>
          <w:lang w:val="en-CA" w:eastAsia="en-CA"/>
        </w:rPr>
        <w:t>Level 3 – Inputs for assets or liabilities that are not based on observable market data.</w:t>
      </w:r>
    </w:p>
    <w:p w14:paraId="67E69AA2" w14:textId="77777777" w:rsidR="00A53416" w:rsidRPr="00A53416" w:rsidRDefault="00A53416" w:rsidP="00A53416">
      <w:pPr>
        <w:widowControl w:val="0"/>
        <w:autoSpaceDE w:val="0"/>
        <w:autoSpaceDN w:val="0"/>
        <w:adjustRightInd w:val="0"/>
        <w:spacing w:line="276" w:lineRule="auto"/>
        <w:jc w:val="both"/>
        <w:rPr>
          <w:rFonts w:ascii="Arial" w:hAnsi="Arial" w:cs="Arial"/>
          <w:sz w:val="20"/>
          <w:lang w:val="en-CA" w:eastAsia="en-CA"/>
        </w:rPr>
      </w:pPr>
    </w:p>
    <w:p w14:paraId="14C72C3E" w14:textId="2EC1DDDC" w:rsidR="00A53416" w:rsidRPr="00A53416" w:rsidRDefault="00A53416" w:rsidP="00A53416">
      <w:pPr>
        <w:widowControl w:val="0"/>
        <w:autoSpaceDE w:val="0"/>
        <w:autoSpaceDN w:val="0"/>
        <w:adjustRightInd w:val="0"/>
        <w:spacing w:line="276" w:lineRule="auto"/>
        <w:jc w:val="both"/>
        <w:rPr>
          <w:rFonts w:ascii="Arial" w:hAnsi="Arial" w:cs="Arial"/>
          <w:sz w:val="20"/>
          <w:lang w:val="en-CA" w:eastAsia="en-CA"/>
        </w:rPr>
      </w:pPr>
      <w:r w:rsidRPr="00A53416">
        <w:rPr>
          <w:rFonts w:ascii="Arial" w:hAnsi="Arial" w:cs="Arial"/>
          <w:sz w:val="20"/>
          <w:lang w:val="en-CA" w:eastAsia="en-CA"/>
        </w:rPr>
        <w:t xml:space="preserve">As </w:t>
      </w:r>
      <w:proofErr w:type="gramStart"/>
      <w:r w:rsidRPr="00A53416">
        <w:rPr>
          <w:rFonts w:ascii="Arial" w:hAnsi="Arial" w:cs="Arial"/>
          <w:sz w:val="20"/>
          <w:lang w:val="en-CA" w:eastAsia="en-CA"/>
        </w:rPr>
        <w:t>at</w:t>
      </w:r>
      <w:proofErr w:type="gramEnd"/>
      <w:r w:rsidR="00214205">
        <w:rPr>
          <w:rFonts w:ascii="Arial" w:hAnsi="Arial" w:cs="Arial"/>
          <w:sz w:val="20"/>
          <w:lang w:val="en-CA" w:eastAsia="en-CA"/>
        </w:rPr>
        <w:t xml:space="preserve"> </w:t>
      </w:r>
      <w:r w:rsidR="00AF5D38">
        <w:rPr>
          <w:rFonts w:ascii="Arial" w:hAnsi="Arial" w:cs="Arial"/>
          <w:sz w:val="20"/>
          <w:lang w:val="en-CA" w:eastAsia="en-CA"/>
        </w:rPr>
        <w:t xml:space="preserve">November 30, 2022 and </w:t>
      </w:r>
      <w:r w:rsidR="00FC142D">
        <w:rPr>
          <w:rFonts w:ascii="Arial" w:hAnsi="Arial" w:cs="Arial"/>
          <w:sz w:val="20"/>
          <w:lang w:val="en-CA" w:eastAsia="en-CA"/>
        </w:rPr>
        <w:t>August 31</w:t>
      </w:r>
      <w:r w:rsidRPr="00A53416">
        <w:rPr>
          <w:rFonts w:ascii="Arial" w:hAnsi="Arial" w:cs="Arial"/>
          <w:sz w:val="20"/>
          <w:lang w:val="en-CA" w:eastAsia="en-CA"/>
        </w:rPr>
        <w:t>, 202</w:t>
      </w:r>
      <w:r w:rsidR="002F05F2">
        <w:rPr>
          <w:rFonts w:ascii="Arial" w:hAnsi="Arial" w:cs="Arial"/>
          <w:sz w:val="20"/>
          <w:lang w:val="en-CA" w:eastAsia="en-CA"/>
        </w:rPr>
        <w:t>2</w:t>
      </w:r>
      <w:r w:rsidRPr="00A53416">
        <w:rPr>
          <w:rFonts w:ascii="Arial" w:hAnsi="Arial" w:cs="Arial"/>
          <w:sz w:val="20"/>
          <w:lang w:val="en-CA" w:eastAsia="en-CA"/>
        </w:rPr>
        <w:t>, cash is recorded at fair value under Level 1 within the fair value hierarchy and the derivative liability is classified as Level 3 within the fair value hierarchy.</w:t>
      </w:r>
    </w:p>
    <w:p w14:paraId="17CB529A" w14:textId="53AA75CB" w:rsidR="009E7EC6" w:rsidRDefault="009E7EC6">
      <w:pPr>
        <w:rPr>
          <w:rFonts w:ascii="Arial" w:hAnsi="Arial" w:cs="Arial"/>
          <w:sz w:val="20"/>
          <w:lang w:val="en-CA" w:eastAsia="en-CA"/>
        </w:rPr>
      </w:pPr>
    </w:p>
    <w:p w14:paraId="69C8F38F" w14:textId="7D21C565" w:rsidR="00A53416" w:rsidRDefault="00A53416" w:rsidP="00A53416">
      <w:pPr>
        <w:widowControl w:val="0"/>
        <w:autoSpaceDE w:val="0"/>
        <w:autoSpaceDN w:val="0"/>
        <w:adjustRightInd w:val="0"/>
        <w:spacing w:line="276" w:lineRule="auto"/>
        <w:jc w:val="both"/>
        <w:rPr>
          <w:rFonts w:ascii="Arial" w:hAnsi="Arial" w:cs="Arial"/>
          <w:sz w:val="20"/>
          <w:lang w:val="en-CA" w:eastAsia="en-CA"/>
        </w:rPr>
      </w:pPr>
      <w:r w:rsidRPr="00A53416">
        <w:rPr>
          <w:rFonts w:ascii="Arial" w:hAnsi="Arial" w:cs="Arial"/>
          <w:sz w:val="20"/>
          <w:lang w:val="en-CA" w:eastAsia="en-CA"/>
        </w:rPr>
        <w:t>The following table shows the valuation techniques used in measuring Level 3 fair values for the derivative liability as well as the significant unobservable inputs used.</w:t>
      </w:r>
    </w:p>
    <w:p w14:paraId="4AF875A4" w14:textId="62462872" w:rsidR="001F1E24" w:rsidRDefault="001F1E24">
      <w:pPr>
        <w:rPr>
          <w:rFonts w:ascii="Arial" w:hAnsi="Arial" w:cs="Arial"/>
          <w:sz w:val="20"/>
          <w:lang w:val="en-CA" w:eastAsia="en-CA"/>
        </w:rPr>
      </w:pPr>
    </w:p>
    <w:tbl>
      <w:tblPr>
        <w:tblStyle w:val="TableGrid4"/>
        <w:tblW w:w="9450" w:type="dxa"/>
        <w:tblInd w:w="-5" w:type="dxa"/>
        <w:tblLook w:val="04A0" w:firstRow="1" w:lastRow="0" w:firstColumn="1" w:lastColumn="0" w:noHBand="0" w:noVBand="1"/>
      </w:tblPr>
      <w:tblGrid>
        <w:gridCol w:w="1018"/>
        <w:gridCol w:w="2608"/>
        <w:gridCol w:w="2338"/>
        <w:gridCol w:w="3486"/>
      </w:tblGrid>
      <w:tr w:rsidR="00A53416" w:rsidRPr="00A53416" w14:paraId="2A6AABB5" w14:textId="77777777" w:rsidTr="005E0C33">
        <w:tc>
          <w:tcPr>
            <w:tcW w:w="1018" w:type="dxa"/>
            <w:tcBorders>
              <w:top w:val="single" w:sz="4" w:space="0" w:color="auto"/>
              <w:bottom w:val="single" w:sz="4" w:space="0" w:color="auto"/>
            </w:tcBorders>
          </w:tcPr>
          <w:p w14:paraId="5D34B633" w14:textId="77777777" w:rsidR="00A53416" w:rsidRPr="00A53416" w:rsidRDefault="00A53416" w:rsidP="00A53416">
            <w:pPr>
              <w:widowControl w:val="0"/>
              <w:spacing w:line="276" w:lineRule="auto"/>
              <w:jc w:val="both"/>
              <w:rPr>
                <w:rFonts w:ascii="Arial" w:hAnsi="Arial" w:cs="Arial"/>
                <w:b/>
                <w:sz w:val="18"/>
                <w:szCs w:val="18"/>
                <w:lang w:val="en-CA" w:eastAsia="en-CA"/>
              </w:rPr>
            </w:pPr>
            <w:r w:rsidRPr="00A53416">
              <w:rPr>
                <w:rFonts w:ascii="Arial" w:hAnsi="Arial" w:cs="Arial"/>
                <w:b/>
                <w:sz w:val="18"/>
                <w:szCs w:val="18"/>
                <w:lang w:val="en-CA" w:eastAsia="en-CA"/>
              </w:rPr>
              <w:t>Type</w:t>
            </w:r>
          </w:p>
        </w:tc>
        <w:tc>
          <w:tcPr>
            <w:tcW w:w="2608" w:type="dxa"/>
            <w:tcBorders>
              <w:top w:val="single" w:sz="4" w:space="0" w:color="auto"/>
              <w:bottom w:val="single" w:sz="4" w:space="0" w:color="auto"/>
            </w:tcBorders>
          </w:tcPr>
          <w:p w14:paraId="4A3EA907" w14:textId="77777777" w:rsidR="00A53416" w:rsidRPr="00A53416" w:rsidRDefault="00A53416" w:rsidP="00A53416">
            <w:pPr>
              <w:widowControl w:val="0"/>
              <w:spacing w:line="276" w:lineRule="auto"/>
              <w:jc w:val="both"/>
              <w:rPr>
                <w:rFonts w:ascii="Arial" w:hAnsi="Arial" w:cs="Arial"/>
                <w:b/>
                <w:sz w:val="18"/>
                <w:szCs w:val="18"/>
                <w:lang w:val="en-CA" w:eastAsia="en-CA"/>
              </w:rPr>
            </w:pPr>
            <w:r w:rsidRPr="00A53416">
              <w:rPr>
                <w:rFonts w:ascii="Arial" w:hAnsi="Arial" w:cs="Arial"/>
                <w:b/>
                <w:sz w:val="18"/>
                <w:szCs w:val="18"/>
                <w:lang w:val="en-CA" w:eastAsia="en-CA"/>
              </w:rPr>
              <w:t>Valuation technique</w:t>
            </w:r>
          </w:p>
        </w:tc>
        <w:tc>
          <w:tcPr>
            <w:tcW w:w="2338" w:type="dxa"/>
            <w:tcBorders>
              <w:top w:val="single" w:sz="4" w:space="0" w:color="auto"/>
              <w:bottom w:val="single" w:sz="4" w:space="0" w:color="auto"/>
            </w:tcBorders>
          </w:tcPr>
          <w:p w14:paraId="60E75DF6" w14:textId="77777777" w:rsidR="00A53416" w:rsidRPr="00A53416" w:rsidRDefault="00A53416" w:rsidP="00A53416">
            <w:pPr>
              <w:widowControl w:val="0"/>
              <w:spacing w:line="276" w:lineRule="auto"/>
              <w:rPr>
                <w:rFonts w:ascii="Arial" w:hAnsi="Arial" w:cs="Arial"/>
                <w:b/>
                <w:sz w:val="18"/>
                <w:szCs w:val="18"/>
                <w:lang w:val="en-CA" w:eastAsia="en-CA"/>
              </w:rPr>
            </w:pPr>
            <w:r w:rsidRPr="00A53416">
              <w:rPr>
                <w:rFonts w:ascii="Arial" w:hAnsi="Arial" w:cs="Arial"/>
                <w:b/>
                <w:sz w:val="18"/>
                <w:szCs w:val="18"/>
                <w:lang w:val="en-CA" w:eastAsia="en-CA"/>
              </w:rPr>
              <w:t>Key inputs</w:t>
            </w:r>
          </w:p>
        </w:tc>
        <w:tc>
          <w:tcPr>
            <w:tcW w:w="3486" w:type="dxa"/>
            <w:tcBorders>
              <w:top w:val="single" w:sz="4" w:space="0" w:color="auto"/>
              <w:bottom w:val="single" w:sz="4" w:space="0" w:color="auto"/>
            </w:tcBorders>
          </w:tcPr>
          <w:p w14:paraId="270CA034" w14:textId="77777777" w:rsidR="00A53416" w:rsidRPr="00A53416" w:rsidRDefault="00A53416" w:rsidP="00A53416">
            <w:pPr>
              <w:widowControl w:val="0"/>
              <w:spacing w:line="276" w:lineRule="auto"/>
              <w:rPr>
                <w:rFonts w:ascii="Arial" w:hAnsi="Arial" w:cs="Arial"/>
                <w:b/>
                <w:sz w:val="18"/>
                <w:szCs w:val="18"/>
                <w:lang w:val="en-CA" w:eastAsia="en-CA"/>
              </w:rPr>
            </w:pPr>
            <w:r w:rsidRPr="00A53416">
              <w:rPr>
                <w:rFonts w:ascii="Arial" w:hAnsi="Arial" w:cs="Arial"/>
                <w:b/>
                <w:sz w:val="18"/>
                <w:szCs w:val="18"/>
                <w:lang w:val="en-CA" w:eastAsia="en-CA"/>
              </w:rPr>
              <w:t>Inter-relationship between significant inputs and fair value measurement</w:t>
            </w:r>
          </w:p>
        </w:tc>
      </w:tr>
      <w:tr w:rsidR="00A53416" w:rsidRPr="00A53416" w14:paraId="6631D03D" w14:textId="77777777" w:rsidTr="005E0C33">
        <w:tc>
          <w:tcPr>
            <w:tcW w:w="1018" w:type="dxa"/>
            <w:tcBorders>
              <w:top w:val="single" w:sz="4" w:space="0" w:color="auto"/>
              <w:bottom w:val="single" w:sz="4" w:space="0" w:color="auto"/>
            </w:tcBorders>
          </w:tcPr>
          <w:p w14:paraId="5949F6CD" w14:textId="77777777" w:rsidR="00A53416" w:rsidRPr="00A53416" w:rsidRDefault="00A53416" w:rsidP="00A53416">
            <w:pPr>
              <w:widowControl w:val="0"/>
              <w:spacing w:line="276" w:lineRule="auto"/>
              <w:jc w:val="both"/>
              <w:rPr>
                <w:rFonts w:ascii="Arial" w:hAnsi="Arial" w:cs="Arial"/>
                <w:sz w:val="18"/>
                <w:szCs w:val="18"/>
                <w:lang w:val="en-CA" w:eastAsia="en-CA"/>
              </w:rPr>
            </w:pPr>
            <w:r w:rsidRPr="00A53416">
              <w:rPr>
                <w:rFonts w:ascii="Arial" w:hAnsi="Arial" w:cs="Arial"/>
                <w:sz w:val="18"/>
                <w:szCs w:val="18"/>
                <w:lang w:val="en-CA" w:eastAsia="en-CA"/>
              </w:rPr>
              <w:t>Derivative liability</w:t>
            </w:r>
          </w:p>
        </w:tc>
        <w:tc>
          <w:tcPr>
            <w:tcW w:w="2608" w:type="dxa"/>
            <w:tcBorders>
              <w:top w:val="single" w:sz="4" w:space="0" w:color="auto"/>
              <w:bottom w:val="single" w:sz="4" w:space="0" w:color="auto"/>
            </w:tcBorders>
          </w:tcPr>
          <w:p w14:paraId="058DEB38" w14:textId="77777777" w:rsidR="00A53416" w:rsidRPr="00A53416" w:rsidRDefault="00A53416" w:rsidP="00A53416">
            <w:pPr>
              <w:widowControl w:val="0"/>
              <w:spacing w:line="276" w:lineRule="auto"/>
              <w:rPr>
                <w:rFonts w:ascii="Arial" w:hAnsi="Arial" w:cs="Arial"/>
                <w:sz w:val="18"/>
                <w:szCs w:val="18"/>
                <w:lang w:val="en-CA" w:eastAsia="en-CA"/>
              </w:rPr>
            </w:pPr>
            <w:r w:rsidRPr="00A53416">
              <w:rPr>
                <w:rFonts w:ascii="Arial" w:hAnsi="Arial" w:cs="Arial"/>
                <w:sz w:val="18"/>
                <w:szCs w:val="18"/>
                <w:lang w:val="en-CA" w:eastAsia="en-CA"/>
              </w:rPr>
              <w:t xml:space="preserve">The fair value of derivative liability at initial recognition and at period-end has been calculated using a system of two-coupled Black Scholes Option pricing </w:t>
            </w:r>
            <w:r w:rsidRPr="00A53416">
              <w:rPr>
                <w:rFonts w:ascii="Arial" w:eastAsia="Calibri" w:hAnsi="Arial" w:cs="Arial"/>
                <w:color w:val="000000"/>
                <w:sz w:val="18"/>
                <w:szCs w:val="18"/>
                <w:lang w:val="en-CA" w:eastAsia="en-CA"/>
              </w:rPr>
              <w:t>equations and partial differential equations that are solved simultaneously using finite-difference methods.</w:t>
            </w:r>
          </w:p>
        </w:tc>
        <w:tc>
          <w:tcPr>
            <w:tcW w:w="2338" w:type="dxa"/>
            <w:tcBorders>
              <w:top w:val="single" w:sz="4" w:space="0" w:color="auto"/>
              <w:bottom w:val="single" w:sz="4" w:space="0" w:color="auto"/>
            </w:tcBorders>
          </w:tcPr>
          <w:p w14:paraId="30858788" w14:textId="77777777" w:rsidR="00A53416" w:rsidRPr="00A53416" w:rsidRDefault="00A53416" w:rsidP="00A53416">
            <w:pPr>
              <w:widowControl w:val="0"/>
              <w:spacing w:line="276" w:lineRule="auto"/>
              <w:rPr>
                <w:rFonts w:ascii="Arial" w:hAnsi="Arial" w:cs="Arial"/>
                <w:i/>
                <w:sz w:val="18"/>
                <w:szCs w:val="18"/>
                <w:lang w:val="en-CA" w:eastAsia="en-CA"/>
              </w:rPr>
            </w:pPr>
            <w:r w:rsidRPr="00A53416">
              <w:rPr>
                <w:rFonts w:ascii="Arial" w:hAnsi="Arial" w:cs="Arial"/>
                <w:i/>
                <w:sz w:val="18"/>
                <w:szCs w:val="18"/>
                <w:lang w:val="en-CA" w:eastAsia="en-CA"/>
              </w:rPr>
              <w:t>Key observable inputs</w:t>
            </w:r>
          </w:p>
          <w:p w14:paraId="0DAD2B20" w14:textId="77777777" w:rsidR="00A53416" w:rsidRPr="00A53416" w:rsidRDefault="00A53416" w:rsidP="00A53416">
            <w:pPr>
              <w:widowControl w:val="0"/>
              <w:numPr>
                <w:ilvl w:val="0"/>
                <w:numId w:val="45"/>
              </w:numPr>
              <w:spacing w:line="276" w:lineRule="auto"/>
              <w:ind w:left="0" w:hanging="180"/>
              <w:rPr>
                <w:rFonts w:ascii="Arial" w:hAnsi="Arial" w:cs="Arial"/>
                <w:i/>
                <w:sz w:val="18"/>
                <w:szCs w:val="18"/>
                <w:lang w:val="en-CA" w:eastAsia="en-CA"/>
              </w:rPr>
            </w:pPr>
            <w:r w:rsidRPr="00A53416">
              <w:rPr>
                <w:rFonts w:ascii="Arial" w:hAnsi="Arial" w:cs="Arial"/>
                <w:sz w:val="18"/>
                <w:szCs w:val="18"/>
                <w:lang w:val="en-CA" w:eastAsia="en-CA"/>
              </w:rPr>
              <w:t>Share price</w:t>
            </w:r>
          </w:p>
          <w:p w14:paraId="475C1F60" w14:textId="77777777" w:rsidR="00A53416" w:rsidRPr="00A53416" w:rsidRDefault="00A53416" w:rsidP="00A53416">
            <w:pPr>
              <w:widowControl w:val="0"/>
              <w:numPr>
                <w:ilvl w:val="0"/>
                <w:numId w:val="45"/>
              </w:numPr>
              <w:spacing w:line="276" w:lineRule="auto"/>
              <w:ind w:left="0" w:hanging="180"/>
              <w:rPr>
                <w:rFonts w:ascii="Arial" w:hAnsi="Arial" w:cs="Arial"/>
                <w:sz w:val="18"/>
                <w:szCs w:val="18"/>
                <w:lang w:val="en-CA" w:eastAsia="en-CA"/>
              </w:rPr>
            </w:pPr>
            <w:r w:rsidRPr="00A53416">
              <w:rPr>
                <w:rFonts w:ascii="Arial" w:hAnsi="Arial" w:cs="Arial"/>
                <w:sz w:val="18"/>
                <w:szCs w:val="18"/>
                <w:lang w:val="en-CA" w:eastAsia="en-CA"/>
              </w:rPr>
              <w:t>Risk free interest rate</w:t>
            </w:r>
          </w:p>
          <w:p w14:paraId="342C7AEB" w14:textId="77777777" w:rsidR="00A53416" w:rsidRPr="00A53416" w:rsidRDefault="00A53416" w:rsidP="00A53416">
            <w:pPr>
              <w:widowControl w:val="0"/>
              <w:numPr>
                <w:ilvl w:val="0"/>
                <w:numId w:val="45"/>
              </w:numPr>
              <w:spacing w:line="276" w:lineRule="auto"/>
              <w:ind w:left="0" w:hanging="180"/>
              <w:rPr>
                <w:rFonts w:ascii="Arial" w:hAnsi="Arial" w:cs="Arial"/>
                <w:sz w:val="18"/>
                <w:szCs w:val="18"/>
                <w:lang w:val="en-CA" w:eastAsia="en-CA"/>
              </w:rPr>
            </w:pPr>
            <w:r w:rsidRPr="00A53416">
              <w:rPr>
                <w:rFonts w:ascii="Arial" w:hAnsi="Arial" w:cs="Arial"/>
                <w:sz w:val="18"/>
                <w:szCs w:val="18"/>
                <w:lang w:val="en-CA" w:eastAsia="en-CA"/>
              </w:rPr>
              <w:t>Dividend yield</w:t>
            </w:r>
          </w:p>
          <w:p w14:paraId="2974696E" w14:textId="77777777" w:rsidR="00A53416" w:rsidRPr="00A53416" w:rsidRDefault="00A53416" w:rsidP="00A53416">
            <w:pPr>
              <w:widowControl w:val="0"/>
              <w:spacing w:line="276" w:lineRule="auto"/>
              <w:rPr>
                <w:rFonts w:ascii="Arial" w:hAnsi="Arial" w:cs="Arial"/>
                <w:i/>
                <w:sz w:val="18"/>
                <w:szCs w:val="18"/>
                <w:lang w:val="en-CA" w:eastAsia="en-CA"/>
              </w:rPr>
            </w:pPr>
            <w:r w:rsidRPr="00A53416">
              <w:rPr>
                <w:rFonts w:ascii="Arial" w:hAnsi="Arial" w:cs="Arial"/>
                <w:i/>
                <w:sz w:val="18"/>
                <w:szCs w:val="18"/>
                <w:lang w:val="en-CA" w:eastAsia="en-CA"/>
              </w:rPr>
              <w:t>Key unobservable inputs</w:t>
            </w:r>
          </w:p>
          <w:p w14:paraId="71FD758D" w14:textId="77777777" w:rsidR="00A53416" w:rsidRPr="00A53416" w:rsidRDefault="00A53416" w:rsidP="00A53416">
            <w:pPr>
              <w:widowControl w:val="0"/>
              <w:numPr>
                <w:ilvl w:val="0"/>
                <w:numId w:val="45"/>
              </w:numPr>
              <w:spacing w:line="276" w:lineRule="auto"/>
              <w:ind w:left="0" w:hanging="180"/>
              <w:rPr>
                <w:rFonts w:ascii="Arial" w:hAnsi="Arial" w:cs="Arial"/>
                <w:i/>
                <w:sz w:val="18"/>
                <w:szCs w:val="18"/>
                <w:lang w:val="en-CA" w:eastAsia="en-CA"/>
              </w:rPr>
            </w:pPr>
            <w:r w:rsidRPr="00A53416">
              <w:rPr>
                <w:rFonts w:ascii="Arial" w:hAnsi="Arial" w:cs="Arial"/>
                <w:sz w:val="18"/>
                <w:szCs w:val="18"/>
                <w:lang w:val="en-CA" w:eastAsia="en-CA"/>
              </w:rPr>
              <w:t>Expected volatility</w:t>
            </w:r>
          </w:p>
          <w:p w14:paraId="2393A533" w14:textId="77777777" w:rsidR="00A53416" w:rsidRPr="00A53416" w:rsidRDefault="00A53416" w:rsidP="00A53416">
            <w:pPr>
              <w:widowControl w:val="0"/>
              <w:numPr>
                <w:ilvl w:val="0"/>
                <w:numId w:val="45"/>
              </w:numPr>
              <w:spacing w:line="276" w:lineRule="auto"/>
              <w:ind w:left="0" w:hanging="180"/>
              <w:rPr>
                <w:rFonts w:ascii="Arial" w:hAnsi="Arial" w:cs="Arial"/>
                <w:sz w:val="18"/>
                <w:szCs w:val="18"/>
                <w:lang w:val="en-CA" w:eastAsia="en-CA"/>
              </w:rPr>
            </w:pPr>
            <w:r w:rsidRPr="00A53416">
              <w:rPr>
                <w:rFonts w:ascii="Arial" w:hAnsi="Arial" w:cs="Arial"/>
                <w:sz w:val="18"/>
                <w:szCs w:val="18"/>
                <w:lang w:val="en-CA" w:eastAsia="en-CA"/>
              </w:rPr>
              <w:t>Discount for lack of marketability</w:t>
            </w:r>
          </w:p>
        </w:tc>
        <w:tc>
          <w:tcPr>
            <w:tcW w:w="3486" w:type="dxa"/>
            <w:tcBorders>
              <w:top w:val="single" w:sz="4" w:space="0" w:color="auto"/>
              <w:bottom w:val="single" w:sz="4" w:space="0" w:color="auto"/>
            </w:tcBorders>
          </w:tcPr>
          <w:p w14:paraId="72355C7B" w14:textId="77777777" w:rsidR="00A53416" w:rsidRPr="00A53416" w:rsidRDefault="00A53416" w:rsidP="00A53416">
            <w:pPr>
              <w:widowControl w:val="0"/>
              <w:spacing w:line="276" w:lineRule="auto"/>
              <w:rPr>
                <w:rFonts w:ascii="Arial" w:hAnsi="Arial" w:cs="Arial"/>
                <w:sz w:val="18"/>
                <w:szCs w:val="18"/>
                <w:lang w:val="en-CA" w:eastAsia="en-CA"/>
              </w:rPr>
            </w:pPr>
            <w:r w:rsidRPr="00A53416">
              <w:rPr>
                <w:rFonts w:ascii="Arial" w:hAnsi="Arial" w:cs="Arial"/>
                <w:sz w:val="18"/>
                <w:szCs w:val="18"/>
                <w:lang w:val="en-CA" w:eastAsia="en-CA"/>
              </w:rPr>
              <w:t>The estimated fair value would increase (decrease) if:</w:t>
            </w:r>
          </w:p>
          <w:p w14:paraId="0429DB6A" w14:textId="77777777" w:rsidR="00A53416" w:rsidRPr="00A53416" w:rsidRDefault="00A53416" w:rsidP="00A53416">
            <w:pPr>
              <w:widowControl w:val="0"/>
              <w:numPr>
                <w:ilvl w:val="0"/>
                <w:numId w:val="45"/>
              </w:numPr>
              <w:spacing w:line="276" w:lineRule="auto"/>
              <w:ind w:left="0" w:hanging="246"/>
              <w:rPr>
                <w:rFonts w:ascii="Arial" w:hAnsi="Arial" w:cs="Arial"/>
                <w:sz w:val="18"/>
                <w:szCs w:val="18"/>
                <w:lang w:val="en-CA" w:eastAsia="en-CA"/>
              </w:rPr>
            </w:pPr>
            <w:r w:rsidRPr="00A53416">
              <w:rPr>
                <w:rFonts w:ascii="Arial" w:hAnsi="Arial" w:cs="Arial"/>
                <w:sz w:val="18"/>
                <w:szCs w:val="18"/>
                <w:lang w:val="en-CA" w:eastAsia="en-CA"/>
              </w:rPr>
              <w:t>The share price was higher (lower)</w:t>
            </w:r>
          </w:p>
          <w:p w14:paraId="54D32761" w14:textId="77777777" w:rsidR="00A53416" w:rsidRPr="00A53416" w:rsidRDefault="00A53416" w:rsidP="00A53416">
            <w:pPr>
              <w:widowControl w:val="0"/>
              <w:numPr>
                <w:ilvl w:val="0"/>
                <w:numId w:val="45"/>
              </w:numPr>
              <w:spacing w:line="276" w:lineRule="auto"/>
              <w:ind w:left="0" w:hanging="246"/>
              <w:rPr>
                <w:rFonts w:ascii="Arial" w:hAnsi="Arial" w:cs="Arial"/>
                <w:sz w:val="18"/>
                <w:szCs w:val="18"/>
                <w:lang w:val="en-CA" w:eastAsia="en-CA"/>
              </w:rPr>
            </w:pPr>
            <w:r w:rsidRPr="00A53416">
              <w:rPr>
                <w:rFonts w:ascii="Arial" w:hAnsi="Arial" w:cs="Arial"/>
                <w:sz w:val="18"/>
                <w:szCs w:val="18"/>
                <w:lang w:val="en-CA" w:eastAsia="en-CA"/>
              </w:rPr>
              <w:t>The risk-free interest rate was higher (lower)</w:t>
            </w:r>
          </w:p>
          <w:p w14:paraId="439AA515" w14:textId="77777777" w:rsidR="00A53416" w:rsidRPr="00A53416" w:rsidRDefault="00A53416" w:rsidP="00A53416">
            <w:pPr>
              <w:widowControl w:val="0"/>
              <w:numPr>
                <w:ilvl w:val="0"/>
                <w:numId w:val="45"/>
              </w:numPr>
              <w:spacing w:line="276" w:lineRule="auto"/>
              <w:ind w:left="0" w:hanging="246"/>
              <w:rPr>
                <w:rFonts w:ascii="Arial" w:hAnsi="Arial" w:cs="Arial"/>
                <w:sz w:val="18"/>
                <w:szCs w:val="18"/>
                <w:lang w:val="en-CA" w:eastAsia="en-CA"/>
              </w:rPr>
            </w:pPr>
            <w:r w:rsidRPr="00A53416">
              <w:rPr>
                <w:rFonts w:ascii="Arial" w:hAnsi="Arial" w:cs="Arial"/>
                <w:sz w:val="18"/>
                <w:szCs w:val="18"/>
                <w:lang w:val="en-CA" w:eastAsia="en-CA"/>
              </w:rPr>
              <w:t>The dividend yield was lower (higher)</w:t>
            </w:r>
          </w:p>
          <w:p w14:paraId="1EBBDF3D" w14:textId="77777777" w:rsidR="00A53416" w:rsidRPr="00A53416" w:rsidRDefault="00A53416" w:rsidP="00A53416">
            <w:pPr>
              <w:widowControl w:val="0"/>
              <w:numPr>
                <w:ilvl w:val="0"/>
                <w:numId w:val="45"/>
              </w:numPr>
              <w:spacing w:line="276" w:lineRule="auto"/>
              <w:ind w:left="0" w:hanging="246"/>
              <w:rPr>
                <w:rFonts w:ascii="Arial" w:hAnsi="Arial" w:cs="Arial"/>
                <w:sz w:val="18"/>
                <w:szCs w:val="18"/>
                <w:lang w:val="en-CA" w:eastAsia="en-CA"/>
              </w:rPr>
            </w:pPr>
            <w:r w:rsidRPr="00A53416">
              <w:rPr>
                <w:rFonts w:ascii="Arial" w:hAnsi="Arial" w:cs="Arial"/>
                <w:sz w:val="18"/>
                <w:szCs w:val="18"/>
                <w:lang w:val="en-CA" w:eastAsia="en-CA"/>
              </w:rPr>
              <w:t>The expected volatility was higher (lower)</w:t>
            </w:r>
          </w:p>
          <w:p w14:paraId="286FDB03" w14:textId="77777777" w:rsidR="00A53416" w:rsidRPr="00A53416" w:rsidRDefault="00A53416" w:rsidP="00A53416">
            <w:pPr>
              <w:widowControl w:val="0"/>
              <w:numPr>
                <w:ilvl w:val="0"/>
                <w:numId w:val="45"/>
              </w:numPr>
              <w:spacing w:line="276" w:lineRule="auto"/>
              <w:ind w:left="0" w:hanging="246"/>
              <w:rPr>
                <w:rFonts w:ascii="Arial" w:hAnsi="Arial" w:cs="Arial"/>
                <w:sz w:val="18"/>
                <w:szCs w:val="18"/>
                <w:lang w:val="en-CA" w:eastAsia="en-CA"/>
              </w:rPr>
            </w:pPr>
            <w:r w:rsidRPr="00A53416">
              <w:rPr>
                <w:rFonts w:ascii="Arial" w:hAnsi="Arial" w:cs="Arial"/>
                <w:sz w:val="18"/>
                <w:szCs w:val="18"/>
                <w:lang w:val="en-CA" w:eastAsia="en-CA"/>
              </w:rPr>
              <w:t>The discount for lack of marketability was lower (higher)</w:t>
            </w:r>
          </w:p>
        </w:tc>
      </w:tr>
    </w:tbl>
    <w:p w14:paraId="6C0269CC" w14:textId="77777777" w:rsidR="00A53416" w:rsidRPr="00A53416" w:rsidRDefault="00A53416" w:rsidP="00A53416">
      <w:pPr>
        <w:widowControl w:val="0"/>
        <w:autoSpaceDE w:val="0"/>
        <w:autoSpaceDN w:val="0"/>
        <w:adjustRightInd w:val="0"/>
        <w:spacing w:line="276" w:lineRule="auto"/>
        <w:jc w:val="both"/>
        <w:rPr>
          <w:rFonts w:ascii="Arial" w:hAnsi="Arial" w:cs="Arial"/>
          <w:sz w:val="20"/>
          <w:lang w:val="en-CA" w:eastAsia="en-CA"/>
        </w:rPr>
      </w:pPr>
    </w:p>
    <w:p w14:paraId="33A1979E" w14:textId="2A27EB00" w:rsidR="00A53416" w:rsidRDefault="00A53416" w:rsidP="00A53416">
      <w:pPr>
        <w:widowControl w:val="0"/>
        <w:autoSpaceDE w:val="0"/>
        <w:autoSpaceDN w:val="0"/>
        <w:adjustRightInd w:val="0"/>
        <w:spacing w:line="276" w:lineRule="auto"/>
        <w:jc w:val="both"/>
        <w:rPr>
          <w:rFonts w:ascii="Arial" w:hAnsi="Arial" w:cs="Arial"/>
          <w:sz w:val="20"/>
          <w:lang w:val="en-CA" w:eastAsia="en-CA"/>
        </w:rPr>
      </w:pPr>
      <w:r w:rsidRPr="00A53416">
        <w:rPr>
          <w:rFonts w:ascii="Arial" w:hAnsi="Arial" w:cs="Arial"/>
          <w:sz w:val="20"/>
          <w:lang w:val="en-CA" w:eastAsia="en-CA"/>
        </w:rPr>
        <w:t>For the fair values of the derivative liability, reasonably possible changes to the expected volatility, the most significant unobservable input would have the following effects:</w:t>
      </w:r>
    </w:p>
    <w:p w14:paraId="048DBE47" w14:textId="77777777" w:rsidR="00701952" w:rsidRPr="004D28CD" w:rsidRDefault="00701952" w:rsidP="00A53416">
      <w:pPr>
        <w:widowControl w:val="0"/>
        <w:autoSpaceDE w:val="0"/>
        <w:autoSpaceDN w:val="0"/>
        <w:adjustRightInd w:val="0"/>
        <w:spacing w:line="276" w:lineRule="auto"/>
        <w:jc w:val="both"/>
        <w:rPr>
          <w:rFonts w:ascii="Arial" w:hAnsi="Arial" w:cs="Arial"/>
          <w:sz w:val="12"/>
          <w:szCs w:val="12"/>
          <w:lang w:val="en-CA" w:eastAsia="en-CA"/>
        </w:rPr>
      </w:pPr>
    </w:p>
    <w:tbl>
      <w:tblPr>
        <w:tblStyle w:val="TableGrid4"/>
        <w:tblW w:w="9425" w:type="dxa"/>
        <w:tblInd w:w="-5" w:type="dxa"/>
        <w:tblLook w:val="04A0" w:firstRow="1" w:lastRow="0" w:firstColumn="1" w:lastColumn="0" w:noHBand="0" w:noVBand="1"/>
      </w:tblPr>
      <w:tblGrid>
        <w:gridCol w:w="6120"/>
        <w:gridCol w:w="1696"/>
        <w:gridCol w:w="1609"/>
      </w:tblGrid>
      <w:tr w:rsidR="00A53416" w:rsidRPr="00A53416" w14:paraId="765849EC" w14:textId="77777777" w:rsidTr="00797629">
        <w:tc>
          <w:tcPr>
            <w:tcW w:w="6120" w:type="dxa"/>
            <w:tcBorders>
              <w:top w:val="single" w:sz="4" w:space="0" w:color="auto"/>
            </w:tcBorders>
          </w:tcPr>
          <w:p w14:paraId="627A92EF" w14:textId="77777777" w:rsidR="00A53416" w:rsidRPr="00A53416" w:rsidRDefault="00A53416" w:rsidP="00A53416">
            <w:pPr>
              <w:widowControl w:val="0"/>
              <w:spacing w:line="276" w:lineRule="auto"/>
              <w:jc w:val="both"/>
              <w:rPr>
                <w:rFonts w:ascii="Arial" w:hAnsi="Arial" w:cs="Arial"/>
                <w:b/>
                <w:sz w:val="18"/>
                <w:szCs w:val="18"/>
                <w:lang w:val="en-CA" w:eastAsia="en-CA"/>
              </w:rPr>
            </w:pPr>
            <w:r w:rsidRPr="00A53416">
              <w:rPr>
                <w:rFonts w:ascii="Arial" w:hAnsi="Arial" w:cs="Arial"/>
                <w:b/>
                <w:sz w:val="18"/>
                <w:szCs w:val="18"/>
                <w:lang w:val="en-CA" w:eastAsia="en-CA"/>
              </w:rPr>
              <w:t>Derivative liability</w:t>
            </w:r>
          </w:p>
        </w:tc>
        <w:tc>
          <w:tcPr>
            <w:tcW w:w="3305" w:type="dxa"/>
            <w:gridSpan w:val="2"/>
            <w:tcBorders>
              <w:top w:val="single" w:sz="4" w:space="0" w:color="auto"/>
            </w:tcBorders>
          </w:tcPr>
          <w:p w14:paraId="1363CA65" w14:textId="0E42EBC8" w:rsidR="00A53416" w:rsidRPr="00A53416" w:rsidRDefault="00AF5D38" w:rsidP="00A53416">
            <w:pPr>
              <w:widowControl w:val="0"/>
              <w:spacing w:line="276" w:lineRule="auto"/>
              <w:jc w:val="center"/>
              <w:rPr>
                <w:rFonts w:ascii="Arial" w:hAnsi="Arial" w:cs="Arial"/>
                <w:b/>
                <w:sz w:val="18"/>
                <w:szCs w:val="18"/>
                <w:lang w:val="en-CA" w:eastAsia="en-CA"/>
              </w:rPr>
            </w:pPr>
            <w:r>
              <w:rPr>
                <w:rFonts w:ascii="Arial" w:hAnsi="Arial" w:cs="Arial"/>
                <w:b/>
                <w:sz w:val="18"/>
                <w:szCs w:val="18"/>
                <w:lang w:val="en-CA" w:eastAsia="en-CA"/>
              </w:rPr>
              <w:t>November 30,</w:t>
            </w:r>
            <w:r w:rsidR="00A53416" w:rsidRPr="00A53416">
              <w:rPr>
                <w:rFonts w:ascii="Arial" w:hAnsi="Arial" w:cs="Arial"/>
                <w:b/>
                <w:sz w:val="18"/>
                <w:szCs w:val="18"/>
                <w:lang w:val="en-CA" w:eastAsia="en-CA"/>
              </w:rPr>
              <w:t xml:space="preserve"> 202</w:t>
            </w:r>
            <w:r w:rsidR="00E54AFC">
              <w:rPr>
                <w:rFonts w:ascii="Arial" w:hAnsi="Arial" w:cs="Arial"/>
                <w:b/>
                <w:sz w:val="18"/>
                <w:szCs w:val="18"/>
                <w:lang w:val="en-CA" w:eastAsia="en-CA"/>
              </w:rPr>
              <w:t>2</w:t>
            </w:r>
          </w:p>
        </w:tc>
      </w:tr>
      <w:tr w:rsidR="00A53416" w:rsidRPr="00A53416" w14:paraId="71014325" w14:textId="77777777" w:rsidTr="00797629">
        <w:tc>
          <w:tcPr>
            <w:tcW w:w="6120" w:type="dxa"/>
            <w:tcBorders>
              <w:bottom w:val="single" w:sz="4" w:space="0" w:color="auto"/>
            </w:tcBorders>
          </w:tcPr>
          <w:p w14:paraId="3418DCA5" w14:textId="77777777" w:rsidR="00A53416" w:rsidRPr="00A53416" w:rsidRDefault="00A53416" w:rsidP="00A53416">
            <w:pPr>
              <w:widowControl w:val="0"/>
              <w:spacing w:line="276" w:lineRule="auto"/>
              <w:jc w:val="both"/>
              <w:rPr>
                <w:rFonts w:ascii="Arial" w:hAnsi="Arial" w:cs="Arial"/>
                <w:sz w:val="18"/>
                <w:szCs w:val="18"/>
                <w:lang w:val="en-CA" w:eastAsia="en-CA"/>
              </w:rPr>
            </w:pPr>
            <w:r w:rsidRPr="00A53416">
              <w:rPr>
                <w:rFonts w:ascii="Arial" w:hAnsi="Arial" w:cs="Arial"/>
                <w:b/>
                <w:sz w:val="18"/>
                <w:szCs w:val="18"/>
                <w:lang w:val="en-CA" w:eastAsia="en-CA"/>
              </w:rPr>
              <w:t>Comprehensive Loss</w:t>
            </w:r>
          </w:p>
        </w:tc>
        <w:tc>
          <w:tcPr>
            <w:tcW w:w="1696" w:type="dxa"/>
            <w:tcBorders>
              <w:bottom w:val="single" w:sz="4" w:space="0" w:color="auto"/>
            </w:tcBorders>
          </w:tcPr>
          <w:p w14:paraId="38D56DCC" w14:textId="77777777" w:rsidR="00A53416" w:rsidRPr="00A53416" w:rsidRDefault="00A53416" w:rsidP="00A53416">
            <w:pPr>
              <w:widowControl w:val="0"/>
              <w:spacing w:line="276" w:lineRule="auto"/>
              <w:jc w:val="center"/>
              <w:rPr>
                <w:rFonts w:ascii="Arial" w:hAnsi="Arial" w:cs="Arial"/>
                <w:b/>
                <w:sz w:val="18"/>
                <w:szCs w:val="18"/>
                <w:lang w:val="en-CA" w:eastAsia="en-CA"/>
              </w:rPr>
            </w:pPr>
            <w:r w:rsidRPr="00A53416">
              <w:rPr>
                <w:rFonts w:ascii="Arial" w:hAnsi="Arial" w:cs="Arial"/>
                <w:b/>
                <w:sz w:val="18"/>
                <w:szCs w:val="18"/>
                <w:lang w:val="en-CA" w:eastAsia="en-CA"/>
              </w:rPr>
              <w:t>Increase</w:t>
            </w:r>
          </w:p>
        </w:tc>
        <w:tc>
          <w:tcPr>
            <w:tcW w:w="1609" w:type="dxa"/>
            <w:tcBorders>
              <w:bottom w:val="single" w:sz="4" w:space="0" w:color="auto"/>
            </w:tcBorders>
          </w:tcPr>
          <w:p w14:paraId="6EE20C5D" w14:textId="77777777" w:rsidR="00A53416" w:rsidRPr="00A53416" w:rsidRDefault="00A53416" w:rsidP="00A53416">
            <w:pPr>
              <w:widowControl w:val="0"/>
              <w:spacing w:line="276" w:lineRule="auto"/>
              <w:jc w:val="center"/>
              <w:rPr>
                <w:rFonts w:ascii="Arial" w:hAnsi="Arial" w:cs="Arial"/>
                <w:b/>
                <w:sz w:val="18"/>
                <w:szCs w:val="18"/>
                <w:lang w:val="en-CA" w:eastAsia="en-CA"/>
              </w:rPr>
            </w:pPr>
            <w:r w:rsidRPr="00A53416">
              <w:rPr>
                <w:rFonts w:ascii="Arial" w:hAnsi="Arial" w:cs="Arial"/>
                <w:b/>
                <w:sz w:val="18"/>
                <w:szCs w:val="18"/>
                <w:lang w:val="en-CA" w:eastAsia="en-CA"/>
              </w:rPr>
              <w:t>Decrease</w:t>
            </w:r>
          </w:p>
        </w:tc>
      </w:tr>
      <w:tr w:rsidR="00A53416" w:rsidRPr="00A53416" w14:paraId="018597CE" w14:textId="77777777" w:rsidTr="00797629">
        <w:tc>
          <w:tcPr>
            <w:tcW w:w="6120" w:type="dxa"/>
            <w:tcBorders>
              <w:top w:val="single" w:sz="4" w:space="0" w:color="auto"/>
              <w:bottom w:val="single" w:sz="4" w:space="0" w:color="auto"/>
            </w:tcBorders>
          </w:tcPr>
          <w:p w14:paraId="5879C9EB" w14:textId="77777777" w:rsidR="00A53416" w:rsidRPr="00A53416" w:rsidRDefault="00A53416" w:rsidP="00A53416">
            <w:pPr>
              <w:widowControl w:val="0"/>
              <w:spacing w:line="276" w:lineRule="auto"/>
              <w:jc w:val="both"/>
              <w:rPr>
                <w:rFonts w:ascii="Arial" w:hAnsi="Arial" w:cs="Arial"/>
                <w:sz w:val="18"/>
                <w:szCs w:val="18"/>
                <w:lang w:val="en-CA" w:eastAsia="en-CA"/>
              </w:rPr>
            </w:pPr>
            <w:r w:rsidRPr="00A53416">
              <w:rPr>
                <w:rFonts w:ascii="Arial" w:hAnsi="Arial" w:cs="Arial"/>
                <w:sz w:val="18"/>
                <w:szCs w:val="18"/>
                <w:lang w:val="en-CA" w:eastAsia="en-CA"/>
              </w:rPr>
              <w:t>Expected volatility (20% change vs. model input)</w:t>
            </w:r>
          </w:p>
        </w:tc>
        <w:tc>
          <w:tcPr>
            <w:tcW w:w="1696" w:type="dxa"/>
            <w:tcBorders>
              <w:top w:val="single" w:sz="4" w:space="0" w:color="auto"/>
              <w:bottom w:val="single" w:sz="4" w:space="0" w:color="auto"/>
            </w:tcBorders>
          </w:tcPr>
          <w:p w14:paraId="5344105D" w14:textId="45F81C3F" w:rsidR="00A53416" w:rsidRPr="00A53416" w:rsidRDefault="00A53416" w:rsidP="00A53416">
            <w:pPr>
              <w:widowControl w:val="0"/>
              <w:spacing w:line="276" w:lineRule="auto"/>
              <w:jc w:val="right"/>
              <w:rPr>
                <w:rFonts w:ascii="Arial" w:hAnsi="Arial" w:cs="Arial"/>
                <w:sz w:val="18"/>
                <w:szCs w:val="18"/>
                <w:highlight w:val="yellow"/>
                <w:lang w:val="en-CA" w:eastAsia="en-CA"/>
              </w:rPr>
            </w:pPr>
            <w:r w:rsidRPr="00F27505">
              <w:rPr>
                <w:rFonts w:ascii="Arial" w:hAnsi="Arial" w:cs="Arial"/>
                <w:sz w:val="18"/>
                <w:szCs w:val="18"/>
                <w:lang w:val="en-CA" w:eastAsia="en-CA"/>
              </w:rPr>
              <w:t xml:space="preserve">$               </w:t>
            </w:r>
            <w:r w:rsidR="00F27505" w:rsidRPr="00F27505">
              <w:rPr>
                <w:rFonts w:ascii="Arial" w:hAnsi="Arial" w:cs="Arial"/>
                <w:sz w:val="18"/>
                <w:szCs w:val="18"/>
                <w:lang w:val="en-CA" w:eastAsia="en-CA"/>
              </w:rPr>
              <w:t>(1)</w:t>
            </w:r>
          </w:p>
        </w:tc>
        <w:tc>
          <w:tcPr>
            <w:tcW w:w="1609" w:type="dxa"/>
            <w:tcBorders>
              <w:top w:val="single" w:sz="4" w:space="0" w:color="auto"/>
              <w:bottom w:val="single" w:sz="4" w:space="0" w:color="auto"/>
            </w:tcBorders>
          </w:tcPr>
          <w:p w14:paraId="7534B160" w14:textId="0B5E9148" w:rsidR="00A53416" w:rsidRPr="00A53416" w:rsidRDefault="00A53416" w:rsidP="00A53416">
            <w:pPr>
              <w:widowControl w:val="0"/>
              <w:spacing w:line="276" w:lineRule="auto"/>
              <w:jc w:val="both"/>
              <w:rPr>
                <w:rFonts w:ascii="Arial" w:hAnsi="Arial" w:cs="Arial"/>
                <w:sz w:val="18"/>
                <w:szCs w:val="18"/>
                <w:highlight w:val="yellow"/>
                <w:lang w:val="en-CA" w:eastAsia="en-CA"/>
              </w:rPr>
            </w:pPr>
            <w:r w:rsidRPr="00F27505">
              <w:rPr>
                <w:rFonts w:ascii="Arial" w:hAnsi="Arial" w:cs="Arial"/>
                <w:sz w:val="18"/>
                <w:szCs w:val="18"/>
                <w:lang w:val="en-CA" w:eastAsia="en-CA"/>
              </w:rPr>
              <w:t xml:space="preserve">     $               </w:t>
            </w:r>
            <w:r w:rsidR="00F27505">
              <w:rPr>
                <w:rFonts w:ascii="Arial" w:hAnsi="Arial" w:cs="Arial"/>
                <w:sz w:val="18"/>
                <w:szCs w:val="18"/>
                <w:lang w:val="en-CA" w:eastAsia="en-CA"/>
              </w:rPr>
              <w:t>1</w:t>
            </w:r>
          </w:p>
        </w:tc>
      </w:tr>
    </w:tbl>
    <w:p w14:paraId="7D1D6AE9" w14:textId="77777777" w:rsidR="00A53416" w:rsidRPr="00A53416" w:rsidRDefault="00A53416" w:rsidP="00A53416">
      <w:pPr>
        <w:widowControl w:val="0"/>
        <w:autoSpaceDE w:val="0"/>
        <w:autoSpaceDN w:val="0"/>
        <w:adjustRightInd w:val="0"/>
        <w:spacing w:line="276" w:lineRule="auto"/>
        <w:jc w:val="both"/>
        <w:rPr>
          <w:rFonts w:ascii="Arial" w:hAnsi="Arial" w:cs="Arial"/>
          <w:sz w:val="20"/>
          <w:lang w:val="en-CA" w:eastAsia="en-CA"/>
        </w:rPr>
      </w:pPr>
    </w:p>
    <w:p w14:paraId="6C9B6BDF" w14:textId="77777777" w:rsidR="00A53416" w:rsidRPr="00A53416" w:rsidRDefault="00A53416" w:rsidP="00A53416">
      <w:pPr>
        <w:widowControl w:val="0"/>
        <w:autoSpaceDE w:val="0"/>
        <w:autoSpaceDN w:val="0"/>
        <w:adjustRightInd w:val="0"/>
        <w:spacing w:line="276" w:lineRule="auto"/>
        <w:jc w:val="both"/>
        <w:rPr>
          <w:rFonts w:ascii="Arial" w:hAnsi="Arial" w:cs="Arial"/>
          <w:sz w:val="20"/>
          <w:lang w:val="en-CA" w:eastAsia="en-CA"/>
        </w:rPr>
      </w:pPr>
      <w:r w:rsidRPr="00A53416">
        <w:rPr>
          <w:rFonts w:ascii="Arial" w:hAnsi="Arial" w:cs="Arial"/>
          <w:sz w:val="20"/>
          <w:lang w:val="en-CA" w:eastAsia="en-CA"/>
        </w:rPr>
        <w:t>The Company is exposed in varying degrees to a number of risks arising from financial instruments.  Management’s involvement in the operations allows for the identification of risks and variances from expectations. The Company does not participate in the use of financial instruments to mitigate these risks. The Board approves the risk management processes. The Board’s main objectives for managing risks are to ensure liquidity, the fulfillment of obligations and limit exposure to credit and market risks.</w:t>
      </w:r>
    </w:p>
    <w:p w14:paraId="21863FBA" w14:textId="77777777" w:rsidR="00A53416" w:rsidRPr="00A53416" w:rsidRDefault="00A53416" w:rsidP="00A53416">
      <w:pPr>
        <w:widowControl w:val="0"/>
        <w:autoSpaceDE w:val="0"/>
        <w:autoSpaceDN w:val="0"/>
        <w:adjustRightInd w:val="0"/>
        <w:spacing w:line="276" w:lineRule="auto"/>
        <w:jc w:val="both"/>
        <w:rPr>
          <w:rFonts w:ascii="Arial" w:hAnsi="Arial" w:cs="Arial"/>
          <w:color w:val="000000"/>
          <w:sz w:val="20"/>
          <w:u w:val="single"/>
          <w:lang w:val="en-CA" w:eastAsia="en-CA"/>
        </w:rPr>
      </w:pPr>
    </w:p>
    <w:p w14:paraId="364783D5" w14:textId="77777777" w:rsidR="00A53416" w:rsidRPr="00A53416" w:rsidRDefault="00A53416" w:rsidP="00A53416">
      <w:pPr>
        <w:widowControl w:val="0"/>
        <w:autoSpaceDE w:val="0"/>
        <w:autoSpaceDN w:val="0"/>
        <w:adjustRightInd w:val="0"/>
        <w:spacing w:line="276" w:lineRule="auto"/>
        <w:jc w:val="both"/>
        <w:rPr>
          <w:rFonts w:ascii="Arial" w:hAnsi="Arial" w:cs="Arial"/>
          <w:color w:val="000000"/>
          <w:sz w:val="20"/>
          <w:u w:val="single"/>
          <w:lang w:val="en-CA" w:eastAsia="en-CA"/>
        </w:rPr>
      </w:pPr>
      <w:r w:rsidRPr="00A53416">
        <w:rPr>
          <w:rFonts w:ascii="Arial" w:hAnsi="Arial" w:cs="Arial"/>
          <w:color w:val="000000"/>
          <w:sz w:val="20"/>
          <w:u w:val="single"/>
          <w:lang w:val="en-CA" w:eastAsia="en-CA"/>
        </w:rPr>
        <w:t>Credit risk</w:t>
      </w:r>
    </w:p>
    <w:p w14:paraId="7099643C" w14:textId="77777777" w:rsidR="00A53416" w:rsidRPr="00A53416" w:rsidRDefault="00A53416" w:rsidP="00A53416">
      <w:pPr>
        <w:widowControl w:val="0"/>
        <w:tabs>
          <w:tab w:val="left" w:pos="720"/>
        </w:tabs>
        <w:autoSpaceDE w:val="0"/>
        <w:autoSpaceDN w:val="0"/>
        <w:adjustRightInd w:val="0"/>
        <w:spacing w:line="276" w:lineRule="auto"/>
        <w:jc w:val="both"/>
        <w:rPr>
          <w:rFonts w:ascii="Arial" w:hAnsi="Arial" w:cs="Arial"/>
          <w:sz w:val="20"/>
          <w:lang w:val="en-CA" w:eastAsia="en-CA"/>
        </w:rPr>
      </w:pPr>
      <w:r w:rsidRPr="00A53416">
        <w:rPr>
          <w:rFonts w:ascii="Arial" w:hAnsi="Arial" w:cs="Arial"/>
          <w:color w:val="000000"/>
          <w:sz w:val="20"/>
          <w:szCs w:val="22"/>
          <w:lang w:val="en-CA" w:eastAsia="en-CA"/>
        </w:rPr>
        <w:t xml:space="preserve">Credit risk is the risk of financial loss to the Company if a customer or counterparty to a financial instrument fails to meet its obligations.  </w:t>
      </w:r>
      <w:r w:rsidRPr="00A53416">
        <w:rPr>
          <w:rFonts w:ascii="Arial" w:hAnsi="Arial" w:cs="Arial"/>
          <w:sz w:val="20"/>
          <w:lang w:val="en-CA" w:eastAsia="en-CA"/>
        </w:rPr>
        <w:t>The Company is exposed to credit risk through its cash balance which is held at Canadian financial institutions.  The Company believes its exposure to credit risk is not significant.</w:t>
      </w:r>
    </w:p>
    <w:p w14:paraId="47A7342D" w14:textId="77777777" w:rsidR="00A53416" w:rsidRPr="00A53416" w:rsidRDefault="00A53416" w:rsidP="00A53416">
      <w:pPr>
        <w:widowControl w:val="0"/>
        <w:autoSpaceDE w:val="0"/>
        <w:autoSpaceDN w:val="0"/>
        <w:adjustRightInd w:val="0"/>
        <w:spacing w:line="276" w:lineRule="auto"/>
        <w:jc w:val="both"/>
        <w:rPr>
          <w:rFonts w:ascii="Arial" w:hAnsi="Arial" w:cs="Arial"/>
          <w:color w:val="000000"/>
          <w:sz w:val="20"/>
          <w:lang w:val="en-CA" w:eastAsia="en-CA"/>
        </w:rPr>
      </w:pPr>
    </w:p>
    <w:p w14:paraId="74898F37" w14:textId="4D75DDF6" w:rsidR="00A53416" w:rsidRPr="00A53416" w:rsidRDefault="00A53416" w:rsidP="00A53416">
      <w:pPr>
        <w:widowControl w:val="0"/>
        <w:tabs>
          <w:tab w:val="left" w:pos="720"/>
        </w:tabs>
        <w:autoSpaceDE w:val="0"/>
        <w:autoSpaceDN w:val="0"/>
        <w:adjustRightInd w:val="0"/>
        <w:spacing w:line="276" w:lineRule="auto"/>
        <w:jc w:val="both"/>
        <w:rPr>
          <w:rFonts w:ascii="Arial" w:hAnsi="Arial" w:cs="Arial"/>
          <w:color w:val="000000"/>
          <w:sz w:val="20"/>
          <w:lang w:val="en-CA" w:eastAsia="en-CA"/>
        </w:rPr>
      </w:pPr>
      <w:r w:rsidRPr="00A53416">
        <w:rPr>
          <w:rFonts w:ascii="Arial" w:hAnsi="Arial" w:cs="Arial"/>
          <w:color w:val="000000"/>
          <w:sz w:val="20"/>
          <w:u w:val="single"/>
          <w:lang w:val="en-CA" w:eastAsia="en-CA"/>
        </w:rPr>
        <w:t>Interest rate risk</w:t>
      </w:r>
    </w:p>
    <w:p w14:paraId="5C482E42" w14:textId="4B288555" w:rsidR="00A53416" w:rsidRPr="00A53416" w:rsidRDefault="00A53416" w:rsidP="00A53416">
      <w:pPr>
        <w:overflowPunct w:val="0"/>
        <w:autoSpaceDE w:val="0"/>
        <w:autoSpaceDN w:val="0"/>
        <w:adjustRightInd w:val="0"/>
        <w:spacing w:line="276" w:lineRule="auto"/>
        <w:jc w:val="both"/>
        <w:textAlignment w:val="baseline"/>
        <w:rPr>
          <w:rFonts w:ascii="Arial" w:hAnsi="Arial" w:cs="Arial"/>
          <w:sz w:val="20"/>
          <w:lang w:val="en-CA"/>
        </w:rPr>
      </w:pPr>
      <w:r w:rsidRPr="00A53416">
        <w:rPr>
          <w:rFonts w:ascii="Arial" w:hAnsi="Arial" w:cs="Arial"/>
          <w:sz w:val="20"/>
          <w:lang w:val="en-CA"/>
        </w:rPr>
        <w:t xml:space="preserve">Interest rate risk is the risk that the fair value of future cash flows of a financial instrument will fluctuate because of changes in market interest rates.  Management believes the Company had no significant exposure to interest rate risk through its financial instruments as </w:t>
      </w:r>
      <w:proofErr w:type="gramStart"/>
      <w:r w:rsidRPr="00A53416">
        <w:rPr>
          <w:rFonts w:ascii="Arial" w:hAnsi="Arial" w:cs="Arial"/>
          <w:sz w:val="20"/>
          <w:lang w:val="en-CA"/>
        </w:rPr>
        <w:t>at</w:t>
      </w:r>
      <w:proofErr w:type="gramEnd"/>
      <w:r w:rsidRPr="00A53416">
        <w:rPr>
          <w:rFonts w:ascii="Arial" w:hAnsi="Arial" w:cs="Arial"/>
          <w:sz w:val="20"/>
          <w:lang w:val="en-CA"/>
        </w:rPr>
        <w:t xml:space="preserve"> </w:t>
      </w:r>
      <w:r w:rsidR="00AF5D38">
        <w:rPr>
          <w:rFonts w:ascii="Arial" w:hAnsi="Arial" w:cs="Arial"/>
          <w:sz w:val="20"/>
          <w:lang w:val="en-CA"/>
        </w:rPr>
        <w:t xml:space="preserve">November 30, 2022 and </w:t>
      </w:r>
      <w:r w:rsidR="00FC142D">
        <w:rPr>
          <w:rFonts w:ascii="Arial" w:hAnsi="Arial" w:cs="Arial"/>
          <w:sz w:val="20"/>
          <w:lang w:val="en-CA"/>
        </w:rPr>
        <w:t>August 31</w:t>
      </w:r>
      <w:r w:rsidR="006A6EBB">
        <w:rPr>
          <w:rFonts w:ascii="Arial" w:hAnsi="Arial" w:cs="Arial"/>
          <w:sz w:val="20"/>
          <w:lang w:val="en-CA"/>
        </w:rPr>
        <w:t>, 202</w:t>
      </w:r>
      <w:r w:rsidR="002F05F2">
        <w:rPr>
          <w:rFonts w:ascii="Arial" w:hAnsi="Arial" w:cs="Arial"/>
          <w:sz w:val="20"/>
          <w:lang w:val="en-CA"/>
        </w:rPr>
        <w:t>2</w:t>
      </w:r>
      <w:r w:rsidRPr="00A53416">
        <w:rPr>
          <w:rFonts w:ascii="Arial" w:hAnsi="Arial" w:cs="Arial"/>
          <w:sz w:val="20"/>
          <w:lang w:val="en-CA"/>
        </w:rPr>
        <w:t>.</w:t>
      </w:r>
    </w:p>
    <w:p w14:paraId="58238ECA" w14:textId="77777777" w:rsidR="00A53416" w:rsidRPr="00A53416" w:rsidRDefault="00A53416" w:rsidP="00A53416">
      <w:pPr>
        <w:spacing w:line="276" w:lineRule="auto"/>
        <w:ind w:hanging="540"/>
        <w:rPr>
          <w:rFonts w:ascii="Arial" w:hAnsi="Arial" w:cs="Arial"/>
          <w:b/>
          <w:sz w:val="20"/>
          <w:lang w:val="en-CA"/>
        </w:rPr>
      </w:pPr>
    </w:p>
    <w:p w14:paraId="6A31B310" w14:textId="77777777" w:rsidR="00AF5D38" w:rsidRDefault="00AF5D38">
      <w:pPr>
        <w:rPr>
          <w:rFonts w:ascii="Arial" w:hAnsi="Arial" w:cs="Arial"/>
          <w:color w:val="000000"/>
          <w:sz w:val="20"/>
          <w:u w:val="single"/>
          <w:lang w:val="en-CA" w:eastAsia="en-CA"/>
        </w:rPr>
      </w:pPr>
      <w:r>
        <w:rPr>
          <w:rFonts w:ascii="Arial" w:hAnsi="Arial" w:cs="Arial"/>
          <w:color w:val="000000"/>
          <w:sz w:val="20"/>
          <w:u w:val="single"/>
          <w:lang w:val="en-CA" w:eastAsia="en-CA"/>
        </w:rPr>
        <w:br w:type="page"/>
      </w:r>
    </w:p>
    <w:p w14:paraId="6729BC0A" w14:textId="6C8FF833" w:rsidR="00A53416" w:rsidRPr="00A53416" w:rsidRDefault="00A53416" w:rsidP="00A53416">
      <w:pPr>
        <w:widowControl w:val="0"/>
        <w:tabs>
          <w:tab w:val="left" w:pos="720"/>
        </w:tabs>
        <w:autoSpaceDE w:val="0"/>
        <w:autoSpaceDN w:val="0"/>
        <w:adjustRightInd w:val="0"/>
        <w:spacing w:line="276" w:lineRule="auto"/>
        <w:jc w:val="both"/>
        <w:rPr>
          <w:color w:val="000000"/>
          <w:szCs w:val="22"/>
          <w:lang w:val="en-CA" w:eastAsia="en-CA"/>
        </w:rPr>
      </w:pPr>
      <w:r w:rsidRPr="00A53416">
        <w:rPr>
          <w:rFonts w:ascii="Arial" w:hAnsi="Arial" w:cs="Arial"/>
          <w:color w:val="000000"/>
          <w:sz w:val="20"/>
          <w:u w:val="single"/>
          <w:lang w:val="en-CA" w:eastAsia="en-CA"/>
        </w:rPr>
        <w:lastRenderedPageBreak/>
        <w:t>Liquidity risk</w:t>
      </w:r>
    </w:p>
    <w:p w14:paraId="25ADD02B" w14:textId="115EFDCC" w:rsidR="00A53416" w:rsidRPr="00A53416" w:rsidRDefault="00A53416" w:rsidP="00A53416">
      <w:pPr>
        <w:overflowPunct w:val="0"/>
        <w:autoSpaceDE w:val="0"/>
        <w:autoSpaceDN w:val="0"/>
        <w:adjustRightInd w:val="0"/>
        <w:spacing w:line="276" w:lineRule="auto"/>
        <w:jc w:val="both"/>
        <w:textAlignment w:val="baseline"/>
        <w:rPr>
          <w:rFonts w:ascii="Arial" w:hAnsi="Arial" w:cs="Arial"/>
          <w:sz w:val="20"/>
          <w:lang w:val="en-CA"/>
        </w:rPr>
      </w:pPr>
      <w:r w:rsidRPr="00A53416">
        <w:rPr>
          <w:rFonts w:ascii="Arial" w:hAnsi="Arial" w:cs="Arial"/>
          <w:sz w:val="20"/>
          <w:lang w:val="en-CA"/>
        </w:rPr>
        <w:t xml:space="preserve">Liquidity risk is the risk that the Company will not be able to meet its obligations associated with financial liabilities. The Company has a planning and budgeting process in place by which it anticipates and determines the funds required to support normal operation requirements. </w:t>
      </w:r>
      <w:r w:rsidR="00701952">
        <w:rPr>
          <w:rFonts w:ascii="Arial" w:hAnsi="Arial" w:cs="Arial"/>
          <w:sz w:val="20"/>
          <w:lang w:val="en-CA"/>
        </w:rPr>
        <w:t xml:space="preserve"> </w:t>
      </w:r>
      <w:r w:rsidRPr="00A53416">
        <w:rPr>
          <w:rFonts w:ascii="Arial" w:hAnsi="Arial" w:cs="Arial"/>
          <w:sz w:val="20"/>
          <w:lang w:val="en-CA"/>
        </w:rPr>
        <w:t>The Company coordinates this planning and budgeting process with its financing activities through the capital management process</w:t>
      </w:r>
      <w:r w:rsidR="00702D57">
        <w:rPr>
          <w:rFonts w:ascii="Arial" w:hAnsi="Arial" w:cs="Arial"/>
          <w:sz w:val="20"/>
          <w:lang w:val="en-CA"/>
        </w:rPr>
        <w:t>,</w:t>
      </w:r>
      <w:r w:rsidRPr="00A53416">
        <w:rPr>
          <w:rFonts w:ascii="Arial" w:hAnsi="Arial" w:cs="Arial"/>
          <w:sz w:val="20"/>
          <w:lang w:val="en-CA"/>
        </w:rPr>
        <w:t xml:space="preserve"> described </w:t>
      </w:r>
      <w:r w:rsidR="00B53251">
        <w:rPr>
          <w:rFonts w:ascii="Arial" w:hAnsi="Arial" w:cs="Arial"/>
          <w:sz w:val="20"/>
          <w:lang w:val="en-CA"/>
        </w:rPr>
        <w:t>above</w:t>
      </w:r>
      <w:r w:rsidR="00702D57">
        <w:rPr>
          <w:rFonts w:ascii="Arial" w:hAnsi="Arial" w:cs="Arial"/>
          <w:sz w:val="20"/>
          <w:lang w:val="en-CA"/>
        </w:rPr>
        <w:t>,</w:t>
      </w:r>
      <w:r w:rsidRPr="00A53416">
        <w:rPr>
          <w:rFonts w:ascii="Arial" w:hAnsi="Arial" w:cs="Arial"/>
          <w:sz w:val="20"/>
          <w:lang w:val="en-CA"/>
        </w:rPr>
        <w:t xml:space="preserve"> in normal circumstances.  </w:t>
      </w:r>
    </w:p>
    <w:p w14:paraId="48C5DB27" w14:textId="3B3F2D6B" w:rsidR="009A32C9" w:rsidRDefault="009A32C9">
      <w:pPr>
        <w:rPr>
          <w:rFonts w:ascii="Arial" w:hAnsi="Arial" w:cs="Arial"/>
          <w:b/>
          <w:sz w:val="20"/>
          <w:lang w:val="en-CA"/>
        </w:rPr>
      </w:pPr>
    </w:p>
    <w:p w14:paraId="322A689D" w14:textId="408EA6E6" w:rsidR="00E353F4" w:rsidRDefault="00E353F4" w:rsidP="008F2CD7">
      <w:pPr>
        <w:pStyle w:val="bn0"/>
        <w:spacing w:before="0" w:line="276" w:lineRule="auto"/>
        <w:ind w:left="360" w:hanging="360"/>
        <w:rPr>
          <w:rFonts w:cs="Arial"/>
        </w:rPr>
      </w:pPr>
      <w:r w:rsidRPr="00DE0932">
        <w:rPr>
          <w:rFonts w:cs="Arial"/>
        </w:rPr>
        <w:t>1</w:t>
      </w:r>
      <w:r w:rsidR="00E0658A">
        <w:rPr>
          <w:rFonts w:cs="Arial"/>
        </w:rPr>
        <w:t>3</w:t>
      </w:r>
      <w:r w:rsidRPr="00DE0932">
        <w:rPr>
          <w:rFonts w:cs="Arial"/>
        </w:rPr>
        <w:t>.</w:t>
      </w:r>
      <w:r w:rsidRPr="00DE0932">
        <w:rPr>
          <w:rFonts w:cs="Arial"/>
        </w:rPr>
        <w:tab/>
      </w:r>
      <w:r>
        <w:rPr>
          <w:rFonts w:cs="Arial"/>
        </w:rPr>
        <w:t>PROPOSED TRANSACTIONS &amp; OFF</w:t>
      </w:r>
      <w:r w:rsidR="00AB57B3">
        <w:rPr>
          <w:rFonts w:cs="Arial"/>
        </w:rPr>
        <w:t>-</w:t>
      </w:r>
      <w:r>
        <w:rPr>
          <w:rFonts w:cs="Arial"/>
        </w:rPr>
        <w:t xml:space="preserve"> BALANCE SHEET ARRANGEMENTS</w:t>
      </w:r>
    </w:p>
    <w:p w14:paraId="1179D249" w14:textId="77777777" w:rsidR="008F2CD7" w:rsidRPr="00C44394" w:rsidRDefault="008F2CD7" w:rsidP="008F2CD7">
      <w:pPr>
        <w:pStyle w:val="bn1"/>
        <w:spacing w:before="0" w:line="276" w:lineRule="auto"/>
        <w:ind w:left="0"/>
        <w:rPr>
          <w:rFonts w:cs="Arial"/>
        </w:rPr>
      </w:pPr>
    </w:p>
    <w:p w14:paraId="6896639E" w14:textId="5892A5E9" w:rsidR="00E353F4" w:rsidRPr="00E353F4" w:rsidRDefault="00E353F4" w:rsidP="008F2CD7">
      <w:pPr>
        <w:pStyle w:val="bn1"/>
        <w:spacing w:before="0" w:line="276" w:lineRule="auto"/>
        <w:ind w:left="0"/>
      </w:pPr>
      <w:r>
        <w:t xml:space="preserve">There are </w:t>
      </w:r>
      <w:r w:rsidR="008E7D88">
        <w:t xml:space="preserve">no </w:t>
      </w:r>
      <w:r w:rsidR="00017E38">
        <w:t xml:space="preserve">proposed transactions and </w:t>
      </w:r>
      <w:r>
        <w:t>off</w:t>
      </w:r>
      <w:r w:rsidR="00AB57B3">
        <w:t>-</w:t>
      </w:r>
      <w:r>
        <w:t>balance sheet arrangements.</w:t>
      </w:r>
    </w:p>
    <w:p w14:paraId="6A2C3F0D" w14:textId="77777777" w:rsidR="00E353F4" w:rsidRPr="00AB57B3" w:rsidRDefault="00E353F4" w:rsidP="008F2CD7">
      <w:pPr>
        <w:pStyle w:val="drfinancialstatements"/>
        <w:spacing w:line="276" w:lineRule="auto"/>
        <w:jc w:val="both"/>
        <w:rPr>
          <w:lang w:val="en-CA"/>
        </w:rPr>
      </w:pPr>
    </w:p>
    <w:p w14:paraId="6AFD3086" w14:textId="5D2588BF" w:rsidR="00793F45" w:rsidRPr="00DE0932" w:rsidRDefault="00B30BF6" w:rsidP="004D28CD">
      <w:pPr>
        <w:pStyle w:val="bn0"/>
        <w:spacing w:before="0" w:line="240" w:lineRule="auto"/>
        <w:ind w:left="360" w:hanging="360"/>
        <w:rPr>
          <w:rFonts w:cs="Arial"/>
        </w:rPr>
      </w:pPr>
      <w:r w:rsidRPr="00DE0932">
        <w:rPr>
          <w:rFonts w:cs="Arial"/>
        </w:rPr>
        <w:t>1</w:t>
      </w:r>
      <w:r w:rsidR="00E0658A">
        <w:rPr>
          <w:rFonts w:cs="Arial"/>
        </w:rPr>
        <w:t>4</w:t>
      </w:r>
      <w:r w:rsidR="00BC2449" w:rsidRPr="00DE0932">
        <w:rPr>
          <w:rFonts w:cs="Arial"/>
        </w:rPr>
        <w:t>.</w:t>
      </w:r>
      <w:r w:rsidR="00BC2449" w:rsidRPr="00DE0932">
        <w:rPr>
          <w:rFonts w:cs="Arial"/>
        </w:rPr>
        <w:tab/>
      </w:r>
      <w:r w:rsidR="00793F45" w:rsidRPr="00DE0932">
        <w:rPr>
          <w:rFonts w:cs="Arial"/>
        </w:rPr>
        <w:t>ADDITIONAL INFORMATION</w:t>
      </w:r>
    </w:p>
    <w:p w14:paraId="0E3B6AA9" w14:textId="77777777" w:rsidR="00525440" w:rsidRPr="00DE0932" w:rsidRDefault="00525440" w:rsidP="004D28CD">
      <w:pPr>
        <w:pStyle w:val="bn"/>
        <w:overflowPunct/>
        <w:autoSpaceDE/>
        <w:autoSpaceDN/>
        <w:adjustRightInd/>
        <w:spacing w:before="0" w:line="240" w:lineRule="auto"/>
        <w:textAlignment w:val="auto"/>
        <w:rPr>
          <w:rFonts w:cs="Arial"/>
          <w:lang w:val="en-US"/>
        </w:rPr>
      </w:pPr>
    </w:p>
    <w:p w14:paraId="62089642" w14:textId="52353B5A" w:rsidR="006E0120" w:rsidRPr="002F741F" w:rsidRDefault="00793F45" w:rsidP="004D28CD">
      <w:pPr>
        <w:pStyle w:val="bn"/>
        <w:overflowPunct/>
        <w:autoSpaceDE/>
        <w:autoSpaceDN/>
        <w:adjustRightInd/>
        <w:spacing w:before="0" w:line="240" w:lineRule="auto"/>
        <w:textAlignment w:val="auto"/>
        <w:rPr>
          <w:b/>
          <w:sz w:val="28"/>
          <w:szCs w:val="28"/>
        </w:rPr>
      </w:pPr>
      <w:r w:rsidRPr="00DE0932">
        <w:rPr>
          <w:rFonts w:cs="Arial"/>
          <w:lang w:val="en-US"/>
        </w:rPr>
        <w:t>Additional information regarding the Company’s financi</w:t>
      </w:r>
      <w:r w:rsidR="00076111" w:rsidRPr="00DE0932">
        <w:rPr>
          <w:rFonts w:cs="Arial"/>
          <w:lang w:val="en-US"/>
        </w:rPr>
        <w:t xml:space="preserve">al statements and </w:t>
      </w:r>
      <w:r w:rsidR="00525440" w:rsidRPr="00DE0932">
        <w:rPr>
          <w:rFonts w:cs="Arial"/>
          <w:lang w:val="en-US"/>
        </w:rPr>
        <w:t>corporate documents</w:t>
      </w:r>
      <w:r w:rsidR="00076111" w:rsidRPr="00DE0932">
        <w:rPr>
          <w:rFonts w:cs="Arial"/>
          <w:lang w:val="en-US"/>
        </w:rPr>
        <w:t xml:space="preserve"> is</w:t>
      </w:r>
      <w:r w:rsidRPr="00DE0932">
        <w:rPr>
          <w:rFonts w:cs="Arial"/>
          <w:lang w:val="en-US"/>
        </w:rPr>
        <w:t xml:space="preserve"> available </w:t>
      </w:r>
      <w:r w:rsidR="00525440" w:rsidRPr="00DE0932">
        <w:rPr>
          <w:rFonts w:cs="Arial"/>
          <w:lang w:val="en-US"/>
        </w:rPr>
        <w:t xml:space="preserve">on SEDAR at </w:t>
      </w:r>
      <w:hyperlink r:id="rId12" w:history="1">
        <w:r w:rsidR="00525440" w:rsidRPr="00DE0932">
          <w:rPr>
            <w:rStyle w:val="Hyperlink"/>
            <w:rFonts w:cs="Arial"/>
          </w:rPr>
          <w:t>www.sedar.com</w:t>
        </w:r>
      </w:hyperlink>
      <w:r w:rsidR="003E7BB1" w:rsidRPr="00DE0932">
        <w:rPr>
          <w:rFonts w:cs="Arial"/>
          <w:lang w:val="en-US"/>
        </w:rPr>
        <w:t>.</w:t>
      </w:r>
      <w:r w:rsidR="006E0120" w:rsidRPr="00DE0932">
        <w:rPr>
          <w:lang w:val="en-US"/>
        </w:rPr>
        <w:br w:type="page"/>
      </w:r>
      <w:r w:rsidR="00B90AE0" w:rsidRPr="002F741F">
        <w:rPr>
          <w:b/>
          <w:sz w:val="28"/>
          <w:szCs w:val="28"/>
        </w:rPr>
        <w:lastRenderedPageBreak/>
        <w:t>KURE TECHNOLOGIES,</w:t>
      </w:r>
      <w:r w:rsidR="006E0120" w:rsidRPr="002F741F">
        <w:rPr>
          <w:b/>
          <w:sz w:val="28"/>
          <w:szCs w:val="28"/>
        </w:rPr>
        <w:t xml:space="preserve"> INC. </w:t>
      </w:r>
    </w:p>
    <w:p w14:paraId="7E795058" w14:textId="77777777" w:rsidR="006E0120" w:rsidRPr="00DE0932" w:rsidRDefault="006E0120" w:rsidP="00CD7E54">
      <w:pPr>
        <w:pStyle w:val="FS1"/>
        <w:tabs>
          <w:tab w:val="decimal" w:pos="5310"/>
          <w:tab w:val="decimal" w:pos="6480"/>
          <w:tab w:val="decimal" w:pos="7200"/>
          <w:tab w:val="decimal" w:pos="8010"/>
          <w:tab w:val="decimal" w:pos="8280"/>
        </w:tabs>
        <w:jc w:val="both"/>
        <w:rPr>
          <w:rFonts w:cs="Arial"/>
        </w:rPr>
      </w:pPr>
      <w:r w:rsidRPr="00DE0932">
        <w:rPr>
          <w:rFonts w:cs="Arial"/>
        </w:rPr>
        <w:t>Shareholder Information</w:t>
      </w:r>
    </w:p>
    <w:p w14:paraId="0F0C2F2A" w14:textId="77777777" w:rsidR="006E0120" w:rsidRPr="00DE0932" w:rsidRDefault="006E0120" w:rsidP="00CD7E54">
      <w:pPr>
        <w:pStyle w:val="FS1"/>
        <w:tabs>
          <w:tab w:val="decimal" w:pos="5310"/>
          <w:tab w:val="decimal" w:pos="6480"/>
          <w:tab w:val="decimal" w:pos="7200"/>
          <w:tab w:val="decimal" w:pos="8010"/>
          <w:tab w:val="decimal" w:pos="8280"/>
        </w:tabs>
        <w:jc w:val="both"/>
        <w:rPr>
          <w:rFonts w:cs="Arial"/>
        </w:rPr>
      </w:pPr>
    </w:p>
    <w:p w14:paraId="617A2703" w14:textId="77777777" w:rsidR="006E0120" w:rsidRPr="00DE0932" w:rsidRDefault="006E0120" w:rsidP="00CD7E54">
      <w:pPr>
        <w:pStyle w:val="Top1"/>
        <w:rPr>
          <w:rFonts w:cs="Arial"/>
        </w:rPr>
      </w:pPr>
    </w:p>
    <w:p w14:paraId="2637863E" w14:textId="77777777" w:rsidR="009A41AB" w:rsidRPr="00647A6B" w:rsidRDefault="009A41AB" w:rsidP="00CD7E54">
      <w:pPr>
        <w:pStyle w:val="FS1"/>
        <w:tabs>
          <w:tab w:val="left" w:pos="5580"/>
        </w:tabs>
        <w:rPr>
          <w:rFonts w:cs="Arial"/>
          <w:b/>
        </w:rPr>
      </w:pPr>
      <w:r w:rsidRPr="00647A6B">
        <w:rPr>
          <w:rFonts w:cs="Arial"/>
          <w:b/>
        </w:rPr>
        <w:t>Board of Directors</w:t>
      </w:r>
      <w:r>
        <w:rPr>
          <w:rFonts w:cs="Arial"/>
          <w:b/>
        </w:rPr>
        <w:t xml:space="preserve"> and Officers</w:t>
      </w:r>
      <w:r w:rsidRPr="00647A6B">
        <w:rPr>
          <w:rFonts w:cs="Arial"/>
          <w:b/>
        </w:rPr>
        <w:tab/>
        <w:t>Auditors</w:t>
      </w:r>
    </w:p>
    <w:p w14:paraId="3B25BE6F" w14:textId="77777777" w:rsidR="009A41AB" w:rsidRPr="00647A6B" w:rsidRDefault="009A41AB" w:rsidP="00CD7E54">
      <w:pPr>
        <w:pStyle w:val="FS1"/>
        <w:tabs>
          <w:tab w:val="left" w:pos="5580"/>
        </w:tabs>
        <w:rPr>
          <w:rFonts w:cs="Arial"/>
        </w:rPr>
      </w:pPr>
    </w:p>
    <w:p w14:paraId="32076DDC" w14:textId="50B3F025" w:rsidR="009A41AB" w:rsidRPr="00647A6B" w:rsidRDefault="00245487" w:rsidP="00CD7E54">
      <w:pPr>
        <w:pStyle w:val="FS1"/>
        <w:tabs>
          <w:tab w:val="left" w:pos="5580"/>
        </w:tabs>
        <w:ind w:left="0" w:firstLine="0"/>
        <w:rPr>
          <w:rFonts w:cs="Arial"/>
        </w:rPr>
      </w:pPr>
      <w:r>
        <w:rPr>
          <w:rFonts w:cs="Arial"/>
        </w:rPr>
        <w:t>Alex Dolgonos (</w:t>
      </w:r>
      <w:r w:rsidR="00BD015F">
        <w:rPr>
          <w:rFonts w:cs="Arial"/>
        </w:rPr>
        <w:t>Chairman of the Board</w:t>
      </w:r>
      <w:r w:rsidR="009A41AB" w:rsidRPr="00647A6B">
        <w:rPr>
          <w:rFonts w:cs="Arial"/>
        </w:rPr>
        <w:tab/>
      </w:r>
      <w:r w:rsidR="00C60278">
        <w:rPr>
          <w:rFonts w:cs="Arial"/>
        </w:rPr>
        <w:t xml:space="preserve">Dale Matheson </w:t>
      </w:r>
      <w:proofErr w:type="spellStart"/>
      <w:r w:rsidR="00C60278">
        <w:rPr>
          <w:rFonts w:cs="Arial"/>
        </w:rPr>
        <w:t>Carr</w:t>
      </w:r>
      <w:proofErr w:type="spellEnd"/>
      <w:r w:rsidR="00C60278">
        <w:rPr>
          <w:rFonts w:cs="Arial"/>
        </w:rPr>
        <w:t xml:space="preserve">-Hilton </w:t>
      </w:r>
      <w:proofErr w:type="spellStart"/>
      <w:r w:rsidR="00C60278">
        <w:rPr>
          <w:rFonts w:cs="Arial"/>
        </w:rPr>
        <w:t>Labonte</w:t>
      </w:r>
      <w:proofErr w:type="spellEnd"/>
      <w:r w:rsidR="000F502E">
        <w:rPr>
          <w:rFonts w:cs="Arial"/>
        </w:rPr>
        <w:t xml:space="preserve"> LLP</w:t>
      </w:r>
      <w:r w:rsidR="009A41AB">
        <w:rPr>
          <w:rFonts w:cs="Arial"/>
        </w:rPr>
        <w:t xml:space="preserve"> </w:t>
      </w:r>
      <w:r w:rsidR="009A41AB">
        <w:rPr>
          <w:rFonts w:cs="Arial"/>
        </w:rPr>
        <w:br/>
      </w:r>
      <w:r w:rsidR="00BD015F">
        <w:rPr>
          <w:rFonts w:cs="Arial"/>
        </w:rPr>
        <w:t>and Chief Executive Officer)</w:t>
      </w:r>
      <w:r w:rsidR="009A41AB" w:rsidRPr="00647A6B">
        <w:rPr>
          <w:rFonts w:cs="Arial"/>
        </w:rPr>
        <w:tab/>
      </w:r>
      <w:r w:rsidR="00C60278">
        <w:rPr>
          <w:rFonts w:cs="Arial"/>
        </w:rPr>
        <w:t>Vancouver, British Columbia</w:t>
      </w:r>
    </w:p>
    <w:p w14:paraId="620E59FA" w14:textId="05B372A6" w:rsidR="009A41AB" w:rsidRPr="00647A6B" w:rsidRDefault="009A41AB" w:rsidP="00CD7E54">
      <w:pPr>
        <w:tabs>
          <w:tab w:val="left" w:pos="5580"/>
        </w:tabs>
        <w:rPr>
          <w:rFonts w:ascii="Arial" w:hAnsi="Arial" w:cs="Arial"/>
        </w:rPr>
      </w:pPr>
      <w:r w:rsidRPr="00647A6B">
        <w:rPr>
          <w:rFonts w:ascii="Arial" w:hAnsi="Arial" w:cs="Arial"/>
        </w:rPr>
        <w:tab/>
      </w:r>
    </w:p>
    <w:p w14:paraId="5B9EA97B" w14:textId="7313279E" w:rsidR="009A41AB" w:rsidRPr="00647A6B" w:rsidRDefault="00AA135D" w:rsidP="00CD7E54">
      <w:pPr>
        <w:tabs>
          <w:tab w:val="left" w:pos="5580"/>
        </w:tabs>
        <w:rPr>
          <w:rFonts w:ascii="Arial" w:hAnsi="Arial" w:cs="Arial"/>
          <w:sz w:val="20"/>
        </w:rPr>
      </w:pPr>
      <w:r>
        <w:rPr>
          <w:rFonts w:ascii="Arial" w:hAnsi="Arial" w:cs="Arial"/>
          <w:sz w:val="20"/>
        </w:rPr>
        <w:t>Igor Keselman (Chief Financial Officer)</w:t>
      </w:r>
      <w:r w:rsidR="009A41AB" w:rsidRPr="00647A6B">
        <w:rPr>
          <w:rFonts w:ascii="Arial" w:hAnsi="Arial" w:cs="Arial"/>
          <w:sz w:val="20"/>
        </w:rPr>
        <w:tab/>
      </w:r>
      <w:r w:rsidR="00AB67DE">
        <w:rPr>
          <w:rFonts w:ascii="Arial" w:hAnsi="Arial" w:cs="Arial"/>
          <w:b/>
          <w:sz w:val="20"/>
        </w:rPr>
        <w:t>Shareholder inquiries</w:t>
      </w:r>
      <w:r w:rsidR="009A41AB">
        <w:rPr>
          <w:rFonts w:ascii="Arial" w:hAnsi="Arial" w:cs="Arial"/>
          <w:sz w:val="20"/>
        </w:rPr>
        <w:br/>
      </w:r>
      <w:r w:rsidR="009A41AB">
        <w:rPr>
          <w:rFonts w:ascii="Arial" w:hAnsi="Arial" w:cs="Arial"/>
          <w:sz w:val="20"/>
        </w:rPr>
        <w:tab/>
      </w:r>
    </w:p>
    <w:p w14:paraId="70D8AF78" w14:textId="40E3C079" w:rsidR="009A41AB" w:rsidRPr="00647A6B" w:rsidRDefault="00BD015F" w:rsidP="00CD7E54">
      <w:pPr>
        <w:tabs>
          <w:tab w:val="left" w:pos="5580"/>
        </w:tabs>
        <w:rPr>
          <w:rFonts w:ascii="Arial" w:hAnsi="Arial" w:cs="Arial"/>
          <w:sz w:val="20"/>
        </w:rPr>
      </w:pPr>
      <w:r w:rsidRPr="00D74896">
        <w:rPr>
          <w:rFonts w:ascii="Arial" w:hAnsi="Arial" w:cs="Arial"/>
          <w:sz w:val="20"/>
        </w:rPr>
        <w:t>Nicholas T. Macos</w:t>
      </w:r>
      <w:r w:rsidRPr="00D74896" w:rsidDel="00245487">
        <w:rPr>
          <w:rFonts w:ascii="Arial" w:hAnsi="Arial" w:cs="Arial"/>
          <w:sz w:val="20"/>
        </w:rPr>
        <w:t xml:space="preserve"> </w:t>
      </w:r>
      <w:r w:rsidR="009A41AB" w:rsidRPr="00D74896">
        <w:rPr>
          <w:rFonts w:ascii="Arial" w:hAnsi="Arial" w:cs="Arial"/>
          <w:sz w:val="20"/>
        </w:rPr>
        <w:tab/>
      </w:r>
      <w:r w:rsidR="00B90AE0">
        <w:rPr>
          <w:rFonts w:ascii="Arial" w:hAnsi="Arial" w:cs="Arial"/>
          <w:sz w:val="20"/>
        </w:rPr>
        <w:t>Kure</w:t>
      </w:r>
      <w:r w:rsidR="00AB67DE">
        <w:rPr>
          <w:rFonts w:ascii="Arial" w:hAnsi="Arial" w:cs="Arial"/>
          <w:sz w:val="20"/>
        </w:rPr>
        <w:t xml:space="preserve"> Investor Relations</w:t>
      </w:r>
    </w:p>
    <w:p w14:paraId="43D07BFD" w14:textId="6EC94BE4" w:rsidR="009A41AB" w:rsidRPr="00647A6B" w:rsidRDefault="009A41AB" w:rsidP="00CD7E54">
      <w:pPr>
        <w:pStyle w:val="FS1"/>
        <w:tabs>
          <w:tab w:val="left" w:pos="5580"/>
        </w:tabs>
        <w:rPr>
          <w:rFonts w:cs="Arial"/>
        </w:rPr>
      </w:pPr>
      <w:r w:rsidRPr="00647A6B">
        <w:rPr>
          <w:rFonts w:cs="Arial"/>
        </w:rPr>
        <w:tab/>
      </w:r>
      <w:r w:rsidRPr="00647A6B">
        <w:rPr>
          <w:rFonts w:cs="Arial"/>
        </w:rPr>
        <w:tab/>
      </w:r>
      <w:r w:rsidR="00BF4890">
        <w:rPr>
          <w:rFonts w:cs="Arial"/>
        </w:rPr>
        <w:t>291 York Hill Blvd</w:t>
      </w:r>
    </w:p>
    <w:p w14:paraId="30317A3E" w14:textId="377D8EDB" w:rsidR="009A41AB" w:rsidRPr="00647A6B" w:rsidRDefault="009A41AB" w:rsidP="00CD7E54">
      <w:pPr>
        <w:pStyle w:val="FS1"/>
        <w:tabs>
          <w:tab w:val="clear" w:pos="7280"/>
          <w:tab w:val="left" w:pos="5580"/>
        </w:tabs>
        <w:rPr>
          <w:rFonts w:cs="Arial"/>
        </w:rPr>
      </w:pPr>
      <w:r>
        <w:rPr>
          <w:rFonts w:cs="Arial"/>
        </w:rPr>
        <w:tab/>
      </w:r>
      <w:r w:rsidRPr="00647A6B">
        <w:rPr>
          <w:rFonts w:cs="Arial"/>
        </w:rPr>
        <w:tab/>
      </w:r>
      <w:r w:rsidR="00BF4890">
        <w:rPr>
          <w:rFonts w:cs="Arial"/>
        </w:rPr>
        <w:t>Thornhill</w:t>
      </w:r>
      <w:r w:rsidRPr="00647A6B">
        <w:rPr>
          <w:rFonts w:cs="Arial"/>
        </w:rPr>
        <w:t>, Ontario</w:t>
      </w:r>
    </w:p>
    <w:p w14:paraId="752B747D" w14:textId="38BF3CA7" w:rsidR="009A41AB" w:rsidRPr="00B04BF6" w:rsidRDefault="009A41AB" w:rsidP="00CD7E54">
      <w:pPr>
        <w:pStyle w:val="FS1"/>
        <w:tabs>
          <w:tab w:val="left" w:pos="5580"/>
        </w:tabs>
        <w:rPr>
          <w:rFonts w:cs="Arial"/>
        </w:rPr>
      </w:pPr>
      <w:r w:rsidRPr="00647A6B">
        <w:rPr>
          <w:rFonts w:cs="Arial"/>
        </w:rPr>
        <w:tab/>
      </w:r>
      <w:r w:rsidRPr="00647A6B">
        <w:rPr>
          <w:rFonts w:cs="Arial"/>
        </w:rPr>
        <w:tab/>
      </w:r>
      <w:r w:rsidRPr="00B04BF6">
        <w:rPr>
          <w:rFonts w:cs="Arial"/>
        </w:rPr>
        <w:t>L4</w:t>
      </w:r>
      <w:r w:rsidR="00BF4890">
        <w:rPr>
          <w:rFonts w:cs="Arial"/>
        </w:rPr>
        <w:t>J 3L5</w:t>
      </w:r>
    </w:p>
    <w:p w14:paraId="1F20C2B1" w14:textId="7C3C0D1E" w:rsidR="009A41AB" w:rsidRPr="00B04BF6" w:rsidRDefault="009A41AB" w:rsidP="00CD7E54">
      <w:pPr>
        <w:pStyle w:val="FS1"/>
        <w:tabs>
          <w:tab w:val="left" w:pos="5580"/>
        </w:tabs>
        <w:rPr>
          <w:rFonts w:cs="Arial"/>
        </w:rPr>
      </w:pPr>
      <w:r w:rsidRPr="00B04BF6">
        <w:rPr>
          <w:rFonts w:cs="Arial"/>
        </w:rPr>
        <w:tab/>
      </w:r>
      <w:r w:rsidRPr="00B04BF6">
        <w:rPr>
          <w:rFonts w:cs="Arial"/>
        </w:rPr>
        <w:tab/>
        <w:t>email: irinfo@</w:t>
      </w:r>
      <w:r w:rsidR="002F741F" w:rsidRPr="00B04BF6">
        <w:rPr>
          <w:rFonts w:cs="Arial"/>
        </w:rPr>
        <w:t>kuretechnologies.</w:t>
      </w:r>
      <w:r w:rsidRPr="00B04BF6">
        <w:rPr>
          <w:rFonts w:cs="Arial"/>
        </w:rPr>
        <w:t>com</w:t>
      </w:r>
    </w:p>
    <w:p w14:paraId="46D9CDB4" w14:textId="77777777" w:rsidR="009A41AB" w:rsidRPr="00B04BF6" w:rsidRDefault="009A41AB" w:rsidP="00CD7E54">
      <w:pPr>
        <w:pStyle w:val="FS1"/>
        <w:tabs>
          <w:tab w:val="clear" w:pos="7280"/>
          <w:tab w:val="left" w:pos="5580"/>
        </w:tabs>
        <w:rPr>
          <w:rFonts w:cs="Arial"/>
          <w:b/>
        </w:rPr>
      </w:pPr>
      <w:r w:rsidRPr="00B04BF6">
        <w:rPr>
          <w:rFonts w:cs="Arial"/>
          <w:b/>
        </w:rPr>
        <w:tab/>
      </w:r>
      <w:r w:rsidRPr="00B04BF6">
        <w:rPr>
          <w:rFonts w:cs="Arial"/>
          <w:b/>
        </w:rPr>
        <w:tab/>
      </w:r>
    </w:p>
    <w:p w14:paraId="2CB53E38" w14:textId="77777777" w:rsidR="009A41AB" w:rsidRPr="00B04BF6" w:rsidRDefault="009A41AB" w:rsidP="00CD7E54">
      <w:pPr>
        <w:pStyle w:val="FS1"/>
        <w:tabs>
          <w:tab w:val="clear" w:pos="7280"/>
          <w:tab w:val="left" w:pos="5580"/>
        </w:tabs>
        <w:rPr>
          <w:rFonts w:cs="Arial"/>
        </w:rPr>
      </w:pPr>
      <w:r w:rsidRPr="00B04BF6">
        <w:rPr>
          <w:rFonts w:cs="Arial"/>
          <w:b/>
        </w:rPr>
        <w:tab/>
      </w:r>
      <w:r w:rsidRPr="00B04BF6">
        <w:rPr>
          <w:rFonts w:cs="Arial"/>
          <w:b/>
        </w:rPr>
        <w:tab/>
        <w:t>Transfer agent</w:t>
      </w:r>
    </w:p>
    <w:p w14:paraId="4020BD4A" w14:textId="77777777" w:rsidR="009A41AB" w:rsidRPr="00B04BF6" w:rsidRDefault="009A41AB" w:rsidP="00CD7E54">
      <w:pPr>
        <w:pStyle w:val="FS1"/>
        <w:tabs>
          <w:tab w:val="clear" w:pos="7280"/>
          <w:tab w:val="left" w:pos="5580"/>
        </w:tabs>
        <w:rPr>
          <w:rFonts w:cs="Arial"/>
        </w:rPr>
      </w:pPr>
    </w:p>
    <w:p w14:paraId="430A9CA5" w14:textId="399E3C2E" w:rsidR="009A41AB" w:rsidRPr="00647A6B" w:rsidRDefault="009A41AB" w:rsidP="00CD7E54">
      <w:pPr>
        <w:pStyle w:val="FS1"/>
        <w:tabs>
          <w:tab w:val="clear" w:pos="7280"/>
          <w:tab w:val="left" w:pos="5580"/>
        </w:tabs>
        <w:rPr>
          <w:rFonts w:cs="Arial"/>
        </w:rPr>
      </w:pPr>
      <w:r w:rsidRPr="00B04BF6">
        <w:rPr>
          <w:rFonts w:cs="Arial"/>
        </w:rPr>
        <w:tab/>
      </w:r>
      <w:r w:rsidRPr="00B04BF6">
        <w:rPr>
          <w:rFonts w:cs="Arial"/>
        </w:rPr>
        <w:tab/>
      </w:r>
      <w:r w:rsidR="002F741F">
        <w:rPr>
          <w:rFonts w:cs="Arial"/>
        </w:rPr>
        <w:t>TSX</w:t>
      </w:r>
      <w:r w:rsidRPr="00647A6B">
        <w:rPr>
          <w:rFonts w:cs="Arial"/>
        </w:rPr>
        <w:t xml:space="preserve"> Trust Company</w:t>
      </w:r>
    </w:p>
    <w:p w14:paraId="09283AD7" w14:textId="08895670" w:rsidR="009A41AB" w:rsidRPr="00647A6B" w:rsidRDefault="009A41AB" w:rsidP="00CD7E54">
      <w:pPr>
        <w:pStyle w:val="FS1"/>
        <w:tabs>
          <w:tab w:val="clear" w:pos="7280"/>
          <w:tab w:val="left" w:pos="5580"/>
        </w:tabs>
        <w:rPr>
          <w:rFonts w:cs="Arial"/>
        </w:rPr>
      </w:pPr>
      <w:r w:rsidRPr="00647A6B">
        <w:rPr>
          <w:rFonts w:cs="Arial"/>
        </w:rPr>
        <w:tab/>
      </w:r>
      <w:r w:rsidRPr="00647A6B">
        <w:rPr>
          <w:rFonts w:cs="Arial"/>
        </w:rPr>
        <w:tab/>
        <w:t xml:space="preserve">200 University Avenue, Suite </w:t>
      </w:r>
      <w:r w:rsidR="002F741F">
        <w:rPr>
          <w:rFonts w:cs="Arial"/>
        </w:rPr>
        <w:t>3</w:t>
      </w:r>
      <w:r w:rsidRPr="00647A6B">
        <w:rPr>
          <w:rFonts w:cs="Arial"/>
        </w:rPr>
        <w:t>00</w:t>
      </w:r>
    </w:p>
    <w:p w14:paraId="6765F5DD" w14:textId="77777777" w:rsidR="009A41AB" w:rsidRPr="00647A6B" w:rsidRDefault="009A41AB" w:rsidP="00CD7E54">
      <w:pPr>
        <w:pStyle w:val="FS1"/>
        <w:tabs>
          <w:tab w:val="clear" w:pos="7280"/>
          <w:tab w:val="left" w:pos="5580"/>
        </w:tabs>
        <w:rPr>
          <w:rFonts w:cs="Arial"/>
        </w:rPr>
      </w:pPr>
      <w:r w:rsidRPr="00647A6B">
        <w:rPr>
          <w:rFonts w:cs="Arial"/>
        </w:rPr>
        <w:tab/>
      </w:r>
      <w:r w:rsidRPr="00647A6B">
        <w:rPr>
          <w:rFonts w:cs="Arial"/>
        </w:rPr>
        <w:tab/>
        <w:t>Toronto, Ontario</w:t>
      </w:r>
    </w:p>
    <w:p w14:paraId="4D95FC1F" w14:textId="77777777" w:rsidR="009A41AB" w:rsidRPr="00647A6B" w:rsidRDefault="009A41AB" w:rsidP="00CD7E54">
      <w:pPr>
        <w:pStyle w:val="FS1"/>
        <w:tabs>
          <w:tab w:val="clear" w:pos="7280"/>
          <w:tab w:val="left" w:pos="5580"/>
        </w:tabs>
        <w:rPr>
          <w:rFonts w:cs="Arial"/>
        </w:rPr>
      </w:pPr>
      <w:r w:rsidRPr="00647A6B">
        <w:rPr>
          <w:rFonts w:cs="Arial"/>
        </w:rPr>
        <w:tab/>
      </w:r>
      <w:r w:rsidRPr="00647A6B">
        <w:rPr>
          <w:rFonts w:cs="Arial"/>
        </w:rPr>
        <w:tab/>
        <w:t>M5H 4H1</w:t>
      </w:r>
    </w:p>
    <w:p w14:paraId="0DF60D21" w14:textId="281DFB31" w:rsidR="009A41AB" w:rsidRPr="00647A6B" w:rsidRDefault="002F741F" w:rsidP="00CD7E54">
      <w:pPr>
        <w:pStyle w:val="FS1"/>
        <w:tabs>
          <w:tab w:val="clear" w:pos="7280"/>
          <w:tab w:val="left" w:pos="5580"/>
        </w:tabs>
        <w:rPr>
          <w:rFonts w:cs="Arial"/>
        </w:rPr>
      </w:pPr>
      <w:r>
        <w:rPr>
          <w:rFonts w:cs="Arial"/>
        </w:rPr>
        <w:tab/>
      </w:r>
      <w:r>
        <w:rPr>
          <w:rFonts w:cs="Arial"/>
        </w:rPr>
        <w:tab/>
        <w:t>Tel:  (416) 361-0930</w:t>
      </w:r>
    </w:p>
    <w:p w14:paraId="336252A0" w14:textId="77777777" w:rsidR="009A41AB" w:rsidRPr="00647A6B" w:rsidRDefault="009A41AB" w:rsidP="00CD7E54">
      <w:pPr>
        <w:pStyle w:val="FS1"/>
        <w:tabs>
          <w:tab w:val="clear" w:pos="7280"/>
          <w:tab w:val="left" w:pos="5580"/>
        </w:tabs>
        <w:rPr>
          <w:rFonts w:cs="Arial"/>
        </w:rPr>
      </w:pPr>
      <w:r w:rsidRPr="00647A6B">
        <w:rPr>
          <w:rFonts w:cs="Arial"/>
        </w:rPr>
        <w:tab/>
      </w:r>
      <w:r w:rsidRPr="00647A6B">
        <w:rPr>
          <w:rFonts w:cs="Arial"/>
        </w:rPr>
        <w:tab/>
        <w:t>Fax: (416) 361-0470</w:t>
      </w:r>
    </w:p>
    <w:p w14:paraId="5E08A156" w14:textId="40AD489B" w:rsidR="009A41AB" w:rsidRPr="00647A6B" w:rsidRDefault="002F741F" w:rsidP="00CD7E54">
      <w:pPr>
        <w:pStyle w:val="FS1"/>
        <w:tabs>
          <w:tab w:val="clear" w:pos="7280"/>
          <w:tab w:val="left" w:pos="5580"/>
        </w:tabs>
        <w:rPr>
          <w:rFonts w:cs="Arial"/>
        </w:rPr>
      </w:pPr>
      <w:r>
        <w:rPr>
          <w:rFonts w:cs="Arial"/>
        </w:rPr>
        <w:tab/>
      </w:r>
      <w:r>
        <w:rPr>
          <w:rFonts w:cs="Arial"/>
        </w:rPr>
        <w:tab/>
        <w:t>email:  TMXEInvestorservices@tmx</w:t>
      </w:r>
      <w:r w:rsidR="009A41AB" w:rsidRPr="00647A6B">
        <w:rPr>
          <w:rFonts w:cs="Arial"/>
        </w:rPr>
        <w:t>.com</w:t>
      </w:r>
    </w:p>
    <w:p w14:paraId="0C223896" w14:textId="77777777" w:rsidR="009A41AB" w:rsidRPr="00647A6B" w:rsidRDefault="009A41AB" w:rsidP="00CD7E54">
      <w:pPr>
        <w:pStyle w:val="FS1"/>
        <w:tabs>
          <w:tab w:val="clear" w:pos="7280"/>
          <w:tab w:val="left" w:pos="5580"/>
        </w:tabs>
        <w:rPr>
          <w:rFonts w:cs="Arial"/>
        </w:rPr>
      </w:pPr>
    </w:p>
    <w:p w14:paraId="17E18BE4" w14:textId="77777777" w:rsidR="009A41AB" w:rsidRPr="00647A6B" w:rsidRDefault="009A41AB" w:rsidP="00CD7E54">
      <w:pPr>
        <w:pStyle w:val="FS1"/>
        <w:tabs>
          <w:tab w:val="clear" w:pos="7280"/>
          <w:tab w:val="left" w:pos="5580"/>
        </w:tabs>
        <w:rPr>
          <w:rFonts w:cs="Arial"/>
        </w:rPr>
      </w:pPr>
      <w:r w:rsidRPr="00647A6B">
        <w:rPr>
          <w:rFonts w:cs="Arial"/>
        </w:rPr>
        <w:tab/>
      </w:r>
      <w:r w:rsidRPr="00647A6B">
        <w:rPr>
          <w:rFonts w:cs="Arial"/>
        </w:rPr>
        <w:tab/>
      </w:r>
      <w:r w:rsidRPr="00647A6B">
        <w:rPr>
          <w:rFonts w:cs="Arial"/>
          <w:b/>
        </w:rPr>
        <w:t>Common shares</w:t>
      </w:r>
    </w:p>
    <w:p w14:paraId="42C0628D" w14:textId="77777777" w:rsidR="009A41AB" w:rsidRPr="00647A6B" w:rsidRDefault="009A41AB" w:rsidP="00CD7E54">
      <w:pPr>
        <w:pStyle w:val="FS1"/>
        <w:tabs>
          <w:tab w:val="clear" w:pos="7280"/>
          <w:tab w:val="left" w:pos="5580"/>
        </w:tabs>
        <w:rPr>
          <w:rFonts w:cs="Arial"/>
        </w:rPr>
      </w:pPr>
    </w:p>
    <w:p w14:paraId="699181F4" w14:textId="77777777" w:rsidR="009A41AB" w:rsidRPr="00647A6B" w:rsidRDefault="009A41AB" w:rsidP="00CD7E54">
      <w:pPr>
        <w:pStyle w:val="FS1"/>
        <w:tabs>
          <w:tab w:val="clear" w:pos="7280"/>
          <w:tab w:val="left" w:pos="5580"/>
        </w:tabs>
        <w:rPr>
          <w:rFonts w:cs="Arial"/>
        </w:rPr>
      </w:pPr>
      <w:r w:rsidRPr="00647A6B">
        <w:rPr>
          <w:rFonts w:cs="Arial"/>
        </w:rPr>
        <w:tab/>
      </w:r>
      <w:r w:rsidRPr="00647A6B">
        <w:rPr>
          <w:rFonts w:cs="Arial"/>
        </w:rPr>
        <w:tab/>
        <w:t xml:space="preserve">The common shares of the Company </w:t>
      </w:r>
    </w:p>
    <w:p w14:paraId="0E335977" w14:textId="2F4CEF68" w:rsidR="009A41AB" w:rsidRPr="00647A6B" w:rsidRDefault="009A41AB" w:rsidP="00CD7E54">
      <w:pPr>
        <w:pStyle w:val="FS1"/>
        <w:tabs>
          <w:tab w:val="clear" w:pos="7280"/>
          <w:tab w:val="left" w:pos="5580"/>
        </w:tabs>
        <w:rPr>
          <w:rFonts w:cs="Arial"/>
        </w:rPr>
      </w:pPr>
      <w:r w:rsidRPr="00647A6B">
        <w:rPr>
          <w:rFonts w:cs="Arial"/>
        </w:rPr>
        <w:tab/>
      </w:r>
      <w:r w:rsidRPr="00647A6B">
        <w:rPr>
          <w:rFonts w:cs="Arial"/>
        </w:rPr>
        <w:tab/>
        <w:t xml:space="preserve">are listed on the </w:t>
      </w:r>
      <w:r>
        <w:rPr>
          <w:rFonts w:cs="Arial"/>
        </w:rPr>
        <w:t>NEX under the</w:t>
      </w:r>
      <w:r w:rsidRPr="00647A6B">
        <w:rPr>
          <w:rFonts w:cs="Arial"/>
        </w:rPr>
        <w:tab/>
      </w:r>
      <w:r w:rsidRPr="00647A6B">
        <w:rPr>
          <w:rFonts w:cs="Arial"/>
        </w:rPr>
        <w:tab/>
        <w:t xml:space="preserve">symbol </w:t>
      </w:r>
      <w:r w:rsidR="002F741F">
        <w:rPr>
          <w:rFonts w:cs="Arial"/>
        </w:rPr>
        <w:t>KUR</w:t>
      </w:r>
      <w:r>
        <w:rPr>
          <w:rFonts w:cs="Arial"/>
        </w:rPr>
        <w:t>.H</w:t>
      </w:r>
      <w:r w:rsidRPr="00647A6B">
        <w:rPr>
          <w:rFonts w:cs="Arial"/>
        </w:rPr>
        <w:t>.</w:t>
      </w:r>
    </w:p>
    <w:p w14:paraId="62FBEC51" w14:textId="77777777" w:rsidR="009A41AB" w:rsidRPr="00647A6B" w:rsidRDefault="009A41AB" w:rsidP="00CD7E54">
      <w:pPr>
        <w:pStyle w:val="FS1"/>
        <w:tabs>
          <w:tab w:val="clear" w:pos="7280"/>
          <w:tab w:val="left" w:pos="5580"/>
        </w:tabs>
        <w:rPr>
          <w:rFonts w:cs="Arial"/>
        </w:rPr>
      </w:pPr>
    </w:p>
    <w:p w14:paraId="75A5C134" w14:textId="77777777" w:rsidR="009A41AB" w:rsidRPr="00647A6B" w:rsidRDefault="009A41AB" w:rsidP="00CD7E54">
      <w:pPr>
        <w:rPr>
          <w:rFonts w:ascii="Arial" w:hAnsi="Arial" w:cs="Arial"/>
        </w:rPr>
      </w:pPr>
    </w:p>
    <w:p w14:paraId="72F1E9AA" w14:textId="77777777" w:rsidR="009A41AB" w:rsidRPr="00647A6B" w:rsidRDefault="009A41AB" w:rsidP="00CD7E54">
      <w:pPr>
        <w:pStyle w:val="bn"/>
        <w:overflowPunct/>
        <w:autoSpaceDE/>
        <w:autoSpaceDN/>
        <w:adjustRightInd/>
        <w:spacing w:before="0" w:line="280" w:lineRule="exact"/>
        <w:textAlignment w:val="auto"/>
        <w:rPr>
          <w:rFonts w:cs="Arial"/>
          <w:lang w:val="en-US"/>
        </w:rPr>
      </w:pPr>
    </w:p>
    <w:p w14:paraId="459E0FAD" w14:textId="77777777" w:rsidR="006E0120" w:rsidRPr="00DE0932" w:rsidRDefault="006E0120" w:rsidP="00CD7E54">
      <w:pPr>
        <w:pStyle w:val="FS1"/>
        <w:tabs>
          <w:tab w:val="left" w:pos="5580"/>
        </w:tabs>
        <w:rPr>
          <w:rFonts w:cs="Arial"/>
          <w:lang w:val="en-US"/>
        </w:rPr>
      </w:pPr>
    </w:p>
    <w:sectPr w:rsidR="006E0120" w:rsidRPr="00DE0932" w:rsidSect="002D6CB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350" w:right="144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1547" w14:textId="77777777" w:rsidR="003B1CD2" w:rsidRDefault="003B1CD2">
      <w:r>
        <w:separator/>
      </w:r>
    </w:p>
  </w:endnote>
  <w:endnote w:type="continuationSeparator" w:id="0">
    <w:p w14:paraId="34936EB2" w14:textId="77777777" w:rsidR="003B1CD2" w:rsidRDefault="003B1CD2">
      <w:r>
        <w:continuationSeparator/>
      </w:r>
    </w:p>
  </w:endnote>
  <w:endnote w:type="continuationNotice" w:id="1">
    <w:p w14:paraId="057473C7" w14:textId="77777777" w:rsidR="003B1CD2" w:rsidRDefault="003B1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 STKaiti">
    <w:altName w:val="Arial Unicode MS"/>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5B4E" w14:textId="77777777" w:rsidR="00B157B5" w:rsidRPr="004A71DF" w:rsidRDefault="00B157B5" w:rsidP="00267332">
    <w:pPr>
      <w:pBdr>
        <w:top w:val="single" w:sz="12" w:space="1" w:color="auto"/>
      </w:pBdr>
      <w:tabs>
        <w:tab w:val="decimal" w:pos="4320"/>
        <w:tab w:val="right" w:pos="9000"/>
      </w:tabs>
      <w:jc w:val="center"/>
      <w:rPr>
        <w:rStyle w:val="PageNumber"/>
        <w:rFonts w:ascii="Arial" w:hAnsi="Arial" w:cs="Arial"/>
        <w:sz w:val="20"/>
      </w:rPr>
    </w:pPr>
  </w:p>
  <w:p w14:paraId="66FD779B" w14:textId="1BDC1F73" w:rsidR="00B157B5" w:rsidRPr="004A71DF" w:rsidRDefault="00B157B5">
    <w:pPr>
      <w:tabs>
        <w:tab w:val="decimal" w:pos="4320"/>
        <w:tab w:val="right" w:pos="9000"/>
      </w:tabs>
      <w:jc w:val="center"/>
      <w:rPr>
        <w:rFonts w:ascii="Arial" w:hAnsi="Arial" w:cs="Arial"/>
        <w:sz w:val="20"/>
      </w:rPr>
    </w:pPr>
    <w:r w:rsidRPr="004A71DF">
      <w:rPr>
        <w:rStyle w:val="PageNumber"/>
        <w:rFonts w:ascii="Arial" w:hAnsi="Arial" w:cs="Arial"/>
        <w:sz w:val="20"/>
      </w:rPr>
      <w:fldChar w:fldCharType="begin"/>
    </w:r>
    <w:r w:rsidRPr="004A71DF">
      <w:rPr>
        <w:rStyle w:val="PageNumber"/>
        <w:rFonts w:ascii="Arial" w:hAnsi="Arial" w:cs="Arial"/>
        <w:sz w:val="20"/>
      </w:rPr>
      <w:instrText xml:space="preserve"> PAGE </w:instrText>
    </w:r>
    <w:r w:rsidRPr="004A71DF">
      <w:rPr>
        <w:rStyle w:val="PageNumber"/>
        <w:rFonts w:ascii="Arial" w:hAnsi="Arial" w:cs="Arial"/>
        <w:sz w:val="20"/>
      </w:rPr>
      <w:fldChar w:fldCharType="separate"/>
    </w:r>
    <w:r>
      <w:rPr>
        <w:rStyle w:val="PageNumber"/>
        <w:rFonts w:ascii="Arial" w:hAnsi="Arial" w:cs="Arial"/>
        <w:noProof/>
        <w:sz w:val="20"/>
      </w:rPr>
      <w:t>35</w:t>
    </w:r>
    <w:r w:rsidRPr="004A71DF">
      <w:rPr>
        <w:rStyle w:val="PageNumber"/>
        <w:rFonts w:ascii="Arial" w:hAnsi="Arial" w:cs="Arial"/>
        <w:sz w:val="20"/>
      </w:rPr>
      <w:fldChar w:fldCharType="end"/>
    </w:r>
    <w:r w:rsidRPr="004A71DF">
      <w:rPr>
        <w:rStyle w:val="PageNumber"/>
        <w:rFonts w:ascii="Arial" w:hAnsi="Arial" w:cs="Arial"/>
        <w:sz w:val="20"/>
      </w:rPr>
      <w:t xml:space="preserve"> of </w:t>
    </w:r>
    <w:r w:rsidRPr="004A71DF">
      <w:rPr>
        <w:rStyle w:val="PageNumber"/>
        <w:rFonts w:ascii="Arial" w:hAnsi="Arial" w:cs="Arial"/>
        <w:sz w:val="20"/>
        <w:lang w:val="en-CA"/>
      </w:rPr>
      <w:fldChar w:fldCharType="begin"/>
    </w:r>
    <w:r w:rsidRPr="004A71DF">
      <w:rPr>
        <w:rStyle w:val="PageNumber"/>
        <w:rFonts w:ascii="Arial" w:hAnsi="Arial" w:cs="Arial"/>
        <w:sz w:val="20"/>
        <w:lang w:val="en-CA"/>
      </w:rPr>
      <w:instrText xml:space="preserve"> NUMPAGES </w:instrText>
    </w:r>
    <w:r w:rsidRPr="004A71DF">
      <w:rPr>
        <w:rStyle w:val="PageNumber"/>
        <w:rFonts w:ascii="Arial" w:hAnsi="Arial" w:cs="Arial"/>
        <w:sz w:val="20"/>
        <w:lang w:val="en-CA"/>
      </w:rPr>
      <w:fldChar w:fldCharType="separate"/>
    </w:r>
    <w:r>
      <w:rPr>
        <w:rStyle w:val="PageNumber"/>
        <w:rFonts w:ascii="Arial" w:hAnsi="Arial" w:cs="Arial"/>
        <w:noProof/>
        <w:sz w:val="20"/>
        <w:lang w:val="en-CA"/>
      </w:rPr>
      <w:t>11</w:t>
    </w:r>
    <w:r w:rsidRPr="004A71DF">
      <w:rPr>
        <w:rStyle w:val="PageNumber"/>
        <w:rFonts w:ascii="Arial" w:hAnsi="Arial" w:cs="Arial"/>
        <w:sz w:val="20"/>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9221" w14:textId="77777777" w:rsidR="00B157B5" w:rsidRDefault="00B157B5">
    <w:pPr>
      <w:pStyle w:val="Footer"/>
      <w:tabs>
        <w:tab w:val="clear" w:pos="8640"/>
        <w:tab w:val="right" w:pos="9000"/>
      </w:tabs>
      <w:rPr>
        <w:rFonts w:ascii="Helvetica" w:hAnsi="Helveti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CBFE" w14:textId="77777777" w:rsidR="00B157B5" w:rsidRDefault="00B157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C0DF" w14:textId="77777777" w:rsidR="00B157B5" w:rsidRDefault="00B157B5" w:rsidP="000C2753">
    <w:pPr>
      <w:pStyle w:val="Footer"/>
      <w:pBdr>
        <w:top w:val="single" w:sz="12" w:space="1" w:color="auto"/>
      </w:pBdr>
      <w:rPr>
        <w:rStyle w:val="PageNumber"/>
      </w:rPr>
    </w:pPr>
  </w:p>
  <w:p w14:paraId="3589E7A1" w14:textId="6DF01D1F" w:rsidR="00B157B5" w:rsidRDefault="00B157B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6947" w14:textId="77777777" w:rsidR="00B157B5" w:rsidRDefault="00B1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4347" w14:textId="77777777" w:rsidR="003B1CD2" w:rsidRDefault="003B1CD2">
      <w:r>
        <w:separator/>
      </w:r>
    </w:p>
  </w:footnote>
  <w:footnote w:type="continuationSeparator" w:id="0">
    <w:p w14:paraId="17877080" w14:textId="77777777" w:rsidR="003B1CD2" w:rsidRDefault="003B1CD2">
      <w:r>
        <w:continuationSeparator/>
      </w:r>
    </w:p>
  </w:footnote>
  <w:footnote w:type="continuationNotice" w:id="1">
    <w:p w14:paraId="3831159F" w14:textId="77777777" w:rsidR="003B1CD2" w:rsidRDefault="003B1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86EF" w14:textId="77777777" w:rsidR="00B157B5" w:rsidRDefault="00B157B5">
    <w:pPr>
      <w:pStyle w:val="FS1"/>
    </w:pPr>
  </w:p>
  <w:p w14:paraId="39C14076" w14:textId="77777777" w:rsidR="00B157B5" w:rsidRDefault="00B157B5">
    <w:pPr>
      <w:pStyle w:val="Top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4871" w14:textId="77777777" w:rsidR="00B157B5" w:rsidRDefault="00B15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EC4C" w14:textId="77777777" w:rsidR="00B157B5" w:rsidRDefault="00B157B5">
    <w:pPr>
      <w:pStyle w:val="Header"/>
      <w:pBdr>
        <w:bottom w:val="single" w:sz="12" w:space="1" w:color="auto"/>
      </w:pBdr>
      <w:rPr>
        <w:sz w:val="20"/>
      </w:rPr>
    </w:pPr>
  </w:p>
  <w:p w14:paraId="45EE02BD" w14:textId="77777777" w:rsidR="00B157B5" w:rsidRDefault="00B157B5">
    <w:pPr>
      <w:pStyle w:val="Header"/>
      <w:pBdr>
        <w:bottom w:val="single" w:sz="12" w:space="1" w:color="auto"/>
      </w:pBdr>
      <w:rPr>
        <w:sz w:val="20"/>
      </w:rPr>
    </w:pPr>
    <w:r>
      <w:rPr>
        <w:sz w:val="20"/>
      </w:rPr>
      <w:tab/>
    </w:r>
  </w:p>
  <w:p w14:paraId="56EBF269" w14:textId="77777777" w:rsidR="00B157B5" w:rsidRPr="001F4CBE" w:rsidRDefault="00B157B5">
    <w:pPr>
      <w:pStyle w:val="Header"/>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FCAE" w14:textId="77777777" w:rsidR="00B157B5" w:rsidRDefault="00B157B5" w:rsidP="009C4C5E">
    <w:pPr>
      <w:pStyle w:val="Header"/>
      <w:pBdr>
        <w:bottom w:val="single" w:sz="12" w:space="1" w:color="auto"/>
      </w:pBdr>
      <w:rPr>
        <w:sz w:val="20"/>
      </w:rPr>
    </w:pPr>
  </w:p>
  <w:p w14:paraId="671574C7" w14:textId="77777777" w:rsidR="00B157B5" w:rsidRDefault="00B157B5" w:rsidP="009C4C5E">
    <w:pPr>
      <w:pStyle w:val="Header"/>
    </w:pPr>
  </w:p>
  <w:p w14:paraId="3D2DE0C4" w14:textId="77777777" w:rsidR="00B157B5" w:rsidRDefault="00B157B5" w:rsidP="0042186E">
    <w:pPr>
      <w:pStyle w:val="Header"/>
    </w:pPr>
  </w:p>
  <w:p w14:paraId="24149D51" w14:textId="77777777" w:rsidR="00B157B5" w:rsidRDefault="00B15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2B212B8"/>
    <w:lvl w:ilvl="0">
      <w:start w:val="1"/>
      <w:numFmt w:val="decimal"/>
      <w:pStyle w:val="ListNumber2"/>
      <w:lvlText w:val="%1."/>
      <w:lvlJc w:val="left"/>
      <w:pPr>
        <w:tabs>
          <w:tab w:val="num" w:pos="643"/>
        </w:tabs>
        <w:ind w:left="643" w:hanging="360"/>
      </w:pPr>
    </w:lvl>
  </w:abstractNum>
  <w:abstractNum w:abstractNumId="1" w15:restartNumberingAfterBreak="0">
    <w:nsid w:val="014A2801"/>
    <w:multiLevelType w:val="hybridMultilevel"/>
    <w:tmpl w:val="BCA0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52446"/>
    <w:multiLevelType w:val="hybridMultilevel"/>
    <w:tmpl w:val="98E619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35E67"/>
    <w:multiLevelType w:val="hybridMultilevel"/>
    <w:tmpl w:val="A666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95196"/>
    <w:multiLevelType w:val="hybridMultilevel"/>
    <w:tmpl w:val="602A8F1C"/>
    <w:lvl w:ilvl="0" w:tplc="CDFA8DC0">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 w15:restartNumberingAfterBreak="0">
    <w:nsid w:val="0D750089"/>
    <w:multiLevelType w:val="multilevel"/>
    <w:tmpl w:val="9C920AC2"/>
    <w:lvl w:ilvl="0">
      <w:start w:val="1"/>
      <w:numFmt w:val="decimal"/>
      <w:pStyle w:val="IFDNumL1"/>
      <w:lvlText w:val="%1."/>
      <w:lvlJc w:val="left"/>
      <w:pPr>
        <w:tabs>
          <w:tab w:val="num" w:pos="6600"/>
        </w:tabs>
        <w:ind w:left="5880" w:firstLine="0"/>
      </w:pPr>
      <w:rPr>
        <w:rFonts w:hint="default"/>
      </w:rPr>
    </w:lvl>
    <w:lvl w:ilvl="1">
      <w:start w:val="1"/>
      <w:numFmt w:val="lowerLetter"/>
      <w:pStyle w:val="IFDNumL2"/>
      <w:lvlText w:val="(%2)"/>
      <w:lvlJc w:val="left"/>
      <w:pPr>
        <w:tabs>
          <w:tab w:val="num" w:pos="1440"/>
        </w:tabs>
        <w:ind w:left="1440" w:hanging="720"/>
      </w:pPr>
      <w:rPr>
        <w:rFonts w:hint="default"/>
        <w:b w:val="0"/>
        <w:i w:val="0"/>
        <w:sz w:val="24"/>
      </w:rPr>
    </w:lvl>
    <w:lvl w:ilvl="2">
      <w:start w:val="1"/>
      <w:numFmt w:val="lowerLetter"/>
      <w:pStyle w:val="IFDNumL3"/>
      <w:lvlText w:val="(%3)"/>
      <w:lvlJc w:val="left"/>
      <w:pPr>
        <w:tabs>
          <w:tab w:val="num" w:pos="2160"/>
        </w:tabs>
        <w:ind w:left="2160" w:hanging="402"/>
      </w:pPr>
      <w:rPr>
        <w:rFonts w:hint="default"/>
      </w:rPr>
    </w:lvl>
    <w:lvl w:ilvl="3">
      <w:start w:val="1"/>
      <w:numFmt w:val="upperLetter"/>
      <w:pStyle w:val="IFDNumL4"/>
      <w:lvlText w:val="(%4)"/>
      <w:lvlJc w:val="left"/>
      <w:pPr>
        <w:tabs>
          <w:tab w:val="num" w:pos="2880"/>
        </w:tabs>
        <w:ind w:left="2880" w:hanging="720"/>
      </w:pPr>
      <w:rPr>
        <w:rFonts w:hint="default"/>
      </w:rPr>
    </w:lvl>
    <w:lvl w:ilvl="4">
      <w:start w:val="1"/>
      <w:numFmt w:val="upperRoman"/>
      <w:pStyle w:val="IFDNumL5"/>
      <w:lvlText w:val="(%5)"/>
      <w:lvlJc w:val="right"/>
      <w:pPr>
        <w:tabs>
          <w:tab w:val="num" w:pos="3600"/>
        </w:tabs>
        <w:ind w:left="3600" w:hanging="432"/>
      </w:pPr>
      <w:rPr>
        <w:rFonts w:hint="default"/>
      </w:rPr>
    </w:lvl>
    <w:lvl w:ilvl="5">
      <w:start w:val="1"/>
      <w:numFmt w:val="decimal"/>
      <w:pStyle w:val="IFDNumL6"/>
      <w:lvlText w:val="(%6)"/>
      <w:lvlJc w:val="left"/>
      <w:pPr>
        <w:tabs>
          <w:tab w:val="num" w:pos="4320"/>
        </w:tabs>
        <w:ind w:left="4320" w:hanging="720"/>
      </w:pPr>
      <w:rPr>
        <w:rFonts w:hint="default"/>
      </w:rPr>
    </w:lvl>
    <w:lvl w:ilvl="6">
      <w:start w:val="1"/>
      <w:numFmt w:val="lowerLetter"/>
      <w:pStyle w:val="IFDNumL7"/>
      <w:lvlText w:val="%7)"/>
      <w:lvlJc w:val="left"/>
      <w:pPr>
        <w:tabs>
          <w:tab w:val="num" w:pos="5040"/>
        </w:tabs>
        <w:ind w:left="5040" w:hanging="720"/>
      </w:pPr>
      <w:rPr>
        <w:rFonts w:hint="default"/>
      </w:rPr>
    </w:lvl>
    <w:lvl w:ilvl="7">
      <w:start w:val="1"/>
      <w:numFmt w:val="lowerRoman"/>
      <w:pStyle w:val="IFDNumL8"/>
      <w:lvlText w:val="%8)"/>
      <w:lvlJc w:val="right"/>
      <w:pPr>
        <w:tabs>
          <w:tab w:val="num" w:pos="5760"/>
        </w:tabs>
        <w:ind w:left="5760" w:hanging="432"/>
      </w:pPr>
      <w:rPr>
        <w:rFonts w:hint="default"/>
      </w:rPr>
    </w:lvl>
    <w:lvl w:ilvl="8">
      <w:start w:val="1"/>
      <w:numFmt w:val="decimal"/>
      <w:pStyle w:val="IFDNumL9"/>
      <w:lvlText w:val="%9)"/>
      <w:lvlJc w:val="left"/>
      <w:pPr>
        <w:tabs>
          <w:tab w:val="num" w:pos="6480"/>
        </w:tabs>
        <w:ind w:left="6480" w:hanging="720"/>
      </w:pPr>
      <w:rPr>
        <w:rFonts w:hint="default"/>
      </w:rPr>
    </w:lvl>
  </w:abstractNum>
  <w:abstractNum w:abstractNumId="6" w15:restartNumberingAfterBreak="0">
    <w:nsid w:val="16A16297"/>
    <w:multiLevelType w:val="hybridMultilevel"/>
    <w:tmpl w:val="740C4A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EE725C"/>
    <w:multiLevelType w:val="hybridMultilevel"/>
    <w:tmpl w:val="963C1674"/>
    <w:lvl w:ilvl="0" w:tplc="6E2C2428">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8" w15:restartNumberingAfterBreak="0">
    <w:nsid w:val="1AA72273"/>
    <w:multiLevelType w:val="hybridMultilevel"/>
    <w:tmpl w:val="D2082D84"/>
    <w:lvl w:ilvl="0" w:tplc="088A0874">
      <w:start w:val="850"/>
      <w:numFmt w:val="bullet"/>
      <w:lvlText w:val="-"/>
      <w:lvlJc w:val="left"/>
      <w:pPr>
        <w:ind w:left="1335" w:hanging="360"/>
      </w:pPr>
      <w:rPr>
        <w:rFonts w:ascii="Arial" w:eastAsia="Times New Roman" w:hAnsi="Arial" w:cs="Arial" w:hint="default"/>
      </w:rPr>
    </w:lvl>
    <w:lvl w:ilvl="1" w:tplc="10090003" w:tentative="1">
      <w:start w:val="1"/>
      <w:numFmt w:val="bullet"/>
      <w:lvlText w:val="o"/>
      <w:lvlJc w:val="left"/>
      <w:pPr>
        <w:ind w:left="2055" w:hanging="360"/>
      </w:pPr>
      <w:rPr>
        <w:rFonts w:ascii="Courier New" w:hAnsi="Courier New" w:cs="Courier New" w:hint="default"/>
      </w:rPr>
    </w:lvl>
    <w:lvl w:ilvl="2" w:tplc="10090005" w:tentative="1">
      <w:start w:val="1"/>
      <w:numFmt w:val="bullet"/>
      <w:lvlText w:val=""/>
      <w:lvlJc w:val="left"/>
      <w:pPr>
        <w:ind w:left="2775" w:hanging="360"/>
      </w:pPr>
      <w:rPr>
        <w:rFonts w:ascii="Wingdings" w:hAnsi="Wingdings" w:hint="default"/>
      </w:rPr>
    </w:lvl>
    <w:lvl w:ilvl="3" w:tplc="10090001" w:tentative="1">
      <w:start w:val="1"/>
      <w:numFmt w:val="bullet"/>
      <w:lvlText w:val=""/>
      <w:lvlJc w:val="left"/>
      <w:pPr>
        <w:ind w:left="3495" w:hanging="360"/>
      </w:pPr>
      <w:rPr>
        <w:rFonts w:ascii="Symbol" w:hAnsi="Symbol" w:hint="default"/>
      </w:rPr>
    </w:lvl>
    <w:lvl w:ilvl="4" w:tplc="10090003" w:tentative="1">
      <w:start w:val="1"/>
      <w:numFmt w:val="bullet"/>
      <w:lvlText w:val="o"/>
      <w:lvlJc w:val="left"/>
      <w:pPr>
        <w:ind w:left="4215" w:hanging="360"/>
      </w:pPr>
      <w:rPr>
        <w:rFonts w:ascii="Courier New" w:hAnsi="Courier New" w:cs="Courier New" w:hint="default"/>
      </w:rPr>
    </w:lvl>
    <w:lvl w:ilvl="5" w:tplc="10090005" w:tentative="1">
      <w:start w:val="1"/>
      <w:numFmt w:val="bullet"/>
      <w:lvlText w:val=""/>
      <w:lvlJc w:val="left"/>
      <w:pPr>
        <w:ind w:left="4935" w:hanging="360"/>
      </w:pPr>
      <w:rPr>
        <w:rFonts w:ascii="Wingdings" w:hAnsi="Wingdings" w:hint="default"/>
      </w:rPr>
    </w:lvl>
    <w:lvl w:ilvl="6" w:tplc="10090001" w:tentative="1">
      <w:start w:val="1"/>
      <w:numFmt w:val="bullet"/>
      <w:lvlText w:val=""/>
      <w:lvlJc w:val="left"/>
      <w:pPr>
        <w:ind w:left="5655" w:hanging="360"/>
      </w:pPr>
      <w:rPr>
        <w:rFonts w:ascii="Symbol" w:hAnsi="Symbol" w:hint="default"/>
      </w:rPr>
    </w:lvl>
    <w:lvl w:ilvl="7" w:tplc="10090003" w:tentative="1">
      <w:start w:val="1"/>
      <w:numFmt w:val="bullet"/>
      <w:lvlText w:val="o"/>
      <w:lvlJc w:val="left"/>
      <w:pPr>
        <w:ind w:left="6375" w:hanging="360"/>
      </w:pPr>
      <w:rPr>
        <w:rFonts w:ascii="Courier New" w:hAnsi="Courier New" w:cs="Courier New" w:hint="default"/>
      </w:rPr>
    </w:lvl>
    <w:lvl w:ilvl="8" w:tplc="10090005" w:tentative="1">
      <w:start w:val="1"/>
      <w:numFmt w:val="bullet"/>
      <w:lvlText w:val=""/>
      <w:lvlJc w:val="left"/>
      <w:pPr>
        <w:ind w:left="7095" w:hanging="360"/>
      </w:pPr>
      <w:rPr>
        <w:rFonts w:ascii="Wingdings" w:hAnsi="Wingdings" w:hint="default"/>
      </w:rPr>
    </w:lvl>
  </w:abstractNum>
  <w:abstractNum w:abstractNumId="9" w15:restartNumberingAfterBreak="0">
    <w:nsid w:val="23D7328B"/>
    <w:multiLevelType w:val="hybridMultilevel"/>
    <w:tmpl w:val="2FCC2146"/>
    <w:lvl w:ilvl="0" w:tplc="F1029B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255D35"/>
    <w:multiLevelType w:val="hybridMultilevel"/>
    <w:tmpl w:val="9170E2C4"/>
    <w:lvl w:ilvl="0" w:tplc="26BEB0E4">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9F0F04"/>
    <w:multiLevelType w:val="hybridMultilevel"/>
    <w:tmpl w:val="9A588736"/>
    <w:lvl w:ilvl="0" w:tplc="5CF8E9FA">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666042"/>
    <w:multiLevelType w:val="hybridMultilevel"/>
    <w:tmpl w:val="C4F0BF74"/>
    <w:lvl w:ilvl="0" w:tplc="8FCCE8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B712F1"/>
    <w:multiLevelType w:val="hybridMultilevel"/>
    <w:tmpl w:val="DBA2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818AF"/>
    <w:multiLevelType w:val="hybridMultilevel"/>
    <w:tmpl w:val="213ECC7E"/>
    <w:lvl w:ilvl="0" w:tplc="3CFCF4F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94DE1"/>
    <w:multiLevelType w:val="hybridMultilevel"/>
    <w:tmpl w:val="883A7E5E"/>
    <w:lvl w:ilvl="0" w:tplc="B7745BA6">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6" w15:restartNumberingAfterBreak="0">
    <w:nsid w:val="342C4763"/>
    <w:multiLevelType w:val="hybridMultilevel"/>
    <w:tmpl w:val="09B4A20A"/>
    <w:lvl w:ilvl="0" w:tplc="42BED26C">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6DE2C49"/>
    <w:multiLevelType w:val="hybridMultilevel"/>
    <w:tmpl w:val="EF0C59AC"/>
    <w:lvl w:ilvl="0" w:tplc="2CE23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90CC9"/>
    <w:multiLevelType w:val="hybridMultilevel"/>
    <w:tmpl w:val="880E0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7D0D31"/>
    <w:multiLevelType w:val="hybridMultilevel"/>
    <w:tmpl w:val="0570FD5C"/>
    <w:lvl w:ilvl="0" w:tplc="EBD28F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91165FE"/>
    <w:multiLevelType w:val="hybridMultilevel"/>
    <w:tmpl w:val="24DC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6388B"/>
    <w:multiLevelType w:val="hybridMultilevel"/>
    <w:tmpl w:val="7ED88D16"/>
    <w:lvl w:ilvl="0" w:tplc="71C2AF60">
      <w:start w:val="5"/>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2" w15:restartNumberingAfterBreak="0">
    <w:nsid w:val="4D0048E9"/>
    <w:multiLevelType w:val="hybridMultilevel"/>
    <w:tmpl w:val="BC08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215CB"/>
    <w:multiLevelType w:val="hybridMultilevel"/>
    <w:tmpl w:val="51DCD5EE"/>
    <w:lvl w:ilvl="0" w:tplc="C0DC7128">
      <w:start w:val="1"/>
      <w:numFmt w:val="decimal"/>
      <w:lvlText w:val="(%1)"/>
      <w:lvlJc w:val="left"/>
      <w:pPr>
        <w:ind w:left="0" w:hanging="360"/>
      </w:pPr>
      <w:rPr>
        <w:rFonts w:hint="default"/>
        <w:vertAlign w:val="superscrip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4" w15:restartNumberingAfterBreak="0">
    <w:nsid w:val="5D0D76E4"/>
    <w:multiLevelType w:val="hybridMultilevel"/>
    <w:tmpl w:val="A9C2E782"/>
    <w:lvl w:ilvl="0" w:tplc="CDFA8DC0">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5" w15:restartNumberingAfterBreak="0">
    <w:nsid w:val="5E23242A"/>
    <w:multiLevelType w:val="hybridMultilevel"/>
    <w:tmpl w:val="E77C412A"/>
    <w:lvl w:ilvl="0" w:tplc="C5304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773A1"/>
    <w:multiLevelType w:val="hybridMultilevel"/>
    <w:tmpl w:val="877059A6"/>
    <w:lvl w:ilvl="0" w:tplc="FB2C9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271E2"/>
    <w:multiLevelType w:val="multilevel"/>
    <w:tmpl w:val="7FF42AF4"/>
    <w:lvl w:ilvl="0">
      <w:start w:val="1"/>
      <w:numFmt w:val="decimal"/>
      <w:lvlText w:val="%1."/>
      <w:lvlJc w:val="left"/>
      <w:pPr>
        <w:tabs>
          <w:tab w:val="num" w:pos="900"/>
        </w:tabs>
        <w:ind w:left="900" w:hanging="720"/>
      </w:pPr>
      <w:rPr>
        <w:rFonts w:hint="default"/>
        <w:b/>
      </w:rPr>
    </w:lvl>
    <w:lvl w:ilvl="1">
      <w:start w:val="1"/>
      <w:numFmt w:val="decimal"/>
      <w:lvlText w:val="%2."/>
      <w:lvlJc w:val="left"/>
      <w:pPr>
        <w:tabs>
          <w:tab w:val="num" w:pos="1440"/>
        </w:tabs>
        <w:ind w:left="1440" w:hanging="360"/>
      </w:pPr>
    </w:lvl>
    <w:lvl w:ilvl="2">
      <w:start w:val="4"/>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2633355"/>
    <w:multiLevelType w:val="hybridMultilevel"/>
    <w:tmpl w:val="EAD2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03413"/>
    <w:multiLevelType w:val="hybridMultilevel"/>
    <w:tmpl w:val="98101724"/>
    <w:lvl w:ilvl="0" w:tplc="B6A8EA7E">
      <w:start w:val="9"/>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0" w15:restartNumberingAfterBreak="0">
    <w:nsid w:val="62E831E0"/>
    <w:multiLevelType w:val="hybridMultilevel"/>
    <w:tmpl w:val="9C98F48E"/>
    <w:lvl w:ilvl="0" w:tplc="EBD28F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7B6607"/>
    <w:multiLevelType w:val="hybridMultilevel"/>
    <w:tmpl w:val="9DF66D6E"/>
    <w:lvl w:ilvl="0" w:tplc="145A0296">
      <w:start w:val="7"/>
      <w:numFmt w:val="bullet"/>
      <w:lvlText w:val=""/>
      <w:lvlJc w:val="left"/>
      <w:pPr>
        <w:ind w:left="900" w:hanging="360"/>
      </w:pPr>
      <w:rPr>
        <w:rFonts w:ascii="Symbol" w:eastAsia="Times New Roman" w:hAnsi="Symbol" w:cs="Times New Roman" w:hint="default"/>
        <w:color w:val="000000"/>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6FF08EC"/>
    <w:multiLevelType w:val="hybridMultilevel"/>
    <w:tmpl w:val="26944EE4"/>
    <w:lvl w:ilvl="0" w:tplc="28C2F0FA">
      <w:start w:val="1"/>
      <w:numFmt w:val="lowerLetter"/>
      <w:lvlText w:val="(%1)"/>
      <w:lvlJc w:val="left"/>
      <w:pPr>
        <w:ind w:left="908" w:hanging="360"/>
      </w:pPr>
      <w:rPr>
        <w:rFonts w:hint="default"/>
      </w:rPr>
    </w:lvl>
    <w:lvl w:ilvl="1" w:tplc="10090019" w:tentative="1">
      <w:start w:val="1"/>
      <w:numFmt w:val="lowerLetter"/>
      <w:lvlText w:val="%2."/>
      <w:lvlJc w:val="left"/>
      <w:pPr>
        <w:ind w:left="1628" w:hanging="360"/>
      </w:pPr>
    </w:lvl>
    <w:lvl w:ilvl="2" w:tplc="1009001B" w:tentative="1">
      <w:start w:val="1"/>
      <w:numFmt w:val="lowerRoman"/>
      <w:lvlText w:val="%3."/>
      <w:lvlJc w:val="right"/>
      <w:pPr>
        <w:ind w:left="2348" w:hanging="180"/>
      </w:pPr>
    </w:lvl>
    <w:lvl w:ilvl="3" w:tplc="1009000F" w:tentative="1">
      <w:start w:val="1"/>
      <w:numFmt w:val="decimal"/>
      <w:lvlText w:val="%4."/>
      <w:lvlJc w:val="left"/>
      <w:pPr>
        <w:ind w:left="3068" w:hanging="360"/>
      </w:pPr>
    </w:lvl>
    <w:lvl w:ilvl="4" w:tplc="10090019" w:tentative="1">
      <w:start w:val="1"/>
      <w:numFmt w:val="lowerLetter"/>
      <w:lvlText w:val="%5."/>
      <w:lvlJc w:val="left"/>
      <w:pPr>
        <w:ind w:left="3788" w:hanging="360"/>
      </w:pPr>
    </w:lvl>
    <w:lvl w:ilvl="5" w:tplc="1009001B" w:tentative="1">
      <w:start w:val="1"/>
      <w:numFmt w:val="lowerRoman"/>
      <w:lvlText w:val="%6."/>
      <w:lvlJc w:val="right"/>
      <w:pPr>
        <w:ind w:left="4508" w:hanging="180"/>
      </w:pPr>
    </w:lvl>
    <w:lvl w:ilvl="6" w:tplc="1009000F" w:tentative="1">
      <w:start w:val="1"/>
      <w:numFmt w:val="decimal"/>
      <w:lvlText w:val="%7."/>
      <w:lvlJc w:val="left"/>
      <w:pPr>
        <w:ind w:left="5228" w:hanging="360"/>
      </w:pPr>
    </w:lvl>
    <w:lvl w:ilvl="7" w:tplc="10090019" w:tentative="1">
      <w:start w:val="1"/>
      <w:numFmt w:val="lowerLetter"/>
      <w:lvlText w:val="%8."/>
      <w:lvlJc w:val="left"/>
      <w:pPr>
        <w:ind w:left="5948" w:hanging="360"/>
      </w:pPr>
    </w:lvl>
    <w:lvl w:ilvl="8" w:tplc="1009001B" w:tentative="1">
      <w:start w:val="1"/>
      <w:numFmt w:val="lowerRoman"/>
      <w:lvlText w:val="%9."/>
      <w:lvlJc w:val="right"/>
      <w:pPr>
        <w:ind w:left="6668" w:hanging="180"/>
      </w:pPr>
    </w:lvl>
  </w:abstractNum>
  <w:abstractNum w:abstractNumId="33" w15:restartNumberingAfterBreak="0">
    <w:nsid w:val="67032AF7"/>
    <w:multiLevelType w:val="hybridMultilevel"/>
    <w:tmpl w:val="A2EA5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A0413"/>
    <w:multiLevelType w:val="hybridMultilevel"/>
    <w:tmpl w:val="26944EE4"/>
    <w:lvl w:ilvl="0" w:tplc="28C2F0FA">
      <w:start w:val="1"/>
      <w:numFmt w:val="lowerLetter"/>
      <w:lvlText w:val="(%1)"/>
      <w:lvlJc w:val="left"/>
      <w:pPr>
        <w:ind w:left="908" w:hanging="360"/>
      </w:pPr>
      <w:rPr>
        <w:rFonts w:hint="default"/>
      </w:rPr>
    </w:lvl>
    <w:lvl w:ilvl="1" w:tplc="10090019" w:tentative="1">
      <w:start w:val="1"/>
      <w:numFmt w:val="lowerLetter"/>
      <w:lvlText w:val="%2."/>
      <w:lvlJc w:val="left"/>
      <w:pPr>
        <w:ind w:left="1628" w:hanging="360"/>
      </w:pPr>
    </w:lvl>
    <w:lvl w:ilvl="2" w:tplc="1009001B" w:tentative="1">
      <w:start w:val="1"/>
      <w:numFmt w:val="lowerRoman"/>
      <w:lvlText w:val="%3."/>
      <w:lvlJc w:val="right"/>
      <w:pPr>
        <w:ind w:left="2348" w:hanging="180"/>
      </w:pPr>
    </w:lvl>
    <w:lvl w:ilvl="3" w:tplc="1009000F" w:tentative="1">
      <w:start w:val="1"/>
      <w:numFmt w:val="decimal"/>
      <w:lvlText w:val="%4."/>
      <w:lvlJc w:val="left"/>
      <w:pPr>
        <w:ind w:left="3068" w:hanging="360"/>
      </w:pPr>
    </w:lvl>
    <w:lvl w:ilvl="4" w:tplc="10090019" w:tentative="1">
      <w:start w:val="1"/>
      <w:numFmt w:val="lowerLetter"/>
      <w:lvlText w:val="%5."/>
      <w:lvlJc w:val="left"/>
      <w:pPr>
        <w:ind w:left="3788" w:hanging="360"/>
      </w:pPr>
    </w:lvl>
    <w:lvl w:ilvl="5" w:tplc="1009001B" w:tentative="1">
      <w:start w:val="1"/>
      <w:numFmt w:val="lowerRoman"/>
      <w:lvlText w:val="%6."/>
      <w:lvlJc w:val="right"/>
      <w:pPr>
        <w:ind w:left="4508" w:hanging="180"/>
      </w:pPr>
    </w:lvl>
    <w:lvl w:ilvl="6" w:tplc="1009000F" w:tentative="1">
      <w:start w:val="1"/>
      <w:numFmt w:val="decimal"/>
      <w:lvlText w:val="%7."/>
      <w:lvlJc w:val="left"/>
      <w:pPr>
        <w:ind w:left="5228" w:hanging="360"/>
      </w:pPr>
    </w:lvl>
    <w:lvl w:ilvl="7" w:tplc="10090019" w:tentative="1">
      <w:start w:val="1"/>
      <w:numFmt w:val="lowerLetter"/>
      <w:lvlText w:val="%8."/>
      <w:lvlJc w:val="left"/>
      <w:pPr>
        <w:ind w:left="5948" w:hanging="360"/>
      </w:pPr>
    </w:lvl>
    <w:lvl w:ilvl="8" w:tplc="1009001B" w:tentative="1">
      <w:start w:val="1"/>
      <w:numFmt w:val="lowerRoman"/>
      <w:lvlText w:val="%9."/>
      <w:lvlJc w:val="right"/>
      <w:pPr>
        <w:ind w:left="6668" w:hanging="180"/>
      </w:pPr>
    </w:lvl>
  </w:abstractNum>
  <w:abstractNum w:abstractNumId="35" w15:restartNumberingAfterBreak="0">
    <w:nsid w:val="6C9B377B"/>
    <w:multiLevelType w:val="hybridMultilevel"/>
    <w:tmpl w:val="4F02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63AF1"/>
    <w:multiLevelType w:val="hybridMultilevel"/>
    <w:tmpl w:val="FF04EF0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7" w15:restartNumberingAfterBreak="0">
    <w:nsid w:val="6D27332F"/>
    <w:multiLevelType w:val="hybridMultilevel"/>
    <w:tmpl w:val="88849800"/>
    <w:lvl w:ilvl="0" w:tplc="BB5088CC">
      <w:start w:val="1"/>
      <w:numFmt w:val="decimal"/>
      <w:lvlText w:val="(%1)"/>
      <w:lvlJc w:val="left"/>
      <w:pPr>
        <w:ind w:left="1260" w:hanging="360"/>
      </w:pPr>
      <w:rPr>
        <w:rFonts w:hint="default"/>
        <w:sz w:val="18"/>
        <w:vertAlign w:val="superscrip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8" w15:restartNumberingAfterBreak="0">
    <w:nsid w:val="6ED64EE0"/>
    <w:multiLevelType w:val="hybridMultilevel"/>
    <w:tmpl w:val="25EC3AD4"/>
    <w:lvl w:ilvl="0" w:tplc="062E6E8A">
      <w:start w:val="1"/>
      <w:numFmt w:val="lowerLetter"/>
      <w:lvlText w:val="(%1)"/>
      <w:lvlJc w:val="left"/>
      <w:pPr>
        <w:ind w:left="720" w:hanging="360"/>
      </w:pPr>
      <w:rPr>
        <w:rFonts w:ascii="Arial" w:hAnsi="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F351360"/>
    <w:multiLevelType w:val="hybridMultilevel"/>
    <w:tmpl w:val="EFD6894C"/>
    <w:lvl w:ilvl="0" w:tplc="6E2C2428">
      <w:start w:val="1"/>
      <w:numFmt w:val="lowerLetter"/>
      <w:lvlText w:val="(%1)"/>
      <w:lvlJc w:val="left"/>
      <w:pPr>
        <w:ind w:left="1671" w:hanging="360"/>
      </w:pPr>
      <w:rPr>
        <w:rFonts w:hint="default"/>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40" w15:restartNumberingAfterBreak="0">
    <w:nsid w:val="6FA56418"/>
    <w:multiLevelType w:val="hybridMultilevel"/>
    <w:tmpl w:val="F88EE722"/>
    <w:lvl w:ilvl="0" w:tplc="CC1CE9C0">
      <w:start w:val="4"/>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41" w15:restartNumberingAfterBreak="0">
    <w:nsid w:val="76684BA5"/>
    <w:multiLevelType w:val="hybridMultilevel"/>
    <w:tmpl w:val="AE7A10F0"/>
    <w:lvl w:ilvl="0" w:tplc="5C2C957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82D2020"/>
    <w:multiLevelType w:val="hybridMultilevel"/>
    <w:tmpl w:val="6582A9A2"/>
    <w:lvl w:ilvl="0" w:tplc="C5060F3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CF10431"/>
    <w:multiLevelType w:val="hybridMultilevel"/>
    <w:tmpl w:val="2062BD50"/>
    <w:lvl w:ilvl="0" w:tplc="FD1221CE">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696882"/>
    <w:multiLevelType w:val="hybridMultilevel"/>
    <w:tmpl w:val="07E64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834511">
    <w:abstractNumId w:val="27"/>
  </w:num>
  <w:num w:numId="2" w16cid:durableId="1965961313">
    <w:abstractNumId w:val="5"/>
  </w:num>
  <w:num w:numId="3" w16cid:durableId="1660496163">
    <w:abstractNumId w:val="29"/>
  </w:num>
  <w:num w:numId="4" w16cid:durableId="1657606743">
    <w:abstractNumId w:val="6"/>
  </w:num>
  <w:num w:numId="5" w16cid:durableId="131101455">
    <w:abstractNumId w:val="15"/>
  </w:num>
  <w:num w:numId="6" w16cid:durableId="1006059293">
    <w:abstractNumId w:val="43"/>
  </w:num>
  <w:num w:numId="7" w16cid:durableId="1038436522">
    <w:abstractNumId w:val="8"/>
  </w:num>
  <w:num w:numId="8" w16cid:durableId="2146391719">
    <w:abstractNumId w:val="40"/>
  </w:num>
  <w:num w:numId="9" w16cid:durableId="2143763389">
    <w:abstractNumId w:val="21"/>
  </w:num>
  <w:num w:numId="10" w16cid:durableId="672991148">
    <w:abstractNumId w:val="32"/>
  </w:num>
  <w:num w:numId="11" w16cid:durableId="1243874712">
    <w:abstractNumId w:val="18"/>
  </w:num>
  <w:num w:numId="12" w16cid:durableId="1944412785">
    <w:abstractNumId w:val="23"/>
  </w:num>
  <w:num w:numId="13" w16cid:durableId="1471752974">
    <w:abstractNumId w:val="38"/>
  </w:num>
  <w:num w:numId="14" w16cid:durableId="1588881574">
    <w:abstractNumId w:val="13"/>
  </w:num>
  <w:num w:numId="15" w16cid:durableId="1161890384">
    <w:abstractNumId w:val="30"/>
  </w:num>
  <w:num w:numId="16" w16cid:durableId="1679237427">
    <w:abstractNumId w:val="1"/>
  </w:num>
  <w:num w:numId="17" w16cid:durableId="1677535875">
    <w:abstractNumId w:val="14"/>
  </w:num>
  <w:num w:numId="18" w16cid:durableId="2104914850">
    <w:abstractNumId w:val="12"/>
  </w:num>
  <w:num w:numId="19" w16cid:durableId="839470060">
    <w:abstractNumId w:val="19"/>
  </w:num>
  <w:num w:numId="20" w16cid:durableId="297685838">
    <w:abstractNumId w:val="3"/>
  </w:num>
  <w:num w:numId="21" w16cid:durableId="353187981">
    <w:abstractNumId w:val="35"/>
  </w:num>
  <w:num w:numId="22" w16cid:durableId="2109958046">
    <w:abstractNumId w:val="34"/>
  </w:num>
  <w:num w:numId="23" w16cid:durableId="382678856">
    <w:abstractNumId w:val="22"/>
  </w:num>
  <w:num w:numId="24" w16cid:durableId="175731352">
    <w:abstractNumId w:val="41"/>
  </w:num>
  <w:num w:numId="25" w16cid:durableId="785006925">
    <w:abstractNumId w:val="4"/>
  </w:num>
  <w:num w:numId="26" w16cid:durableId="1012143952">
    <w:abstractNumId w:val="36"/>
  </w:num>
  <w:num w:numId="27" w16cid:durableId="1793357656">
    <w:abstractNumId w:val="24"/>
  </w:num>
  <w:num w:numId="28" w16cid:durableId="748424350">
    <w:abstractNumId w:val="44"/>
  </w:num>
  <w:num w:numId="29" w16cid:durableId="900796134">
    <w:abstractNumId w:val="28"/>
  </w:num>
  <w:num w:numId="30" w16cid:durableId="1269040316">
    <w:abstractNumId w:val="25"/>
  </w:num>
  <w:num w:numId="31" w16cid:durableId="649093801">
    <w:abstractNumId w:val="9"/>
  </w:num>
  <w:num w:numId="32" w16cid:durableId="205680312">
    <w:abstractNumId w:val="10"/>
  </w:num>
  <w:num w:numId="33" w16cid:durableId="377320540">
    <w:abstractNumId w:val="20"/>
  </w:num>
  <w:num w:numId="34" w16cid:durableId="646741564">
    <w:abstractNumId w:val="26"/>
  </w:num>
  <w:num w:numId="35" w16cid:durableId="762726248">
    <w:abstractNumId w:val="33"/>
  </w:num>
  <w:num w:numId="36" w16cid:durableId="316956288">
    <w:abstractNumId w:val="7"/>
  </w:num>
  <w:num w:numId="37" w16cid:durableId="1858734234">
    <w:abstractNumId w:val="16"/>
  </w:num>
  <w:num w:numId="38" w16cid:durableId="418673152">
    <w:abstractNumId w:val="42"/>
  </w:num>
  <w:num w:numId="39" w16cid:durableId="252663281">
    <w:abstractNumId w:val="0"/>
  </w:num>
  <w:num w:numId="40" w16cid:durableId="1967082853">
    <w:abstractNumId w:val="2"/>
  </w:num>
  <w:num w:numId="41" w16cid:durableId="298263474">
    <w:abstractNumId w:val="17"/>
  </w:num>
  <w:num w:numId="42" w16cid:durableId="1740787743">
    <w:abstractNumId w:val="39"/>
  </w:num>
  <w:num w:numId="43" w16cid:durableId="734356200">
    <w:abstractNumId w:val="11"/>
  </w:num>
  <w:num w:numId="44" w16cid:durableId="1540822509">
    <w:abstractNumId w:val="37"/>
  </w:num>
  <w:num w:numId="45" w16cid:durableId="616832260">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24"/>
    <w:rsid w:val="00000FBD"/>
    <w:rsid w:val="00000FFE"/>
    <w:rsid w:val="000010A8"/>
    <w:rsid w:val="00001397"/>
    <w:rsid w:val="000013F0"/>
    <w:rsid w:val="00001632"/>
    <w:rsid w:val="0000241E"/>
    <w:rsid w:val="000028FA"/>
    <w:rsid w:val="00003A93"/>
    <w:rsid w:val="00003CF8"/>
    <w:rsid w:val="00003D63"/>
    <w:rsid w:val="00005382"/>
    <w:rsid w:val="00005B91"/>
    <w:rsid w:val="00005BD2"/>
    <w:rsid w:val="000069EC"/>
    <w:rsid w:val="00007D54"/>
    <w:rsid w:val="00007F4C"/>
    <w:rsid w:val="00010863"/>
    <w:rsid w:val="00010992"/>
    <w:rsid w:val="00010B51"/>
    <w:rsid w:val="000113B1"/>
    <w:rsid w:val="000119E0"/>
    <w:rsid w:val="00011F62"/>
    <w:rsid w:val="00011F7A"/>
    <w:rsid w:val="000120C6"/>
    <w:rsid w:val="000121C6"/>
    <w:rsid w:val="0001263F"/>
    <w:rsid w:val="00012B6E"/>
    <w:rsid w:val="000139A4"/>
    <w:rsid w:val="00014B64"/>
    <w:rsid w:val="00014CAB"/>
    <w:rsid w:val="00015CCF"/>
    <w:rsid w:val="00017494"/>
    <w:rsid w:val="00017B7D"/>
    <w:rsid w:val="00017D84"/>
    <w:rsid w:val="00017E38"/>
    <w:rsid w:val="00017E94"/>
    <w:rsid w:val="000203CB"/>
    <w:rsid w:val="000209B6"/>
    <w:rsid w:val="00020BD9"/>
    <w:rsid w:val="0002113A"/>
    <w:rsid w:val="00021349"/>
    <w:rsid w:val="00021CDB"/>
    <w:rsid w:val="00022019"/>
    <w:rsid w:val="00022513"/>
    <w:rsid w:val="0002252A"/>
    <w:rsid w:val="00022879"/>
    <w:rsid w:val="00023E19"/>
    <w:rsid w:val="000245FF"/>
    <w:rsid w:val="000246CA"/>
    <w:rsid w:val="0002587F"/>
    <w:rsid w:val="00026681"/>
    <w:rsid w:val="0002696F"/>
    <w:rsid w:val="00027D28"/>
    <w:rsid w:val="00030069"/>
    <w:rsid w:val="0003045A"/>
    <w:rsid w:val="00030EE5"/>
    <w:rsid w:val="000311FC"/>
    <w:rsid w:val="000312FC"/>
    <w:rsid w:val="000319F3"/>
    <w:rsid w:val="00031AB3"/>
    <w:rsid w:val="00033A64"/>
    <w:rsid w:val="000344EB"/>
    <w:rsid w:val="00034708"/>
    <w:rsid w:val="00035369"/>
    <w:rsid w:val="00035B4B"/>
    <w:rsid w:val="000360C3"/>
    <w:rsid w:val="00036BFA"/>
    <w:rsid w:val="00036DEA"/>
    <w:rsid w:val="000370A2"/>
    <w:rsid w:val="00037A26"/>
    <w:rsid w:val="00037DC5"/>
    <w:rsid w:val="000407B9"/>
    <w:rsid w:val="00041057"/>
    <w:rsid w:val="00041429"/>
    <w:rsid w:val="00041C0F"/>
    <w:rsid w:val="00042E5D"/>
    <w:rsid w:val="00042FE9"/>
    <w:rsid w:val="00042FFE"/>
    <w:rsid w:val="00043665"/>
    <w:rsid w:val="00043861"/>
    <w:rsid w:val="00043AB8"/>
    <w:rsid w:val="00043B4E"/>
    <w:rsid w:val="00044366"/>
    <w:rsid w:val="000447F7"/>
    <w:rsid w:val="00044A29"/>
    <w:rsid w:val="00044B94"/>
    <w:rsid w:val="00044C2D"/>
    <w:rsid w:val="0004508D"/>
    <w:rsid w:val="000451FD"/>
    <w:rsid w:val="000454E1"/>
    <w:rsid w:val="00045FED"/>
    <w:rsid w:val="0005135F"/>
    <w:rsid w:val="000517AF"/>
    <w:rsid w:val="00051BCA"/>
    <w:rsid w:val="00051DCD"/>
    <w:rsid w:val="0005288D"/>
    <w:rsid w:val="00052D87"/>
    <w:rsid w:val="00053151"/>
    <w:rsid w:val="00053244"/>
    <w:rsid w:val="00054289"/>
    <w:rsid w:val="00054355"/>
    <w:rsid w:val="000547A4"/>
    <w:rsid w:val="00054DD0"/>
    <w:rsid w:val="0005510C"/>
    <w:rsid w:val="000551B5"/>
    <w:rsid w:val="00055532"/>
    <w:rsid w:val="00055AFD"/>
    <w:rsid w:val="00055BEC"/>
    <w:rsid w:val="00056163"/>
    <w:rsid w:val="00056CE9"/>
    <w:rsid w:val="00056E20"/>
    <w:rsid w:val="000571A1"/>
    <w:rsid w:val="00057594"/>
    <w:rsid w:val="000603F2"/>
    <w:rsid w:val="00060687"/>
    <w:rsid w:val="00060A95"/>
    <w:rsid w:val="00060BF3"/>
    <w:rsid w:val="00060FFE"/>
    <w:rsid w:val="000621E9"/>
    <w:rsid w:val="000630E0"/>
    <w:rsid w:val="00063A2F"/>
    <w:rsid w:val="00063B35"/>
    <w:rsid w:val="00063BDE"/>
    <w:rsid w:val="00063D67"/>
    <w:rsid w:val="000648B8"/>
    <w:rsid w:val="000648D8"/>
    <w:rsid w:val="00064BDF"/>
    <w:rsid w:val="00065165"/>
    <w:rsid w:val="00065FB3"/>
    <w:rsid w:val="00066100"/>
    <w:rsid w:val="00067560"/>
    <w:rsid w:val="000675B0"/>
    <w:rsid w:val="000678C0"/>
    <w:rsid w:val="00067985"/>
    <w:rsid w:val="00067B3E"/>
    <w:rsid w:val="00067BBE"/>
    <w:rsid w:val="00070095"/>
    <w:rsid w:val="00070129"/>
    <w:rsid w:val="0007016D"/>
    <w:rsid w:val="0007030E"/>
    <w:rsid w:val="00070607"/>
    <w:rsid w:val="0007106A"/>
    <w:rsid w:val="000719A5"/>
    <w:rsid w:val="0007208C"/>
    <w:rsid w:val="000725DA"/>
    <w:rsid w:val="00072838"/>
    <w:rsid w:val="00073033"/>
    <w:rsid w:val="00073477"/>
    <w:rsid w:val="000736C2"/>
    <w:rsid w:val="00073CB4"/>
    <w:rsid w:val="0007409C"/>
    <w:rsid w:val="0007423E"/>
    <w:rsid w:val="000743BB"/>
    <w:rsid w:val="000749E9"/>
    <w:rsid w:val="000758D9"/>
    <w:rsid w:val="000760B5"/>
    <w:rsid w:val="00076111"/>
    <w:rsid w:val="00076465"/>
    <w:rsid w:val="0007732F"/>
    <w:rsid w:val="000775C4"/>
    <w:rsid w:val="00080180"/>
    <w:rsid w:val="00080A10"/>
    <w:rsid w:val="00080DD4"/>
    <w:rsid w:val="000810BF"/>
    <w:rsid w:val="0008165B"/>
    <w:rsid w:val="000819DA"/>
    <w:rsid w:val="0008215E"/>
    <w:rsid w:val="000826C9"/>
    <w:rsid w:val="00082A68"/>
    <w:rsid w:val="00084AF4"/>
    <w:rsid w:val="00084E78"/>
    <w:rsid w:val="0008531E"/>
    <w:rsid w:val="000860D9"/>
    <w:rsid w:val="00086224"/>
    <w:rsid w:val="00086506"/>
    <w:rsid w:val="00087D53"/>
    <w:rsid w:val="00087F31"/>
    <w:rsid w:val="00090009"/>
    <w:rsid w:val="00090486"/>
    <w:rsid w:val="000904A8"/>
    <w:rsid w:val="00090900"/>
    <w:rsid w:val="0009183D"/>
    <w:rsid w:val="0009187F"/>
    <w:rsid w:val="0009370E"/>
    <w:rsid w:val="00093C46"/>
    <w:rsid w:val="00093E97"/>
    <w:rsid w:val="00094121"/>
    <w:rsid w:val="00094392"/>
    <w:rsid w:val="000944C7"/>
    <w:rsid w:val="000944DD"/>
    <w:rsid w:val="0009470B"/>
    <w:rsid w:val="00095D22"/>
    <w:rsid w:val="00095F51"/>
    <w:rsid w:val="00096C98"/>
    <w:rsid w:val="000973A6"/>
    <w:rsid w:val="0009767D"/>
    <w:rsid w:val="000976FB"/>
    <w:rsid w:val="00097E89"/>
    <w:rsid w:val="000A00B0"/>
    <w:rsid w:val="000A05D3"/>
    <w:rsid w:val="000A09E9"/>
    <w:rsid w:val="000A0B41"/>
    <w:rsid w:val="000A129E"/>
    <w:rsid w:val="000A16A8"/>
    <w:rsid w:val="000A16D6"/>
    <w:rsid w:val="000A1DEC"/>
    <w:rsid w:val="000A27F5"/>
    <w:rsid w:val="000A2A92"/>
    <w:rsid w:val="000A3327"/>
    <w:rsid w:val="000A3C8E"/>
    <w:rsid w:val="000A41DB"/>
    <w:rsid w:val="000A55AC"/>
    <w:rsid w:val="000A56DB"/>
    <w:rsid w:val="000A7185"/>
    <w:rsid w:val="000A7ED5"/>
    <w:rsid w:val="000B04A1"/>
    <w:rsid w:val="000B0B8F"/>
    <w:rsid w:val="000B0F30"/>
    <w:rsid w:val="000B146D"/>
    <w:rsid w:val="000B1AAF"/>
    <w:rsid w:val="000B1F9F"/>
    <w:rsid w:val="000B245D"/>
    <w:rsid w:val="000B2675"/>
    <w:rsid w:val="000B2A21"/>
    <w:rsid w:val="000B2E58"/>
    <w:rsid w:val="000B2FD5"/>
    <w:rsid w:val="000B30A7"/>
    <w:rsid w:val="000B33A2"/>
    <w:rsid w:val="000B39AE"/>
    <w:rsid w:val="000B3D4F"/>
    <w:rsid w:val="000B3E2B"/>
    <w:rsid w:val="000B4F16"/>
    <w:rsid w:val="000B5AB2"/>
    <w:rsid w:val="000B686F"/>
    <w:rsid w:val="000B6C21"/>
    <w:rsid w:val="000B6D7B"/>
    <w:rsid w:val="000B6F6C"/>
    <w:rsid w:val="000B702D"/>
    <w:rsid w:val="000B7B82"/>
    <w:rsid w:val="000C1017"/>
    <w:rsid w:val="000C12AF"/>
    <w:rsid w:val="000C130B"/>
    <w:rsid w:val="000C15C7"/>
    <w:rsid w:val="000C1B8C"/>
    <w:rsid w:val="000C2007"/>
    <w:rsid w:val="000C20B1"/>
    <w:rsid w:val="000C2753"/>
    <w:rsid w:val="000C2790"/>
    <w:rsid w:val="000C27F1"/>
    <w:rsid w:val="000C2A00"/>
    <w:rsid w:val="000C2C35"/>
    <w:rsid w:val="000C3883"/>
    <w:rsid w:val="000C43F6"/>
    <w:rsid w:val="000C4435"/>
    <w:rsid w:val="000C4761"/>
    <w:rsid w:val="000C4897"/>
    <w:rsid w:val="000C4CCE"/>
    <w:rsid w:val="000C4E9D"/>
    <w:rsid w:val="000C5072"/>
    <w:rsid w:val="000C540E"/>
    <w:rsid w:val="000C5761"/>
    <w:rsid w:val="000C586D"/>
    <w:rsid w:val="000C5CDF"/>
    <w:rsid w:val="000C66F1"/>
    <w:rsid w:val="000C68B9"/>
    <w:rsid w:val="000C69ED"/>
    <w:rsid w:val="000C69F4"/>
    <w:rsid w:val="000C6ABB"/>
    <w:rsid w:val="000C7368"/>
    <w:rsid w:val="000C7418"/>
    <w:rsid w:val="000C79D4"/>
    <w:rsid w:val="000C7A76"/>
    <w:rsid w:val="000C7B98"/>
    <w:rsid w:val="000C7BAF"/>
    <w:rsid w:val="000C7EB6"/>
    <w:rsid w:val="000D0B80"/>
    <w:rsid w:val="000D1C98"/>
    <w:rsid w:val="000D1D98"/>
    <w:rsid w:val="000D2895"/>
    <w:rsid w:val="000D3080"/>
    <w:rsid w:val="000D3C7A"/>
    <w:rsid w:val="000D4331"/>
    <w:rsid w:val="000D46D5"/>
    <w:rsid w:val="000D4724"/>
    <w:rsid w:val="000D4992"/>
    <w:rsid w:val="000D4F74"/>
    <w:rsid w:val="000D51DC"/>
    <w:rsid w:val="000D5750"/>
    <w:rsid w:val="000D6142"/>
    <w:rsid w:val="000D6A5B"/>
    <w:rsid w:val="000D6FB2"/>
    <w:rsid w:val="000D75C3"/>
    <w:rsid w:val="000D782A"/>
    <w:rsid w:val="000D7997"/>
    <w:rsid w:val="000E05E8"/>
    <w:rsid w:val="000E0732"/>
    <w:rsid w:val="000E109B"/>
    <w:rsid w:val="000E11A2"/>
    <w:rsid w:val="000E1644"/>
    <w:rsid w:val="000E1B70"/>
    <w:rsid w:val="000E2473"/>
    <w:rsid w:val="000E25B7"/>
    <w:rsid w:val="000E28E6"/>
    <w:rsid w:val="000E2C61"/>
    <w:rsid w:val="000E32DC"/>
    <w:rsid w:val="000E3A3F"/>
    <w:rsid w:val="000E3C16"/>
    <w:rsid w:val="000E3D7F"/>
    <w:rsid w:val="000E48FD"/>
    <w:rsid w:val="000E4C55"/>
    <w:rsid w:val="000E4F71"/>
    <w:rsid w:val="000E54DE"/>
    <w:rsid w:val="000E5BA1"/>
    <w:rsid w:val="000E6798"/>
    <w:rsid w:val="000E7BF6"/>
    <w:rsid w:val="000E7CC4"/>
    <w:rsid w:val="000F0123"/>
    <w:rsid w:val="000F017C"/>
    <w:rsid w:val="000F112D"/>
    <w:rsid w:val="000F1EB2"/>
    <w:rsid w:val="000F2666"/>
    <w:rsid w:val="000F28B6"/>
    <w:rsid w:val="000F2D4C"/>
    <w:rsid w:val="000F2E47"/>
    <w:rsid w:val="000F30AF"/>
    <w:rsid w:val="000F3A19"/>
    <w:rsid w:val="000F3AEB"/>
    <w:rsid w:val="000F3C20"/>
    <w:rsid w:val="000F4037"/>
    <w:rsid w:val="000F42BC"/>
    <w:rsid w:val="000F4B28"/>
    <w:rsid w:val="000F4D41"/>
    <w:rsid w:val="000F502E"/>
    <w:rsid w:val="000F50FF"/>
    <w:rsid w:val="000F575F"/>
    <w:rsid w:val="000F5CEC"/>
    <w:rsid w:val="000F5E34"/>
    <w:rsid w:val="000F6174"/>
    <w:rsid w:val="000F64AE"/>
    <w:rsid w:val="000F6836"/>
    <w:rsid w:val="000F6B7F"/>
    <w:rsid w:val="000F7380"/>
    <w:rsid w:val="000F75C6"/>
    <w:rsid w:val="0010003B"/>
    <w:rsid w:val="00100925"/>
    <w:rsid w:val="00100BA2"/>
    <w:rsid w:val="001014CF"/>
    <w:rsid w:val="001022C1"/>
    <w:rsid w:val="001025C5"/>
    <w:rsid w:val="00102AE0"/>
    <w:rsid w:val="0010309C"/>
    <w:rsid w:val="00103CC7"/>
    <w:rsid w:val="00103CE6"/>
    <w:rsid w:val="001041B5"/>
    <w:rsid w:val="00105634"/>
    <w:rsid w:val="00105812"/>
    <w:rsid w:val="00105A4F"/>
    <w:rsid w:val="00105D20"/>
    <w:rsid w:val="00106308"/>
    <w:rsid w:val="00106901"/>
    <w:rsid w:val="00106A48"/>
    <w:rsid w:val="00107C7E"/>
    <w:rsid w:val="00111F36"/>
    <w:rsid w:val="00112143"/>
    <w:rsid w:val="00112342"/>
    <w:rsid w:val="001124D9"/>
    <w:rsid w:val="00112623"/>
    <w:rsid w:val="00112C09"/>
    <w:rsid w:val="00112D90"/>
    <w:rsid w:val="00112EE7"/>
    <w:rsid w:val="0011355C"/>
    <w:rsid w:val="001135B1"/>
    <w:rsid w:val="001143BF"/>
    <w:rsid w:val="00114943"/>
    <w:rsid w:val="00114F73"/>
    <w:rsid w:val="0011593E"/>
    <w:rsid w:val="00116F7B"/>
    <w:rsid w:val="00117049"/>
    <w:rsid w:val="00117C04"/>
    <w:rsid w:val="0012023B"/>
    <w:rsid w:val="001203C0"/>
    <w:rsid w:val="00120957"/>
    <w:rsid w:val="00120B54"/>
    <w:rsid w:val="00120DDE"/>
    <w:rsid w:val="00120ED8"/>
    <w:rsid w:val="0012134B"/>
    <w:rsid w:val="00121BF5"/>
    <w:rsid w:val="001234AA"/>
    <w:rsid w:val="00123554"/>
    <w:rsid w:val="00124AC5"/>
    <w:rsid w:val="00124C99"/>
    <w:rsid w:val="00124CCB"/>
    <w:rsid w:val="00124CEE"/>
    <w:rsid w:val="00124DF1"/>
    <w:rsid w:val="00125B21"/>
    <w:rsid w:val="001264B9"/>
    <w:rsid w:val="00126995"/>
    <w:rsid w:val="00126DAD"/>
    <w:rsid w:val="00126E49"/>
    <w:rsid w:val="00126E7A"/>
    <w:rsid w:val="0012709F"/>
    <w:rsid w:val="001274DB"/>
    <w:rsid w:val="00127650"/>
    <w:rsid w:val="001278CB"/>
    <w:rsid w:val="00127A3D"/>
    <w:rsid w:val="0013080B"/>
    <w:rsid w:val="00130997"/>
    <w:rsid w:val="00130C10"/>
    <w:rsid w:val="00131359"/>
    <w:rsid w:val="00132092"/>
    <w:rsid w:val="00132751"/>
    <w:rsid w:val="00132AFD"/>
    <w:rsid w:val="001341A4"/>
    <w:rsid w:val="001342B4"/>
    <w:rsid w:val="001345E4"/>
    <w:rsid w:val="001351C2"/>
    <w:rsid w:val="001353ED"/>
    <w:rsid w:val="001356D5"/>
    <w:rsid w:val="00135FD9"/>
    <w:rsid w:val="00136881"/>
    <w:rsid w:val="0013747C"/>
    <w:rsid w:val="001374E8"/>
    <w:rsid w:val="00137763"/>
    <w:rsid w:val="00137935"/>
    <w:rsid w:val="00137BA3"/>
    <w:rsid w:val="00137BFF"/>
    <w:rsid w:val="001402D2"/>
    <w:rsid w:val="00140731"/>
    <w:rsid w:val="00140C57"/>
    <w:rsid w:val="00141B67"/>
    <w:rsid w:val="00141E32"/>
    <w:rsid w:val="00141ED4"/>
    <w:rsid w:val="00142674"/>
    <w:rsid w:val="00142AFC"/>
    <w:rsid w:val="00143083"/>
    <w:rsid w:val="00143160"/>
    <w:rsid w:val="001431A3"/>
    <w:rsid w:val="00143829"/>
    <w:rsid w:val="00143D02"/>
    <w:rsid w:val="00143D5B"/>
    <w:rsid w:val="00143F60"/>
    <w:rsid w:val="001440F4"/>
    <w:rsid w:val="00144353"/>
    <w:rsid w:val="00145723"/>
    <w:rsid w:val="001459E2"/>
    <w:rsid w:val="00145C6B"/>
    <w:rsid w:val="00147254"/>
    <w:rsid w:val="00147C71"/>
    <w:rsid w:val="00147FCF"/>
    <w:rsid w:val="00150271"/>
    <w:rsid w:val="001502B7"/>
    <w:rsid w:val="00150AA3"/>
    <w:rsid w:val="00150E9F"/>
    <w:rsid w:val="001512EE"/>
    <w:rsid w:val="001514D9"/>
    <w:rsid w:val="00151694"/>
    <w:rsid w:val="00152B9A"/>
    <w:rsid w:val="00153193"/>
    <w:rsid w:val="00153A1A"/>
    <w:rsid w:val="00154592"/>
    <w:rsid w:val="001549AC"/>
    <w:rsid w:val="00154E0F"/>
    <w:rsid w:val="0015526B"/>
    <w:rsid w:val="00155308"/>
    <w:rsid w:val="001556EC"/>
    <w:rsid w:val="00155C88"/>
    <w:rsid w:val="001561DD"/>
    <w:rsid w:val="001561F8"/>
    <w:rsid w:val="00156819"/>
    <w:rsid w:val="00156DBD"/>
    <w:rsid w:val="00157108"/>
    <w:rsid w:val="00157C71"/>
    <w:rsid w:val="00157C9B"/>
    <w:rsid w:val="001601B7"/>
    <w:rsid w:val="00160A20"/>
    <w:rsid w:val="00161900"/>
    <w:rsid w:val="0016195B"/>
    <w:rsid w:val="00161D4B"/>
    <w:rsid w:val="00161DD0"/>
    <w:rsid w:val="00162006"/>
    <w:rsid w:val="001621E0"/>
    <w:rsid w:val="001625F2"/>
    <w:rsid w:val="00162C8F"/>
    <w:rsid w:val="001630A9"/>
    <w:rsid w:val="00163241"/>
    <w:rsid w:val="00163321"/>
    <w:rsid w:val="00164887"/>
    <w:rsid w:val="00164992"/>
    <w:rsid w:val="00165807"/>
    <w:rsid w:val="00165A1B"/>
    <w:rsid w:val="00165B34"/>
    <w:rsid w:val="00165FCA"/>
    <w:rsid w:val="00166C84"/>
    <w:rsid w:val="00166D73"/>
    <w:rsid w:val="0016716C"/>
    <w:rsid w:val="001672C9"/>
    <w:rsid w:val="00167691"/>
    <w:rsid w:val="00170394"/>
    <w:rsid w:val="00171033"/>
    <w:rsid w:val="001711EA"/>
    <w:rsid w:val="00171595"/>
    <w:rsid w:val="0017175C"/>
    <w:rsid w:val="00171F0A"/>
    <w:rsid w:val="0017227B"/>
    <w:rsid w:val="0017250D"/>
    <w:rsid w:val="0017254A"/>
    <w:rsid w:val="00172E4A"/>
    <w:rsid w:val="00173123"/>
    <w:rsid w:val="0017320A"/>
    <w:rsid w:val="001732BA"/>
    <w:rsid w:val="001735B1"/>
    <w:rsid w:val="00173669"/>
    <w:rsid w:val="00173C0C"/>
    <w:rsid w:val="0017447C"/>
    <w:rsid w:val="00174954"/>
    <w:rsid w:val="00174AAB"/>
    <w:rsid w:val="00174C54"/>
    <w:rsid w:val="00174D83"/>
    <w:rsid w:val="001753CF"/>
    <w:rsid w:val="00175918"/>
    <w:rsid w:val="00176476"/>
    <w:rsid w:val="001765A7"/>
    <w:rsid w:val="00176C61"/>
    <w:rsid w:val="00176EFE"/>
    <w:rsid w:val="00177A89"/>
    <w:rsid w:val="001807A5"/>
    <w:rsid w:val="00180B9B"/>
    <w:rsid w:val="001810F4"/>
    <w:rsid w:val="00181AC4"/>
    <w:rsid w:val="00182079"/>
    <w:rsid w:val="00182690"/>
    <w:rsid w:val="00182A9A"/>
    <w:rsid w:val="0018303C"/>
    <w:rsid w:val="00184857"/>
    <w:rsid w:val="001850F5"/>
    <w:rsid w:val="001857E7"/>
    <w:rsid w:val="00186974"/>
    <w:rsid w:val="00186B76"/>
    <w:rsid w:val="00186B7B"/>
    <w:rsid w:val="00187098"/>
    <w:rsid w:val="00190056"/>
    <w:rsid w:val="0019005A"/>
    <w:rsid w:val="00190967"/>
    <w:rsid w:val="00191D8A"/>
    <w:rsid w:val="00192B47"/>
    <w:rsid w:val="00192C1F"/>
    <w:rsid w:val="00193798"/>
    <w:rsid w:val="001941B8"/>
    <w:rsid w:val="00194B08"/>
    <w:rsid w:val="00194CCF"/>
    <w:rsid w:val="001951BB"/>
    <w:rsid w:val="00195263"/>
    <w:rsid w:val="001959BC"/>
    <w:rsid w:val="0019667F"/>
    <w:rsid w:val="00196BDF"/>
    <w:rsid w:val="001975CE"/>
    <w:rsid w:val="00197983"/>
    <w:rsid w:val="00197D0E"/>
    <w:rsid w:val="00197F2E"/>
    <w:rsid w:val="001A07EC"/>
    <w:rsid w:val="001A0B0E"/>
    <w:rsid w:val="001A167F"/>
    <w:rsid w:val="001A1B4D"/>
    <w:rsid w:val="001A23D5"/>
    <w:rsid w:val="001A2989"/>
    <w:rsid w:val="001A2AE7"/>
    <w:rsid w:val="001A2B16"/>
    <w:rsid w:val="001A2E3E"/>
    <w:rsid w:val="001A331C"/>
    <w:rsid w:val="001A3DD6"/>
    <w:rsid w:val="001A45AD"/>
    <w:rsid w:val="001A460E"/>
    <w:rsid w:val="001A46CC"/>
    <w:rsid w:val="001A47B7"/>
    <w:rsid w:val="001A48CF"/>
    <w:rsid w:val="001A4CE2"/>
    <w:rsid w:val="001A5178"/>
    <w:rsid w:val="001A51D3"/>
    <w:rsid w:val="001A536D"/>
    <w:rsid w:val="001A554C"/>
    <w:rsid w:val="001A5BB7"/>
    <w:rsid w:val="001A5E6A"/>
    <w:rsid w:val="001A63F8"/>
    <w:rsid w:val="001A6968"/>
    <w:rsid w:val="001A6C58"/>
    <w:rsid w:val="001A71CD"/>
    <w:rsid w:val="001A7639"/>
    <w:rsid w:val="001A79FD"/>
    <w:rsid w:val="001B0102"/>
    <w:rsid w:val="001B011C"/>
    <w:rsid w:val="001B021B"/>
    <w:rsid w:val="001B02A0"/>
    <w:rsid w:val="001B0976"/>
    <w:rsid w:val="001B106F"/>
    <w:rsid w:val="001B1254"/>
    <w:rsid w:val="001B1316"/>
    <w:rsid w:val="001B176F"/>
    <w:rsid w:val="001B1A72"/>
    <w:rsid w:val="001B1F46"/>
    <w:rsid w:val="001B20A2"/>
    <w:rsid w:val="001B22E6"/>
    <w:rsid w:val="001B270B"/>
    <w:rsid w:val="001B2EB9"/>
    <w:rsid w:val="001B3636"/>
    <w:rsid w:val="001B37E0"/>
    <w:rsid w:val="001B3E8F"/>
    <w:rsid w:val="001B43AA"/>
    <w:rsid w:val="001B4854"/>
    <w:rsid w:val="001B5469"/>
    <w:rsid w:val="001B63A5"/>
    <w:rsid w:val="001B6562"/>
    <w:rsid w:val="001B674B"/>
    <w:rsid w:val="001B764F"/>
    <w:rsid w:val="001B794E"/>
    <w:rsid w:val="001C01D0"/>
    <w:rsid w:val="001C04C8"/>
    <w:rsid w:val="001C04E0"/>
    <w:rsid w:val="001C0851"/>
    <w:rsid w:val="001C0FB8"/>
    <w:rsid w:val="001C22A3"/>
    <w:rsid w:val="001C2808"/>
    <w:rsid w:val="001C3228"/>
    <w:rsid w:val="001C474B"/>
    <w:rsid w:val="001C49EA"/>
    <w:rsid w:val="001C4E7F"/>
    <w:rsid w:val="001C5415"/>
    <w:rsid w:val="001C5990"/>
    <w:rsid w:val="001C5AC0"/>
    <w:rsid w:val="001C6243"/>
    <w:rsid w:val="001C63D3"/>
    <w:rsid w:val="001C6479"/>
    <w:rsid w:val="001C681D"/>
    <w:rsid w:val="001C6E03"/>
    <w:rsid w:val="001C6FCD"/>
    <w:rsid w:val="001C79CB"/>
    <w:rsid w:val="001C7E0F"/>
    <w:rsid w:val="001D0447"/>
    <w:rsid w:val="001D0777"/>
    <w:rsid w:val="001D1006"/>
    <w:rsid w:val="001D1206"/>
    <w:rsid w:val="001D12CC"/>
    <w:rsid w:val="001D18CB"/>
    <w:rsid w:val="001D1EBB"/>
    <w:rsid w:val="001D231F"/>
    <w:rsid w:val="001D2DAA"/>
    <w:rsid w:val="001D3127"/>
    <w:rsid w:val="001D36AE"/>
    <w:rsid w:val="001D3A4B"/>
    <w:rsid w:val="001D46CD"/>
    <w:rsid w:val="001D5F78"/>
    <w:rsid w:val="001D6033"/>
    <w:rsid w:val="001D6DC2"/>
    <w:rsid w:val="001D7015"/>
    <w:rsid w:val="001D7B19"/>
    <w:rsid w:val="001D7D7A"/>
    <w:rsid w:val="001E0103"/>
    <w:rsid w:val="001E0342"/>
    <w:rsid w:val="001E0494"/>
    <w:rsid w:val="001E0B44"/>
    <w:rsid w:val="001E21F9"/>
    <w:rsid w:val="001E2625"/>
    <w:rsid w:val="001E2BDB"/>
    <w:rsid w:val="001E2C49"/>
    <w:rsid w:val="001E2F6C"/>
    <w:rsid w:val="001E2F9B"/>
    <w:rsid w:val="001E346A"/>
    <w:rsid w:val="001E5B1F"/>
    <w:rsid w:val="001E6022"/>
    <w:rsid w:val="001E64B7"/>
    <w:rsid w:val="001E64E7"/>
    <w:rsid w:val="001E65B8"/>
    <w:rsid w:val="001E7059"/>
    <w:rsid w:val="001E7B70"/>
    <w:rsid w:val="001F027B"/>
    <w:rsid w:val="001F1E24"/>
    <w:rsid w:val="001F3405"/>
    <w:rsid w:val="001F3777"/>
    <w:rsid w:val="001F3AD1"/>
    <w:rsid w:val="001F3D56"/>
    <w:rsid w:val="001F4CBE"/>
    <w:rsid w:val="001F52C2"/>
    <w:rsid w:val="001F5654"/>
    <w:rsid w:val="001F5806"/>
    <w:rsid w:val="001F5A5F"/>
    <w:rsid w:val="001F6041"/>
    <w:rsid w:val="001F6307"/>
    <w:rsid w:val="001F6DCC"/>
    <w:rsid w:val="001F75A4"/>
    <w:rsid w:val="001F76BA"/>
    <w:rsid w:val="00200E98"/>
    <w:rsid w:val="00201039"/>
    <w:rsid w:val="002013FC"/>
    <w:rsid w:val="00201BD8"/>
    <w:rsid w:val="00202115"/>
    <w:rsid w:val="00202133"/>
    <w:rsid w:val="00202431"/>
    <w:rsid w:val="00202CAB"/>
    <w:rsid w:val="002031D1"/>
    <w:rsid w:val="00203946"/>
    <w:rsid w:val="00203EA6"/>
    <w:rsid w:val="00203ECD"/>
    <w:rsid w:val="0020434B"/>
    <w:rsid w:val="00204EBF"/>
    <w:rsid w:val="00205493"/>
    <w:rsid w:val="00205E48"/>
    <w:rsid w:val="00205EC5"/>
    <w:rsid w:val="00206E9F"/>
    <w:rsid w:val="002072E6"/>
    <w:rsid w:val="0020772D"/>
    <w:rsid w:val="0021001C"/>
    <w:rsid w:val="00210D3D"/>
    <w:rsid w:val="00212182"/>
    <w:rsid w:val="002127D6"/>
    <w:rsid w:val="00212B08"/>
    <w:rsid w:val="00213127"/>
    <w:rsid w:val="00213920"/>
    <w:rsid w:val="002139CE"/>
    <w:rsid w:val="00213C93"/>
    <w:rsid w:val="00213CB8"/>
    <w:rsid w:val="00214205"/>
    <w:rsid w:val="00215407"/>
    <w:rsid w:val="00215719"/>
    <w:rsid w:val="00215795"/>
    <w:rsid w:val="00216F4B"/>
    <w:rsid w:val="0021726D"/>
    <w:rsid w:val="00217355"/>
    <w:rsid w:val="00217F78"/>
    <w:rsid w:val="002200EE"/>
    <w:rsid w:val="00220340"/>
    <w:rsid w:val="00221900"/>
    <w:rsid w:val="00221FA6"/>
    <w:rsid w:val="0022215B"/>
    <w:rsid w:val="002228A9"/>
    <w:rsid w:val="00222A63"/>
    <w:rsid w:val="00223CEF"/>
    <w:rsid w:val="00223D69"/>
    <w:rsid w:val="00224769"/>
    <w:rsid w:val="00224E8B"/>
    <w:rsid w:val="00225336"/>
    <w:rsid w:val="00225A75"/>
    <w:rsid w:val="00226103"/>
    <w:rsid w:val="002262F3"/>
    <w:rsid w:val="002265BF"/>
    <w:rsid w:val="00226A51"/>
    <w:rsid w:val="00226B10"/>
    <w:rsid w:val="00227127"/>
    <w:rsid w:val="00227350"/>
    <w:rsid w:val="0022748E"/>
    <w:rsid w:val="0022755B"/>
    <w:rsid w:val="002277E3"/>
    <w:rsid w:val="00227C31"/>
    <w:rsid w:val="00230715"/>
    <w:rsid w:val="0023081B"/>
    <w:rsid w:val="00231029"/>
    <w:rsid w:val="002312CC"/>
    <w:rsid w:val="002313B4"/>
    <w:rsid w:val="002315B6"/>
    <w:rsid w:val="0023186F"/>
    <w:rsid w:val="00231B07"/>
    <w:rsid w:val="00232C26"/>
    <w:rsid w:val="00232D83"/>
    <w:rsid w:val="00233E3B"/>
    <w:rsid w:val="0023490E"/>
    <w:rsid w:val="00235461"/>
    <w:rsid w:val="00235B98"/>
    <w:rsid w:val="00236257"/>
    <w:rsid w:val="00236AAB"/>
    <w:rsid w:val="00236BE5"/>
    <w:rsid w:val="00236FE4"/>
    <w:rsid w:val="002372F8"/>
    <w:rsid w:val="0023798E"/>
    <w:rsid w:val="00237A2B"/>
    <w:rsid w:val="00240637"/>
    <w:rsid w:val="00240799"/>
    <w:rsid w:val="00240A49"/>
    <w:rsid w:val="00240AF4"/>
    <w:rsid w:val="00241B59"/>
    <w:rsid w:val="0024204F"/>
    <w:rsid w:val="00242439"/>
    <w:rsid w:val="0024267B"/>
    <w:rsid w:val="002427EE"/>
    <w:rsid w:val="00242B75"/>
    <w:rsid w:val="00243930"/>
    <w:rsid w:val="00244087"/>
    <w:rsid w:val="002446C6"/>
    <w:rsid w:val="002450FF"/>
    <w:rsid w:val="00245487"/>
    <w:rsid w:val="0024596F"/>
    <w:rsid w:val="00245A73"/>
    <w:rsid w:val="00246738"/>
    <w:rsid w:val="00247ECF"/>
    <w:rsid w:val="002502DF"/>
    <w:rsid w:val="002508D2"/>
    <w:rsid w:val="002513A2"/>
    <w:rsid w:val="00251EB6"/>
    <w:rsid w:val="00252921"/>
    <w:rsid w:val="00252F13"/>
    <w:rsid w:val="002530FF"/>
    <w:rsid w:val="00253227"/>
    <w:rsid w:val="00253909"/>
    <w:rsid w:val="00255942"/>
    <w:rsid w:val="00255EDA"/>
    <w:rsid w:val="00255FBE"/>
    <w:rsid w:val="0025627F"/>
    <w:rsid w:val="0025725E"/>
    <w:rsid w:val="002573F5"/>
    <w:rsid w:val="0026014C"/>
    <w:rsid w:val="00260F63"/>
    <w:rsid w:val="002620ED"/>
    <w:rsid w:val="0026281D"/>
    <w:rsid w:val="00262D3B"/>
    <w:rsid w:val="00263951"/>
    <w:rsid w:val="00263AD5"/>
    <w:rsid w:val="002644FA"/>
    <w:rsid w:val="0026480D"/>
    <w:rsid w:val="0026494F"/>
    <w:rsid w:val="00264C23"/>
    <w:rsid w:val="002655B5"/>
    <w:rsid w:val="002659B5"/>
    <w:rsid w:val="00266290"/>
    <w:rsid w:val="002662BB"/>
    <w:rsid w:val="00266A87"/>
    <w:rsid w:val="00267332"/>
    <w:rsid w:val="00267BFF"/>
    <w:rsid w:val="00270BE8"/>
    <w:rsid w:val="00271A58"/>
    <w:rsid w:val="00271C30"/>
    <w:rsid w:val="00271EB2"/>
    <w:rsid w:val="00271EBA"/>
    <w:rsid w:val="00272087"/>
    <w:rsid w:val="002723A4"/>
    <w:rsid w:val="00272ACB"/>
    <w:rsid w:val="00273AA3"/>
    <w:rsid w:val="00273BCA"/>
    <w:rsid w:val="00273EA0"/>
    <w:rsid w:val="00273EC7"/>
    <w:rsid w:val="00273EF1"/>
    <w:rsid w:val="0027490D"/>
    <w:rsid w:val="00274A2C"/>
    <w:rsid w:val="00274A98"/>
    <w:rsid w:val="00275435"/>
    <w:rsid w:val="00275767"/>
    <w:rsid w:val="002759F5"/>
    <w:rsid w:val="00275ACD"/>
    <w:rsid w:val="002768AB"/>
    <w:rsid w:val="002768B7"/>
    <w:rsid w:val="00276D11"/>
    <w:rsid w:val="002775C2"/>
    <w:rsid w:val="00277FCB"/>
    <w:rsid w:val="002806C2"/>
    <w:rsid w:val="00280A64"/>
    <w:rsid w:val="00280A77"/>
    <w:rsid w:val="00281075"/>
    <w:rsid w:val="00281547"/>
    <w:rsid w:val="002816D3"/>
    <w:rsid w:val="00281C2C"/>
    <w:rsid w:val="00281D92"/>
    <w:rsid w:val="00281EC0"/>
    <w:rsid w:val="00282BA6"/>
    <w:rsid w:val="00283099"/>
    <w:rsid w:val="002831F2"/>
    <w:rsid w:val="0028388B"/>
    <w:rsid w:val="00283955"/>
    <w:rsid w:val="0028396D"/>
    <w:rsid w:val="00283AE3"/>
    <w:rsid w:val="0028458B"/>
    <w:rsid w:val="00284F36"/>
    <w:rsid w:val="002850AC"/>
    <w:rsid w:val="00285234"/>
    <w:rsid w:val="0028547A"/>
    <w:rsid w:val="002855A9"/>
    <w:rsid w:val="00285D11"/>
    <w:rsid w:val="00285D47"/>
    <w:rsid w:val="002870B2"/>
    <w:rsid w:val="002870C5"/>
    <w:rsid w:val="00287118"/>
    <w:rsid w:val="002871FA"/>
    <w:rsid w:val="002872F7"/>
    <w:rsid w:val="00287A2A"/>
    <w:rsid w:val="00287EDA"/>
    <w:rsid w:val="002907FF"/>
    <w:rsid w:val="00290E9F"/>
    <w:rsid w:val="00291BE9"/>
    <w:rsid w:val="00291CEF"/>
    <w:rsid w:val="00291F8F"/>
    <w:rsid w:val="00292259"/>
    <w:rsid w:val="00292678"/>
    <w:rsid w:val="002930CF"/>
    <w:rsid w:val="00293174"/>
    <w:rsid w:val="00293217"/>
    <w:rsid w:val="00293B3A"/>
    <w:rsid w:val="00294181"/>
    <w:rsid w:val="002947DC"/>
    <w:rsid w:val="0029500A"/>
    <w:rsid w:val="00295368"/>
    <w:rsid w:val="002958ED"/>
    <w:rsid w:val="0029599D"/>
    <w:rsid w:val="00295B33"/>
    <w:rsid w:val="0029680A"/>
    <w:rsid w:val="00296CC1"/>
    <w:rsid w:val="00296E27"/>
    <w:rsid w:val="00297DF4"/>
    <w:rsid w:val="002A01B5"/>
    <w:rsid w:val="002A0851"/>
    <w:rsid w:val="002A0B6B"/>
    <w:rsid w:val="002A0D7C"/>
    <w:rsid w:val="002A1112"/>
    <w:rsid w:val="002A210F"/>
    <w:rsid w:val="002A2602"/>
    <w:rsid w:val="002A2800"/>
    <w:rsid w:val="002A2D32"/>
    <w:rsid w:val="002A2D46"/>
    <w:rsid w:val="002A3E59"/>
    <w:rsid w:val="002A440E"/>
    <w:rsid w:val="002A47CE"/>
    <w:rsid w:val="002A4F47"/>
    <w:rsid w:val="002A5993"/>
    <w:rsid w:val="002A6DF9"/>
    <w:rsid w:val="002A6E58"/>
    <w:rsid w:val="002A73B4"/>
    <w:rsid w:val="002A78C9"/>
    <w:rsid w:val="002A7A47"/>
    <w:rsid w:val="002A7CF7"/>
    <w:rsid w:val="002A7FB7"/>
    <w:rsid w:val="002B0009"/>
    <w:rsid w:val="002B079F"/>
    <w:rsid w:val="002B085F"/>
    <w:rsid w:val="002B0A74"/>
    <w:rsid w:val="002B0A75"/>
    <w:rsid w:val="002B0AC0"/>
    <w:rsid w:val="002B0BF5"/>
    <w:rsid w:val="002B14E6"/>
    <w:rsid w:val="002B1695"/>
    <w:rsid w:val="002B214A"/>
    <w:rsid w:val="002B2663"/>
    <w:rsid w:val="002B2B15"/>
    <w:rsid w:val="002B2E34"/>
    <w:rsid w:val="002B2F6F"/>
    <w:rsid w:val="002B3243"/>
    <w:rsid w:val="002B34E8"/>
    <w:rsid w:val="002B39A7"/>
    <w:rsid w:val="002B4993"/>
    <w:rsid w:val="002B4E91"/>
    <w:rsid w:val="002B5250"/>
    <w:rsid w:val="002B5AEF"/>
    <w:rsid w:val="002B5DA6"/>
    <w:rsid w:val="002B64DC"/>
    <w:rsid w:val="002B65E5"/>
    <w:rsid w:val="002B6BEF"/>
    <w:rsid w:val="002B6C75"/>
    <w:rsid w:val="002B7883"/>
    <w:rsid w:val="002C0162"/>
    <w:rsid w:val="002C06F1"/>
    <w:rsid w:val="002C0801"/>
    <w:rsid w:val="002C0BE4"/>
    <w:rsid w:val="002C0D4C"/>
    <w:rsid w:val="002C1153"/>
    <w:rsid w:val="002C1400"/>
    <w:rsid w:val="002C1A9C"/>
    <w:rsid w:val="002C26A6"/>
    <w:rsid w:val="002C2D8B"/>
    <w:rsid w:val="002C3BD9"/>
    <w:rsid w:val="002C3DAF"/>
    <w:rsid w:val="002C45FF"/>
    <w:rsid w:val="002C4601"/>
    <w:rsid w:val="002C55E1"/>
    <w:rsid w:val="002C57AE"/>
    <w:rsid w:val="002C5E40"/>
    <w:rsid w:val="002C5F38"/>
    <w:rsid w:val="002C611E"/>
    <w:rsid w:val="002C6F8F"/>
    <w:rsid w:val="002C70B8"/>
    <w:rsid w:val="002C76B7"/>
    <w:rsid w:val="002C76DB"/>
    <w:rsid w:val="002D0084"/>
    <w:rsid w:val="002D1214"/>
    <w:rsid w:val="002D131B"/>
    <w:rsid w:val="002D17C8"/>
    <w:rsid w:val="002D198D"/>
    <w:rsid w:val="002D1A00"/>
    <w:rsid w:val="002D1FFC"/>
    <w:rsid w:val="002D26C9"/>
    <w:rsid w:val="002D2D2D"/>
    <w:rsid w:val="002D353E"/>
    <w:rsid w:val="002D49A2"/>
    <w:rsid w:val="002D65A2"/>
    <w:rsid w:val="002D6AF6"/>
    <w:rsid w:val="002D6CB2"/>
    <w:rsid w:val="002E05C7"/>
    <w:rsid w:val="002E0644"/>
    <w:rsid w:val="002E08EF"/>
    <w:rsid w:val="002E0A4C"/>
    <w:rsid w:val="002E0D0F"/>
    <w:rsid w:val="002E0EF6"/>
    <w:rsid w:val="002E11AB"/>
    <w:rsid w:val="002E1ABD"/>
    <w:rsid w:val="002E204C"/>
    <w:rsid w:val="002E20DE"/>
    <w:rsid w:val="002E249B"/>
    <w:rsid w:val="002E27E8"/>
    <w:rsid w:val="002E2EE4"/>
    <w:rsid w:val="002E378E"/>
    <w:rsid w:val="002E4114"/>
    <w:rsid w:val="002E4337"/>
    <w:rsid w:val="002E517F"/>
    <w:rsid w:val="002E734F"/>
    <w:rsid w:val="002E78A9"/>
    <w:rsid w:val="002E7996"/>
    <w:rsid w:val="002F0566"/>
    <w:rsid w:val="002F0578"/>
    <w:rsid w:val="002F05E6"/>
    <w:rsid w:val="002F05F2"/>
    <w:rsid w:val="002F06E5"/>
    <w:rsid w:val="002F0F23"/>
    <w:rsid w:val="002F1282"/>
    <w:rsid w:val="002F128A"/>
    <w:rsid w:val="002F2723"/>
    <w:rsid w:val="002F27A5"/>
    <w:rsid w:val="002F27AA"/>
    <w:rsid w:val="002F3256"/>
    <w:rsid w:val="002F38C4"/>
    <w:rsid w:val="002F39EC"/>
    <w:rsid w:val="002F3AF5"/>
    <w:rsid w:val="002F4DD3"/>
    <w:rsid w:val="002F51B0"/>
    <w:rsid w:val="002F5ACA"/>
    <w:rsid w:val="002F5AF1"/>
    <w:rsid w:val="002F5DCF"/>
    <w:rsid w:val="002F6934"/>
    <w:rsid w:val="002F741F"/>
    <w:rsid w:val="002F7FAA"/>
    <w:rsid w:val="003008ED"/>
    <w:rsid w:val="00300D30"/>
    <w:rsid w:val="00300E21"/>
    <w:rsid w:val="00301784"/>
    <w:rsid w:val="00301BB2"/>
    <w:rsid w:val="00301CB5"/>
    <w:rsid w:val="003022C8"/>
    <w:rsid w:val="00302A0D"/>
    <w:rsid w:val="00302B37"/>
    <w:rsid w:val="00303488"/>
    <w:rsid w:val="003050B0"/>
    <w:rsid w:val="00305528"/>
    <w:rsid w:val="00307B72"/>
    <w:rsid w:val="00307D6F"/>
    <w:rsid w:val="00307F8D"/>
    <w:rsid w:val="003111E8"/>
    <w:rsid w:val="00312A66"/>
    <w:rsid w:val="00312E6F"/>
    <w:rsid w:val="00313116"/>
    <w:rsid w:val="0031336D"/>
    <w:rsid w:val="0031373F"/>
    <w:rsid w:val="00313C2A"/>
    <w:rsid w:val="00313E26"/>
    <w:rsid w:val="0031475D"/>
    <w:rsid w:val="00314ABC"/>
    <w:rsid w:val="00314BCE"/>
    <w:rsid w:val="003150A2"/>
    <w:rsid w:val="00315101"/>
    <w:rsid w:val="00315642"/>
    <w:rsid w:val="0031594F"/>
    <w:rsid w:val="00315985"/>
    <w:rsid w:val="00315DE9"/>
    <w:rsid w:val="003164A4"/>
    <w:rsid w:val="00316A42"/>
    <w:rsid w:val="003178EC"/>
    <w:rsid w:val="00317A2D"/>
    <w:rsid w:val="00317A5E"/>
    <w:rsid w:val="003208B6"/>
    <w:rsid w:val="003211C2"/>
    <w:rsid w:val="00321501"/>
    <w:rsid w:val="003218D3"/>
    <w:rsid w:val="00321FA0"/>
    <w:rsid w:val="003226FC"/>
    <w:rsid w:val="00322A3E"/>
    <w:rsid w:val="00322EE7"/>
    <w:rsid w:val="00322F6F"/>
    <w:rsid w:val="003231FC"/>
    <w:rsid w:val="00323702"/>
    <w:rsid w:val="00323930"/>
    <w:rsid w:val="0032442D"/>
    <w:rsid w:val="003248E7"/>
    <w:rsid w:val="00324A7C"/>
    <w:rsid w:val="00324B28"/>
    <w:rsid w:val="00324D29"/>
    <w:rsid w:val="0032501D"/>
    <w:rsid w:val="00325770"/>
    <w:rsid w:val="00325E78"/>
    <w:rsid w:val="00326105"/>
    <w:rsid w:val="0032697E"/>
    <w:rsid w:val="00326CC2"/>
    <w:rsid w:val="00327568"/>
    <w:rsid w:val="00327762"/>
    <w:rsid w:val="0033043B"/>
    <w:rsid w:val="0033097A"/>
    <w:rsid w:val="00330C4C"/>
    <w:rsid w:val="00330E80"/>
    <w:rsid w:val="00331088"/>
    <w:rsid w:val="003313D4"/>
    <w:rsid w:val="00331562"/>
    <w:rsid w:val="00331B8D"/>
    <w:rsid w:val="00331C3B"/>
    <w:rsid w:val="0033260A"/>
    <w:rsid w:val="00332980"/>
    <w:rsid w:val="00332C0B"/>
    <w:rsid w:val="003331DA"/>
    <w:rsid w:val="003333C4"/>
    <w:rsid w:val="00334497"/>
    <w:rsid w:val="0033563E"/>
    <w:rsid w:val="003358F2"/>
    <w:rsid w:val="003365ED"/>
    <w:rsid w:val="00336B3D"/>
    <w:rsid w:val="003370A6"/>
    <w:rsid w:val="003371FB"/>
    <w:rsid w:val="00337283"/>
    <w:rsid w:val="00337EB7"/>
    <w:rsid w:val="003408D3"/>
    <w:rsid w:val="00341455"/>
    <w:rsid w:val="00342F80"/>
    <w:rsid w:val="00343523"/>
    <w:rsid w:val="00343ABF"/>
    <w:rsid w:val="003441D3"/>
    <w:rsid w:val="0034435E"/>
    <w:rsid w:val="00345333"/>
    <w:rsid w:val="003458D9"/>
    <w:rsid w:val="003462FA"/>
    <w:rsid w:val="003463BC"/>
    <w:rsid w:val="00346940"/>
    <w:rsid w:val="00346C6B"/>
    <w:rsid w:val="00347574"/>
    <w:rsid w:val="0034765B"/>
    <w:rsid w:val="0034782C"/>
    <w:rsid w:val="00347927"/>
    <w:rsid w:val="00347C4B"/>
    <w:rsid w:val="00347DCC"/>
    <w:rsid w:val="00347F97"/>
    <w:rsid w:val="00351253"/>
    <w:rsid w:val="00352869"/>
    <w:rsid w:val="00353639"/>
    <w:rsid w:val="00353695"/>
    <w:rsid w:val="00353ADD"/>
    <w:rsid w:val="00353B94"/>
    <w:rsid w:val="003549BF"/>
    <w:rsid w:val="00354ADE"/>
    <w:rsid w:val="00355579"/>
    <w:rsid w:val="00355D12"/>
    <w:rsid w:val="00356528"/>
    <w:rsid w:val="00356EDB"/>
    <w:rsid w:val="003576D6"/>
    <w:rsid w:val="003579AA"/>
    <w:rsid w:val="00357ABB"/>
    <w:rsid w:val="00360BA5"/>
    <w:rsid w:val="00360DDF"/>
    <w:rsid w:val="00361359"/>
    <w:rsid w:val="003619AD"/>
    <w:rsid w:val="00362730"/>
    <w:rsid w:val="00362F02"/>
    <w:rsid w:val="00363BD4"/>
    <w:rsid w:val="00363FB4"/>
    <w:rsid w:val="00364EC3"/>
    <w:rsid w:val="0036543A"/>
    <w:rsid w:val="0036630C"/>
    <w:rsid w:val="003667E4"/>
    <w:rsid w:val="00366F2D"/>
    <w:rsid w:val="00367493"/>
    <w:rsid w:val="003679B4"/>
    <w:rsid w:val="0037030B"/>
    <w:rsid w:val="00370C76"/>
    <w:rsid w:val="00371D56"/>
    <w:rsid w:val="003726F5"/>
    <w:rsid w:val="003731CF"/>
    <w:rsid w:val="003737B4"/>
    <w:rsid w:val="00373923"/>
    <w:rsid w:val="0037398D"/>
    <w:rsid w:val="00373FB7"/>
    <w:rsid w:val="00374E0E"/>
    <w:rsid w:val="00374EB2"/>
    <w:rsid w:val="003751D9"/>
    <w:rsid w:val="00375BA8"/>
    <w:rsid w:val="003776CE"/>
    <w:rsid w:val="00377836"/>
    <w:rsid w:val="0037786E"/>
    <w:rsid w:val="00377C20"/>
    <w:rsid w:val="00377DBF"/>
    <w:rsid w:val="0038094F"/>
    <w:rsid w:val="00380D24"/>
    <w:rsid w:val="00381DE3"/>
    <w:rsid w:val="003859BD"/>
    <w:rsid w:val="00386283"/>
    <w:rsid w:val="003863C3"/>
    <w:rsid w:val="003874A0"/>
    <w:rsid w:val="003878A9"/>
    <w:rsid w:val="00390340"/>
    <w:rsid w:val="00391884"/>
    <w:rsid w:val="00391FA4"/>
    <w:rsid w:val="0039206F"/>
    <w:rsid w:val="00392676"/>
    <w:rsid w:val="00392EE6"/>
    <w:rsid w:val="00392F54"/>
    <w:rsid w:val="003931CA"/>
    <w:rsid w:val="00393978"/>
    <w:rsid w:val="0039405F"/>
    <w:rsid w:val="00394435"/>
    <w:rsid w:val="00394689"/>
    <w:rsid w:val="00395687"/>
    <w:rsid w:val="00395796"/>
    <w:rsid w:val="0039598C"/>
    <w:rsid w:val="00396A56"/>
    <w:rsid w:val="003971BF"/>
    <w:rsid w:val="00397A26"/>
    <w:rsid w:val="003A0D98"/>
    <w:rsid w:val="003A1601"/>
    <w:rsid w:val="003A164E"/>
    <w:rsid w:val="003A16E0"/>
    <w:rsid w:val="003A2577"/>
    <w:rsid w:val="003A2D32"/>
    <w:rsid w:val="003A2EB9"/>
    <w:rsid w:val="003A364D"/>
    <w:rsid w:val="003A3AD9"/>
    <w:rsid w:val="003A3AF7"/>
    <w:rsid w:val="003A4099"/>
    <w:rsid w:val="003A4708"/>
    <w:rsid w:val="003A4A03"/>
    <w:rsid w:val="003A58AD"/>
    <w:rsid w:val="003A6C90"/>
    <w:rsid w:val="003A7A82"/>
    <w:rsid w:val="003A7E64"/>
    <w:rsid w:val="003B0428"/>
    <w:rsid w:val="003B0AD8"/>
    <w:rsid w:val="003B0CF6"/>
    <w:rsid w:val="003B1420"/>
    <w:rsid w:val="003B181C"/>
    <w:rsid w:val="003B1858"/>
    <w:rsid w:val="003B1CD2"/>
    <w:rsid w:val="003B23E2"/>
    <w:rsid w:val="003B268A"/>
    <w:rsid w:val="003B2ABC"/>
    <w:rsid w:val="003B3E4F"/>
    <w:rsid w:val="003B508F"/>
    <w:rsid w:val="003B50A1"/>
    <w:rsid w:val="003B51FD"/>
    <w:rsid w:val="003B53B7"/>
    <w:rsid w:val="003B6264"/>
    <w:rsid w:val="003B6E7A"/>
    <w:rsid w:val="003B75D8"/>
    <w:rsid w:val="003C0D56"/>
    <w:rsid w:val="003C12D1"/>
    <w:rsid w:val="003C1B7C"/>
    <w:rsid w:val="003C1DFF"/>
    <w:rsid w:val="003C201A"/>
    <w:rsid w:val="003C22ED"/>
    <w:rsid w:val="003C2336"/>
    <w:rsid w:val="003C25A4"/>
    <w:rsid w:val="003C30F7"/>
    <w:rsid w:val="003C40E6"/>
    <w:rsid w:val="003C410F"/>
    <w:rsid w:val="003C43C9"/>
    <w:rsid w:val="003C4C79"/>
    <w:rsid w:val="003C56F3"/>
    <w:rsid w:val="003C582F"/>
    <w:rsid w:val="003C5DF5"/>
    <w:rsid w:val="003C6194"/>
    <w:rsid w:val="003C7501"/>
    <w:rsid w:val="003C7946"/>
    <w:rsid w:val="003C7C58"/>
    <w:rsid w:val="003D0403"/>
    <w:rsid w:val="003D0B13"/>
    <w:rsid w:val="003D0E75"/>
    <w:rsid w:val="003D120E"/>
    <w:rsid w:val="003D1357"/>
    <w:rsid w:val="003D157B"/>
    <w:rsid w:val="003D164A"/>
    <w:rsid w:val="003D1B5A"/>
    <w:rsid w:val="003D2D07"/>
    <w:rsid w:val="003D3572"/>
    <w:rsid w:val="003D3BC0"/>
    <w:rsid w:val="003D3EE4"/>
    <w:rsid w:val="003D498A"/>
    <w:rsid w:val="003D5064"/>
    <w:rsid w:val="003D631E"/>
    <w:rsid w:val="003D64C5"/>
    <w:rsid w:val="003D653F"/>
    <w:rsid w:val="003D73C2"/>
    <w:rsid w:val="003D7550"/>
    <w:rsid w:val="003D7C84"/>
    <w:rsid w:val="003E0430"/>
    <w:rsid w:val="003E0620"/>
    <w:rsid w:val="003E09F0"/>
    <w:rsid w:val="003E0E08"/>
    <w:rsid w:val="003E0F4A"/>
    <w:rsid w:val="003E16B4"/>
    <w:rsid w:val="003E16ED"/>
    <w:rsid w:val="003E17ED"/>
    <w:rsid w:val="003E18D5"/>
    <w:rsid w:val="003E199F"/>
    <w:rsid w:val="003E28A8"/>
    <w:rsid w:val="003E2CD6"/>
    <w:rsid w:val="003E2D92"/>
    <w:rsid w:val="003E2E99"/>
    <w:rsid w:val="003E3CF2"/>
    <w:rsid w:val="003E418D"/>
    <w:rsid w:val="003E48BB"/>
    <w:rsid w:val="003E4AC0"/>
    <w:rsid w:val="003E4E82"/>
    <w:rsid w:val="003E582C"/>
    <w:rsid w:val="003E5834"/>
    <w:rsid w:val="003E6A14"/>
    <w:rsid w:val="003E6AB7"/>
    <w:rsid w:val="003E72D7"/>
    <w:rsid w:val="003E784B"/>
    <w:rsid w:val="003E78AB"/>
    <w:rsid w:val="003E7989"/>
    <w:rsid w:val="003E7BB1"/>
    <w:rsid w:val="003F0039"/>
    <w:rsid w:val="003F00C3"/>
    <w:rsid w:val="003F0729"/>
    <w:rsid w:val="003F0D71"/>
    <w:rsid w:val="003F1467"/>
    <w:rsid w:val="003F1C13"/>
    <w:rsid w:val="003F24D0"/>
    <w:rsid w:val="003F37FA"/>
    <w:rsid w:val="003F38E8"/>
    <w:rsid w:val="003F3EC6"/>
    <w:rsid w:val="003F4833"/>
    <w:rsid w:val="003F489E"/>
    <w:rsid w:val="003F4A37"/>
    <w:rsid w:val="003F4F2B"/>
    <w:rsid w:val="003F511B"/>
    <w:rsid w:val="003F52EE"/>
    <w:rsid w:val="003F530B"/>
    <w:rsid w:val="003F534D"/>
    <w:rsid w:val="003F56B4"/>
    <w:rsid w:val="003F5726"/>
    <w:rsid w:val="003F6124"/>
    <w:rsid w:val="003F6751"/>
    <w:rsid w:val="003F67C7"/>
    <w:rsid w:val="003F6B7A"/>
    <w:rsid w:val="003F794F"/>
    <w:rsid w:val="003F7D57"/>
    <w:rsid w:val="003F7DDF"/>
    <w:rsid w:val="00400A89"/>
    <w:rsid w:val="00400BE9"/>
    <w:rsid w:val="0040108D"/>
    <w:rsid w:val="004011FA"/>
    <w:rsid w:val="004015C6"/>
    <w:rsid w:val="0040198F"/>
    <w:rsid w:val="00402301"/>
    <w:rsid w:val="00403100"/>
    <w:rsid w:val="00403290"/>
    <w:rsid w:val="00403A8B"/>
    <w:rsid w:val="00403CEE"/>
    <w:rsid w:val="004040C5"/>
    <w:rsid w:val="004056CE"/>
    <w:rsid w:val="0040695C"/>
    <w:rsid w:val="00406F93"/>
    <w:rsid w:val="0040709C"/>
    <w:rsid w:val="00407116"/>
    <w:rsid w:val="004072BC"/>
    <w:rsid w:val="00407474"/>
    <w:rsid w:val="00407D18"/>
    <w:rsid w:val="0041017B"/>
    <w:rsid w:val="004105E6"/>
    <w:rsid w:val="00411A70"/>
    <w:rsid w:val="00411B3E"/>
    <w:rsid w:val="00411CA8"/>
    <w:rsid w:val="004127DD"/>
    <w:rsid w:val="00412A67"/>
    <w:rsid w:val="00412BA1"/>
    <w:rsid w:val="004143FE"/>
    <w:rsid w:val="00414B93"/>
    <w:rsid w:val="004155F2"/>
    <w:rsid w:val="00415C30"/>
    <w:rsid w:val="00415EC9"/>
    <w:rsid w:val="00416746"/>
    <w:rsid w:val="004172EA"/>
    <w:rsid w:val="004177BD"/>
    <w:rsid w:val="00420464"/>
    <w:rsid w:val="00420502"/>
    <w:rsid w:val="004210AA"/>
    <w:rsid w:val="004210F8"/>
    <w:rsid w:val="0042151F"/>
    <w:rsid w:val="0042186E"/>
    <w:rsid w:val="00422976"/>
    <w:rsid w:val="00423613"/>
    <w:rsid w:val="004236A9"/>
    <w:rsid w:val="00423A9D"/>
    <w:rsid w:val="00423D69"/>
    <w:rsid w:val="00423D92"/>
    <w:rsid w:val="004248CB"/>
    <w:rsid w:val="00425323"/>
    <w:rsid w:val="004258ED"/>
    <w:rsid w:val="00425ADA"/>
    <w:rsid w:val="00425B5B"/>
    <w:rsid w:val="00426314"/>
    <w:rsid w:val="004270E7"/>
    <w:rsid w:val="00427199"/>
    <w:rsid w:val="00427270"/>
    <w:rsid w:val="00427C4E"/>
    <w:rsid w:val="00430192"/>
    <w:rsid w:val="00431159"/>
    <w:rsid w:val="004311C0"/>
    <w:rsid w:val="004318A7"/>
    <w:rsid w:val="00432258"/>
    <w:rsid w:val="004323F4"/>
    <w:rsid w:val="00432BFD"/>
    <w:rsid w:val="004332CF"/>
    <w:rsid w:val="00433A98"/>
    <w:rsid w:val="00434648"/>
    <w:rsid w:val="00434BC8"/>
    <w:rsid w:val="00435DD2"/>
    <w:rsid w:val="0043611F"/>
    <w:rsid w:val="0043625D"/>
    <w:rsid w:val="00436CBB"/>
    <w:rsid w:val="00436D30"/>
    <w:rsid w:val="0043726D"/>
    <w:rsid w:val="0043750D"/>
    <w:rsid w:val="004377AA"/>
    <w:rsid w:val="004378A4"/>
    <w:rsid w:val="00437F9E"/>
    <w:rsid w:val="004400AA"/>
    <w:rsid w:val="0044086B"/>
    <w:rsid w:val="00440B53"/>
    <w:rsid w:val="004415D8"/>
    <w:rsid w:val="0044162A"/>
    <w:rsid w:val="00441A8A"/>
    <w:rsid w:val="00441DFF"/>
    <w:rsid w:val="00442233"/>
    <w:rsid w:val="00442912"/>
    <w:rsid w:val="00443138"/>
    <w:rsid w:val="00443820"/>
    <w:rsid w:val="0044401F"/>
    <w:rsid w:val="004447F0"/>
    <w:rsid w:val="00444801"/>
    <w:rsid w:val="00445061"/>
    <w:rsid w:val="0044538A"/>
    <w:rsid w:val="004456B0"/>
    <w:rsid w:val="004458D0"/>
    <w:rsid w:val="0044591D"/>
    <w:rsid w:val="00445A19"/>
    <w:rsid w:val="00445A91"/>
    <w:rsid w:val="00445E07"/>
    <w:rsid w:val="00446033"/>
    <w:rsid w:val="004462BB"/>
    <w:rsid w:val="004462E1"/>
    <w:rsid w:val="004464C3"/>
    <w:rsid w:val="00446C77"/>
    <w:rsid w:val="00447622"/>
    <w:rsid w:val="004504C7"/>
    <w:rsid w:val="00450CF8"/>
    <w:rsid w:val="004514D2"/>
    <w:rsid w:val="0045188E"/>
    <w:rsid w:val="00451E48"/>
    <w:rsid w:val="0045215F"/>
    <w:rsid w:val="00452B0C"/>
    <w:rsid w:val="00452B99"/>
    <w:rsid w:val="00453773"/>
    <w:rsid w:val="004540D5"/>
    <w:rsid w:val="004544DB"/>
    <w:rsid w:val="00454965"/>
    <w:rsid w:val="00454A1B"/>
    <w:rsid w:val="00454D39"/>
    <w:rsid w:val="004553C4"/>
    <w:rsid w:val="00455B97"/>
    <w:rsid w:val="00455C4F"/>
    <w:rsid w:val="00456631"/>
    <w:rsid w:val="00456AE3"/>
    <w:rsid w:val="00457029"/>
    <w:rsid w:val="004575D9"/>
    <w:rsid w:val="004576B2"/>
    <w:rsid w:val="004576B5"/>
    <w:rsid w:val="00457AD2"/>
    <w:rsid w:val="00457E5C"/>
    <w:rsid w:val="0046001C"/>
    <w:rsid w:val="004600A0"/>
    <w:rsid w:val="00460B8D"/>
    <w:rsid w:val="004610DC"/>
    <w:rsid w:val="00461A0A"/>
    <w:rsid w:val="00461D80"/>
    <w:rsid w:val="0046234A"/>
    <w:rsid w:val="00462A54"/>
    <w:rsid w:val="00462D43"/>
    <w:rsid w:val="00464248"/>
    <w:rsid w:val="004643B1"/>
    <w:rsid w:val="0046493E"/>
    <w:rsid w:val="00464A59"/>
    <w:rsid w:val="00464EA9"/>
    <w:rsid w:val="00464F16"/>
    <w:rsid w:val="00464F88"/>
    <w:rsid w:val="004652A8"/>
    <w:rsid w:val="00465980"/>
    <w:rsid w:val="00465A76"/>
    <w:rsid w:val="004660FE"/>
    <w:rsid w:val="00466EAA"/>
    <w:rsid w:val="0046739E"/>
    <w:rsid w:val="0046741D"/>
    <w:rsid w:val="00467697"/>
    <w:rsid w:val="00470E23"/>
    <w:rsid w:val="0047166F"/>
    <w:rsid w:val="00472487"/>
    <w:rsid w:val="004724CB"/>
    <w:rsid w:val="00472659"/>
    <w:rsid w:val="00472724"/>
    <w:rsid w:val="00473308"/>
    <w:rsid w:val="00473A69"/>
    <w:rsid w:val="00473B2A"/>
    <w:rsid w:val="004742F0"/>
    <w:rsid w:val="00474717"/>
    <w:rsid w:val="0047473C"/>
    <w:rsid w:val="00474A45"/>
    <w:rsid w:val="00474A5D"/>
    <w:rsid w:val="00474B4A"/>
    <w:rsid w:val="00474F17"/>
    <w:rsid w:val="00475052"/>
    <w:rsid w:val="00475420"/>
    <w:rsid w:val="00476070"/>
    <w:rsid w:val="00476BB3"/>
    <w:rsid w:val="00476FD6"/>
    <w:rsid w:val="00480D9E"/>
    <w:rsid w:val="004813CA"/>
    <w:rsid w:val="00481598"/>
    <w:rsid w:val="00481683"/>
    <w:rsid w:val="00481835"/>
    <w:rsid w:val="00481EBB"/>
    <w:rsid w:val="00483A77"/>
    <w:rsid w:val="00483CB8"/>
    <w:rsid w:val="004841D0"/>
    <w:rsid w:val="0048472D"/>
    <w:rsid w:val="00484830"/>
    <w:rsid w:val="00484DE8"/>
    <w:rsid w:val="00485BC1"/>
    <w:rsid w:val="00485ECC"/>
    <w:rsid w:val="0048611B"/>
    <w:rsid w:val="0048655F"/>
    <w:rsid w:val="00490014"/>
    <w:rsid w:val="00490123"/>
    <w:rsid w:val="00491022"/>
    <w:rsid w:val="00491427"/>
    <w:rsid w:val="00491B87"/>
    <w:rsid w:val="00492A8F"/>
    <w:rsid w:val="00493799"/>
    <w:rsid w:val="004937AA"/>
    <w:rsid w:val="004938CE"/>
    <w:rsid w:val="00493C02"/>
    <w:rsid w:val="00493FBB"/>
    <w:rsid w:val="004963D1"/>
    <w:rsid w:val="00496400"/>
    <w:rsid w:val="00496FEF"/>
    <w:rsid w:val="00497721"/>
    <w:rsid w:val="00497889"/>
    <w:rsid w:val="00497AA4"/>
    <w:rsid w:val="004A0048"/>
    <w:rsid w:val="004A007B"/>
    <w:rsid w:val="004A0316"/>
    <w:rsid w:val="004A0A8E"/>
    <w:rsid w:val="004A0EF0"/>
    <w:rsid w:val="004A124C"/>
    <w:rsid w:val="004A1694"/>
    <w:rsid w:val="004A18D8"/>
    <w:rsid w:val="004A21FB"/>
    <w:rsid w:val="004A22F1"/>
    <w:rsid w:val="004A2386"/>
    <w:rsid w:val="004A2F5D"/>
    <w:rsid w:val="004A430E"/>
    <w:rsid w:val="004A4721"/>
    <w:rsid w:val="004A4BF5"/>
    <w:rsid w:val="004A50CB"/>
    <w:rsid w:val="004A59E3"/>
    <w:rsid w:val="004A5CED"/>
    <w:rsid w:val="004A6206"/>
    <w:rsid w:val="004A6365"/>
    <w:rsid w:val="004A67EB"/>
    <w:rsid w:val="004A71DF"/>
    <w:rsid w:val="004A7361"/>
    <w:rsid w:val="004A7BB8"/>
    <w:rsid w:val="004B03AB"/>
    <w:rsid w:val="004B0884"/>
    <w:rsid w:val="004B0A43"/>
    <w:rsid w:val="004B0E72"/>
    <w:rsid w:val="004B142C"/>
    <w:rsid w:val="004B1577"/>
    <w:rsid w:val="004B1A80"/>
    <w:rsid w:val="004B1C69"/>
    <w:rsid w:val="004B441F"/>
    <w:rsid w:val="004B4455"/>
    <w:rsid w:val="004B479B"/>
    <w:rsid w:val="004B4E5E"/>
    <w:rsid w:val="004B5127"/>
    <w:rsid w:val="004B5346"/>
    <w:rsid w:val="004B5BBE"/>
    <w:rsid w:val="004B6E4F"/>
    <w:rsid w:val="004C060C"/>
    <w:rsid w:val="004C132D"/>
    <w:rsid w:val="004C1453"/>
    <w:rsid w:val="004C1B47"/>
    <w:rsid w:val="004C2FF6"/>
    <w:rsid w:val="004C33A2"/>
    <w:rsid w:val="004C4400"/>
    <w:rsid w:val="004C4E3A"/>
    <w:rsid w:val="004C506A"/>
    <w:rsid w:val="004C530F"/>
    <w:rsid w:val="004C545E"/>
    <w:rsid w:val="004C64E6"/>
    <w:rsid w:val="004C6C14"/>
    <w:rsid w:val="004C704A"/>
    <w:rsid w:val="004C7060"/>
    <w:rsid w:val="004D02A7"/>
    <w:rsid w:val="004D03E2"/>
    <w:rsid w:val="004D1088"/>
    <w:rsid w:val="004D1DF5"/>
    <w:rsid w:val="004D272C"/>
    <w:rsid w:val="004D2859"/>
    <w:rsid w:val="004D28CD"/>
    <w:rsid w:val="004D2EAF"/>
    <w:rsid w:val="004D34C1"/>
    <w:rsid w:val="004D39EF"/>
    <w:rsid w:val="004D3C50"/>
    <w:rsid w:val="004D45A1"/>
    <w:rsid w:val="004D49DC"/>
    <w:rsid w:val="004D4D12"/>
    <w:rsid w:val="004D5675"/>
    <w:rsid w:val="004D67AA"/>
    <w:rsid w:val="004D6DA7"/>
    <w:rsid w:val="004D6FE8"/>
    <w:rsid w:val="004D7471"/>
    <w:rsid w:val="004E04B7"/>
    <w:rsid w:val="004E0942"/>
    <w:rsid w:val="004E0AA6"/>
    <w:rsid w:val="004E115E"/>
    <w:rsid w:val="004E186C"/>
    <w:rsid w:val="004E2CC5"/>
    <w:rsid w:val="004E3248"/>
    <w:rsid w:val="004E332B"/>
    <w:rsid w:val="004E3CF4"/>
    <w:rsid w:val="004E40F2"/>
    <w:rsid w:val="004E40F6"/>
    <w:rsid w:val="004E484C"/>
    <w:rsid w:val="004E48F6"/>
    <w:rsid w:val="004E5172"/>
    <w:rsid w:val="004E581D"/>
    <w:rsid w:val="004E583E"/>
    <w:rsid w:val="004E605C"/>
    <w:rsid w:val="004E6232"/>
    <w:rsid w:val="004E6414"/>
    <w:rsid w:val="004E676F"/>
    <w:rsid w:val="004E6ABB"/>
    <w:rsid w:val="004E6D92"/>
    <w:rsid w:val="004E6E53"/>
    <w:rsid w:val="004E6F7C"/>
    <w:rsid w:val="004E6F8C"/>
    <w:rsid w:val="004E7086"/>
    <w:rsid w:val="004E7882"/>
    <w:rsid w:val="004E7B2A"/>
    <w:rsid w:val="004F0EE7"/>
    <w:rsid w:val="004F1402"/>
    <w:rsid w:val="004F1BAD"/>
    <w:rsid w:val="004F2265"/>
    <w:rsid w:val="004F2BAC"/>
    <w:rsid w:val="004F2F5D"/>
    <w:rsid w:val="004F3226"/>
    <w:rsid w:val="004F326F"/>
    <w:rsid w:val="004F3507"/>
    <w:rsid w:val="004F399C"/>
    <w:rsid w:val="004F39A6"/>
    <w:rsid w:val="004F3BF9"/>
    <w:rsid w:val="004F3CE9"/>
    <w:rsid w:val="004F44E1"/>
    <w:rsid w:val="004F4772"/>
    <w:rsid w:val="004F4A5C"/>
    <w:rsid w:val="004F5552"/>
    <w:rsid w:val="004F5738"/>
    <w:rsid w:val="004F5868"/>
    <w:rsid w:val="004F5D0E"/>
    <w:rsid w:val="004F6ECA"/>
    <w:rsid w:val="004F761B"/>
    <w:rsid w:val="004F7BF8"/>
    <w:rsid w:val="004F7EA7"/>
    <w:rsid w:val="00500191"/>
    <w:rsid w:val="00500896"/>
    <w:rsid w:val="005025B6"/>
    <w:rsid w:val="00502748"/>
    <w:rsid w:val="00502AB8"/>
    <w:rsid w:val="00502F5C"/>
    <w:rsid w:val="00503DD9"/>
    <w:rsid w:val="0050435B"/>
    <w:rsid w:val="0050466C"/>
    <w:rsid w:val="0050482D"/>
    <w:rsid w:val="00504931"/>
    <w:rsid w:val="00504D49"/>
    <w:rsid w:val="005053AB"/>
    <w:rsid w:val="005053B9"/>
    <w:rsid w:val="00505696"/>
    <w:rsid w:val="00505BD5"/>
    <w:rsid w:val="005064A0"/>
    <w:rsid w:val="005068A5"/>
    <w:rsid w:val="00506980"/>
    <w:rsid w:val="00506E3F"/>
    <w:rsid w:val="00507321"/>
    <w:rsid w:val="00507524"/>
    <w:rsid w:val="00507786"/>
    <w:rsid w:val="00510567"/>
    <w:rsid w:val="005108EE"/>
    <w:rsid w:val="00510D5B"/>
    <w:rsid w:val="00510E61"/>
    <w:rsid w:val="00510E82"/>
    <w:rsid w:val="00510EDD"/>
    <w:rsid w:val="00511669"/>
    <w:rsid w:val="0051205F"/>
    <w:rsid w:val="00512C2F"/>
    <w:rsid w:val="00513365"/>
    <w:rsid w:val="00513985"/>
    <w:rsid w:val="00513A26"/>
    <w:rsid w:val="00513AAC"/>
    <w:rsid w:val="00513CE0"/>
    <w:rsid w:val="005141CA"/>
    <w:rsid w:val="00514336"/>
    <w:rsid w:val="005143E0"/>
    <w:rsid w:val="00515425"/>
    <w:rsid w:val="00515AE4"/>
    <w:rsid w:val="00515E68"/>
    <w:rsid w:val="00516376"/>
    <w:rsid w:val="00516A0A"/>
    <w:rsid w:val="00516E5E"/>
    <w:rsid w:val="00517728"/>
    <w:rsid w:val="00520E53"/>
    <w:rsid w:val="00520EE1"/>
    <w:rsid w:val="00520FD7"/>
    <w:rsid w:val="005217D6"/>
    <w:rsid w:val="00521908"/>
    <w:rsid w:val="00521C45"/>
    <w:rsid w:val="00522207"/>
    <w:rsid w:val="005223A9"/>
    <w:rsid w:val="00522654"/>
    <w:rsid w:val="00522D1C"/>
    <w:rsid w:val="00522F6C"/>
    <w:rsid w:val="00522FB0"/>
    <w:rsid w:val="00523A52"/>
    <w:rsid w:val="0052438F"/>
    <w:rsid w:val="00524A60"/>
    <w:rsid w:val="00525158"/>
    <w:rsid w:val="0052526E"/>
    <w:rsid w:val="00525440"/>
    <w:rsid w:val="00525F11"/>
    <w:rsid w:val="00525F59"/>
    <w:rsid w:val="00526889"/>
    <w:rsid w:val="00526F58"/>
    <w:rsid w:val="005272CF"/>
    <w:rsid w:val="005279D8"/>
    <w:rsid w:val="005300EE"/>
    <w:rsid w:val="00530125"/>
    <w:rsid w:val="00530404"/>
    <w:rsid w:val="005304CC"/>
    <w:rsid w:val="005308F8"/>
    <w:rsid w:val="005311F7"/>
    <w:rsid w:val="0053124D"/>
    <w:rsid w:val="0053126A"/>
    <w:rsid w:val="00531EDD"/>
    <w:rsid w:val="0053246C"/>
    <w:rsid w:val="00532CBA"/>
    <w:rsid w:val="005349C3"/>
    <w:rsid w:val="005349C8"/>
    <w:rsid w:val="005370AF"/>
    <w:rsid w:val="00537179"/>
    <w:rsid w:val="00537562"/>
    <w:rsid w:val="0053791E"/>
    <w:rsid w:val="00537995"/>
    <w:rsid w:val="00537F1C"/>
    <w:rsid w:val="00540027"/>
    <w:rsid w:val="00540549"/>
    <w:rsid w:val="00540883"/>
    <w:rsid w:val="005410A0"/>
    <w:rsid w:val="00541D4C"/>
    <w:rsid w:val="00541F99"/>
    <w:rsid w:val="005423FF"/>
    <w:rsid w:val="00542A00"/>
    <w:rsid w:val="00543E84"/>
    <w:rsid w:val="0054411C"/>
    <w:rsid w:val="00544970"/>
    <w:rsid w:val="00544E9D"/>
    <w:rsid w:val="005455DC"/>
    <w:rsid w:val="005458B3"/>
    <w:rsid w:val="005458B4"/>
    <w:rsid w:val="005469EC"/>
    <w:rsid w:val="00550148"/>
    <w:rsid w:val="00550492"/>
    <w:rsid w:val="005509EC"/>
    <w:rsid w:val="00550A20"/>
    <w:rsid w:val="00550DFA"/>
    <w:rsid w:val="00551CAA"/>
    <w:rsid w:val="00551D1C"/>
    <w:rsid w:val="00551D70"/>
    <w:rsid w:val="0055257F"/>
    <w:rsid w:val="0055270A"/>
    <w:rsid w:val="0055322A"/>
    <w:rsid w:val="005532F1"/>
    <w:rsid w:val="0055344F"/>
    <w:rsid w:val="005536FA"/>
    <w:rsid w:val="005537A0"/>
    <w:rsid w:val="00554557"/>
    <w:rsid w:val="005549D8"/>
    <w:rsid w:val="00554A37"/>
    <w:rsid w:val="00555243"/>
    <w:rsid w:val="00555F76"/>
    <w:rsid w:val="00556093"/>
    <w:rsid w:val="00556DB7"/>
    <w:rsid w:val="00557057"/>
    <w:rsid w:val="005576F0"/>
    <w:rsid w:val="0056050B"/>
    <w:rsid w:val="00561B10"/>
    <w:rsid w:val="00561B9D"/>
    <w:rsid w:val="00561E0D"/>
    <w:rsid w:val="005624E2"/>
    <w:rsid w:val="00562910"/>
    <w:rsid w:val="00562A3C"/>
    <w:rsid w:val="00563ABF"/>
    <w:rsid w:val="00563FAB"/>
    <w:rsid w:val="00564E10"/>
    <w:rsid w:val="005653D5"/>
    <w:rsid w:val="00565487"/>
    <w:rsid w:val="00565811"/>
    <w:rsid w:val="005658E8"/>
    <w:rsid w:val="00565A7C"/>
    <w:rsid w:val="00565D31"/>
    <w:rsid w:val="00566284"/>
    <w:rsid w:val="005669FA"/>
    <w:rsid w:val="00566E2C"/>
    <w:rsid w:val="00566F81"/>
    <w:rsid w:val="0056747D"/>
    <w:rsid w:val="00567FDD"/>
    <w:rsid w:val="0057013A"/>
    <w:rsid w:val="00570179"/>
    <w:rsid w:val="00570674"/>
    <w:rsid w:val="00570FC2"/>
    <w:rsid w:val="005710AD"/>
    <w:rsid w:val="00571571"/>
    <w:rsid w:val="005719F3"/>
    <w:rsid w:val="00571A98"/>
    <w:rsid w:val="0057227B"/>
    <w:rsid w:val="00573182"/>
    <w:rsid w:val="00573699"/>
    <w:rsid w:val="00573888"/>
    <w:rsid w:val="005738E9"/>
    <w:rsid w:val="00573D28"/>
    <w:rsid w:val="00573FBD"/>
    <w:rsid w:val="0057444A"/>
    <w:rsid w:val="00574803"/>
    <w:rsid w:val="005758C1"/>
    <w:rsid w:val="00576274"/>
    <w:rsid w:val="0057778E"/>
    <w:rsid w:val="0058014A"/>
    <w:rsid w:val="00581081"/>
    <w:rsid w:val="00581A3A"/>
    <w:rsid w:val="00581CDC"/>
    <w:rsid w:val="00582232"/>
    <w:rsid w:val="00582390"/>
    <w:rsid w:val="00582B4E"/>
    <w:rsid w:val="0058369F"/>
    <w:rsid w:val="005836EC"/>
    <w:rsid w:val="00583ADE"/>
    <w:rsid w:val="00584572"/>
    <w:rsid w:val="00584A2B"/>
    <w:rsid w:val="00584DAB"/>
    <w:rsid w:val="005851E9"/>
    <w:rsid w:val="00585356"/>
    <w:rsid w:val="005853CD"/>
    <w:rsid w:val="00585534"/>
    <w:rsid w:val="0058556B"/>
    <w:rsid w:val="00585FA9"/>
    <w:rsid w:val="00585FD7"/>
    <w:rsid w:val="00586AED"/>
    <w:rsid w:val="00586DCB"/>
    <w:rsid w:val="00586F6C"/>
    <w:rsid w:val="00587828"/>
    <w:rsid w:val="00587DA2"/>
    <w:rsid w:val="00590410"/>
    <w:rsid w:val="0059044A"/>
    <w:rsid w:val="00590CA9"/>
    <w:rsid w:val="00591878"/>
    <w:rsid w:val="005919BE"/>
    <w:rsid w:val="005920BC"/>
    <w:rsid w:val="00592B0C"/>
    <w:rsid w:val="005935BF"/>
    <w:rsid w:val="00593A17"/>
    <w:rsid w:val="00593B69"/>
    <w:rsid w:val="00593BEF"/>
    <w:rsid w:val="00594A69"/>
    <w:rsid w:val="00594C59"/>
    <w:rsid w:val="00595087"/>
    <w:rsid w:val="00595200"/>
    <w:rsid w:val="005952DF"/>
    <w:rsid w:val="00595A43"/>
    <w:rsid w:val="005965F9"/>
    <w:rsid w:val="005968CE"/>
    <w:rsid w:val="00596AC6"/>
    <w:rsid w:val="00596B35"/>
    <w:rsid w:val="00597E32"/>
    <w:rsid w:val="005A0E6B"/>
    <w:rsid w:val="005A1A62"/>
    <w:rsid w:val="005A2248"/>
    <w:rsid w:val="005A2750"/>
    <w:rsid w:val="005A2925"/>
    <w:rsid w:val="005A2DFF"/>
    <w:rsid w:val="005A34EB"/>
    <w:rsid w:val="005A4617"/>
    <w:rsid w:val="005A536D"/>
    <w:rsid w:val="005A58FC"/>
    <w:rsid w:val="005A5FB0"/>
    <w:rsid w:val="005A63C1"/>
    <w:rsid w:val="005A67FA"/>
    <w:rsid w:val="005A6B81"/>
    <w:rsid w:val="005A6C48"/>
    <w:rsid w:val="005A6CE0"/>
    <w:rsid w:val="005B17EB"/>
    <w:rsid w:val="005B1890"/>
    <w:rsid w:val="005B19B9"/>
    <w:rsid w:val="005B2B0C"/>
    <w:rsid w:val="005B32C5"/>
    <w:rsid w:val="005B374B"/>
    <w:rsid w:val="005B43E0"/>
    <w:rsid w:val="005B44FD"/>
    <w:rsid w:val="005B5373"/>
    <w:rsid w:val="005B54EE"/>
    <w:rsid w:val="005B5D15"/>
    <w:rsid w:val="005B657C"/>
    <w:rsid w:val="005B7C8B"/>
    <w:rsid w:val="005C00CC"/>
    <w:rsid w:val="005C1AB3"/>
    <w:rsid w:val="005C2996"/>
    <w:rsid w:val="005C4775"/>
    <w:rsid w:val="005C4840"/>
    <w:rsid w:val="005C49BC"/>
    <w:rsid w:val="005C4F79"/>
    <w:rsid w:val="005C5E80"/>
    <w:rsid w:val="005C61C1"/>
    <w:rsid w:val="005C6A78"/>
    <w:rsid w:val="005C6B08"/>
    <w:rsid w:val="005C745D"/>
    <w:rsid w:val="005C7546"/>
    <w:rsid w:val="005C7B5C"/>
    <w:rsid w:val="005D01CB"/>
    <w:rsid w:val="005D0369"/>
    <w:rsid w:val="005D03FA"/>
    <w:rsid w:val="005D0E8F"/>
    <w:rsid w:val="005D170D"/>
    <w:rsid w:val="005D17A6"/>
    <w:rsid w:val="005D2054"/>
    <w:rsid w:val="005D274A"/>
    <w:rsid w:val="005D2C35"/>
    <w:rsid w:val="005D2CF6"/>
    <w:rsid w:val="005D2D56"/>
    <w:rsid w:val="005D2DEE"/>
    <w:rsid w:val="005D38B7"/>
    <w:rsid w:val="005D39A9"/>
    <w:rsid w:val="005D3A57"/>
    <w:rsid w:val="005D403B"/>
    <w:rsid w:val="005D41A6"/>
    <w:rsid w:val="005D4861"/>
    <w:rsid w:val="005D48B4"/>
    <w:rsid w:val="005D4DDB"/>
    <w:rsid w:val="005D5107"/>
    <w:rsid w:val="005D6410"/>
    <w:rsid w:val="005D774A"/>
    <w:rsid w:val="005E0ACF"/>
    <w:rsid w:val="005E0C33"/>
    <w:rsid w:val="005E222B"/>
    <w:rsid w:val="005E316E"/>
    <w:rsid w:val="005E3573"/>
    <w:rsid w:val="005E36F6"/>
    <w:rsid w:val="005E45CF"/>
    <w:rsid w:val="005E46D0"/>
    <w:rsid w:val="005E48C4"/>
    <w:rsid w:val="005E4CA5"/>
    <w:rsid w:val="005E4EB3"/>
    <w:rsid w:val="005E518A"/>
    <w:rsid w:val="005E5A10"/>
    <w:rsid w:val="005E5B0C"/>
    <w:rsid w:val="005E6CEF"/>
    <w:rsid w:val="005E7BB2"/>
    <w:rsid w:val="005E7C39"/>
    <w:rsid w:val="005F02F1"/>
    <w:rsid w:val="005F05A0"/>
    <w:rsid w:val="005F0CD1"/>
    <w:rsid w:val="005F15B5"/>
    <w:rsid w:val="005F1D38"/>
    <w:rsid w:val="005F26F5"/>
    <w:rsid w:val="005F2E1D"/>
    <w:rsid w:val="005F3D68"/>
    <w:rsid w:val="005F42F5"/>
    <w:rsid w:val="005F4CA3"/>
    <w:rsid w:val="005F4F8A"/>
    <w:rsid w:val="005F5DC7"/>
    <w:rsid w:val="005F5F5C"/>
    <w:rsid w:val="005F6372"/>
    <w:rsid w:val="005F64FC"/>
    <w:rsid w:val="005F66AB"/>
    <w:rsid w:val="005F6A32"/>
    <w:rsid w:val="005F6B84"/>
    <w:rsid w:val="005F778B"/>
    <w:rsid w:val="005F7BFA"/>
    <w:rsid w:val="006000BB"/>
    <w:rsid w:val="0060011A"/>
    <w:rsid w:val="00600401"/>
    <w:rsid w:val="00600EF7"/>
    <w:rsid w:val="006015EF"/>
    <w:rsid w:val="0060340E"/>
    <w:rsid w:val="0060393C"/>
    <w:rsid w:val="0060420B"/>
    <w:rsid w:val="00604573"/>
    <w:rsid w:val="006054BB"/>
    <w:rsid w:val="00605702"/>
    <w:rsid w:val="006060E0"/>
    <w:rsid w:val="00606214"/>
    <w:rsid w:val="006062BF"/>
    <w:rsid w:val="006064BD"/>
    <w:rsid w:val="00606815"/>
    <w:rsid w:val="006077A7"/>
    <w:rsid w:val="00607978"/>
    <w:rsid w:val="0061071A"/>
    <w:rsid w:val="006107D3"/>
    <w:rsid w:val="00610FCA"/>
    <w:rsid w:val="00611049"/>
    <w:rsid w:val="0061104E"/>
    <w:rsid w:val="006117C6"/>
    <w:rsid w:val="00611FA3"/>
    <w:rsid w:val="00612402"/>
    <w:rsid w:val="00612837"/>
    <w:rsid w:val="00613095"/>
    <w:rsid w:val="006135A6"/>
    <w:rsid w:val="0061489B"/>
    <w:rsid w:val="006149BF"/>
    <w:rsid w:val="00614CFF"/>
    <w:rsid w:val="00614E89"/>
    <w:rsid w:val="00615700"/>
    <w:rsid w:val="006161F6"/>
    <w:rsid w:val="00616614"/>
    <w:rsid w:val="00616A3A"/>
    <w:rsid w:val="00616C5B"/>
    <w:rsid w:val="00617890"/>
    <w:rsid w:val="0062071C"/>
    <w:rsid w:val="00620795"/>
    <w:rsid w:val="0062088B"/>
    <w:rsid w:val="00620D40"/>
    <w:rsid w:val="00621B2B"/>
    <w:rsid w:val="00622170"/>
    <w:rsid w:val="0062219A"/>
    <w:rsid w:val="0062261A"/>
    <w:rsid w:val="00622BE9"/>
    <w:rsid w:val="0062316B"/>
    <w:rsid w:val="006248A3"/>
    <w:rsid w:val="00624A24"/>
    <w:rsid w:val="006254F4"/>
    <w:rsid w:val="00625568"/>
    <w:rsid w:val="00625857"/>
    <w:rsid w:val="00626837"/>
    <w:rsid w:val="00626B9E"/>
    <w:rsid w:val="00626FF5"/>
    <w:rsid w:val="00627210"/>
    <w:rsid w:val="006272BB"/>
    <w:rsid w:val="0062745D"/>
    <w:rsid w:val="00627AD3"/>
    <w:rsid w:val="00627BF3"/>
    <w:rsid w:val="00627C39"/>
    <w:rsid w:val="00630E1B"/>
    <w:rsid w:val="006310AB"/>
    <w:rsid w:val="00631818"/>
    <w:rsid w:val="006318A5"/>
    <w:rsid w:val="006319A3"/>
    <w:rsid w:val="00631E6C"/>
    <w:rsid w:val="006326A4"/>
    <w:rsid w:val="0063326C"/>
    <w:rsid w:val="006332D5"/>
    <w:rsid w:val="0063438C"/>
    <w:rsid w:val="00634A34"/>
    <w:rsid w:val="006357E4"/>
    <w:rsid w:val="00635F2A"/>
    <w:rsid w:val="00635F8F"/>
    <w:rsid w:val="006369C8"/>
    <w:rsid w:val="00636E71"/>
    <w:rsid w:val="0063778E"/>
    <w:rsid w:val="00637933"/>
    <w:rsid w:val="00637BBD"/>
    <w:rsid w:val="006403E1"/>
    <w:rsid w:val="00640581"/>
    <w:rsid w:val="00640F7E"/>
    <w:rsid w:val="006410AD"/>
    <w:rsid w:val="0064149E"/>
    <w:rsid w:val="00641837"/>
    <w:rsid w:val="0064257D"/>
    <w:rsid w:val="006425CE"/>
    <w:rsid w:val="00642B90"/>
    <w:rsid w:val="00642C64"/>
    <w:rsid w:val="00642CA3"/>
    <w:rsid w:val="00643613"/>
    <w:rsid w:val="00643B04"/>
    <w:rsid w:val="0064427A"/>
    <w:rsid w:val="00644A16"/>
    <w:rsid w:val="00644EAF"/>
    <w:rsid w:val="0064503C"/>
    <w:rsid w:val="0064519D"/>
    <w:rsid w:val="00645531"/>
    <w:rsid w:val="00645FFD"/>
    <w:rsid w:val="006461F0"/>
    <w:rsid w:val="0064651B"/>
    <w:rsid w:val="006473A4"/>
    <w:rsid w:val="00647A6B"/>
    <w:rsid w:val="00647DA8"/>
    <w:rsid w:val="00647FB9"/>
    <w:rsid w:val="006504FE"/>
    <w:rsid w:val="00650A62"/>
    <w:rsid w:val="00650D45"/>
    <w:rsid w:val="006511E3"/>
    <w:rsid w:val="00651D10"/>
    <w:rsid w:val="006526DE"/>
    <w:rsid w:val="0065296E"/>
    <w:rsid w:val="00652A08"/>
    <w:rsid w:val="006534E1"/>
    <w:rsid w:val="00653762"/>
    <w:rsid w:val="006537EF"/>
    <w:rsid w:val="00654E33"/>
    <w:rsid w:val="00655474"/>
    <w:rsid w:val="006556BA"/>
    <w:rsid w:val="00656ACD"/>
    <w:rsid w:val="006572BE"/>
    <w:rsid w:val="006574E8"/>
    <w:rsid w:val="0065756B"/>
    <w:rsid w:val="00657AF2"/>
    <w:rsid w:val="00660CE3"/>
    <w:rsid w:val="0066157D"/>
    <w:rsid w:val="00661751"/>
    <w:rsid w:val="00661EC7"/>
    <w:rsid w:val="00661F90"/>
    <w:rsid w:val="00661FF7"/>
    <w:rsid w:val="006620AF"/>
    <w:rsid w:val="00663044"/>
    <w:rsid w:val="00663092"/>
    <w:rsid w:val="00663458"/>
    <w:rsid w:val="00663954"/>
    <w:rsid w:val="00663968"/>
    <w:rsid w:val="00663B1F"/>
    <w:rsid w:val="00663F32"/>
    <w:rsid w:val="00664103"/>
    <w:rsid w:val="00664254"/>
    <w:rsid w:val="0066444A"/>
    <w:rsid w:val="00665CA2"/>
    <w:rsid w:val="00666C35"/>
    <w:rsid w:val="00667F91"/>
    <w:rsid w:val="0067045C"/>
    <w:rsid w:val="00670CE3"/>
    <w:rsid w:val="0067169D"/>
    <w:rsid w:val="0067174B"/>
    <w:rsid w:val="00671953"/>
    <w:rsid w:val="00671AC3"/>
    <w:rsid w:val="00672CA6"/>
    <w:rsid w:val="00672E32"/>
    <w:rsid w:val="0067367F"/>
    <w:rsid w:val="006738C6"/>
    <w:rsid w:val="00673F85"/>
    <w:rsid w:val="006750FB"/>
    <w:rsid w:val="0067670E"/>
    <w:rsid w:val="00676931"/>
    <w:rsid w:val="0067697B"/>
    <w:rsid w:val="00676E25"/>
    <w:rsid w:val="00676F5E"/>
    <w:rsid w:val="006776BF"/>
    <w:rsid w:val="00677F33"/>
    <w:rsid w:val="006802EC"/>
    <w:rsid w:val="00680567"/>
    <w:rsid w:val="006805C8"/>
    <w:rsid w:val="00680C14"/>
    <w:rsid w:val="00681379"/>
    <w:rsid w:val="006824FE"/>
    <w:rsid w:val="0068262C"/>
    <w:rsid w:val="0068332B"/>
    <w:rsid w:val="00683414"/>
    <w:rsid w:val="0068343B"/>
    <w:rsid w:val="0068401D"/>
    <w:rsid w:val="0068406C"/>
    <w:rsid w:val="00684306"/>
    <w:rsid w:val="006844B3"/>
    <w:rsid w:val="00684556"/>
    <w:rsid w:val="006846A7"/>
    <w:rsid w:val="00684A7B"/>
    <w:rsid w:val="00684E43"/>
    <w:rsid w:val="00684F5A"/>
    <w:rsid w:val="00685536"/>
    <w:rsid w:val="00686003"/>
    <w:rsid w:val="0068691B"/>
    <w:rsid w:val="00686C3B"/>
    <w:rsid w:val="00686CCC"/>
    <w:rsid w:val="00686D1C"/>
    <w:rsid w:val="0069013B"/>
    <w:rsid w:val="006902CC"/>
    <w:rsid w:val="00690CF9"/>
    <w:rsid w:val="00691C66"/>
    <w:rsid w:val="00692005"/>
    <w:rsid w:val="006934D4"/>
    <w:rsid w:val="00693CD0"/>
    <w:rsid w:val="0069487D"/>
    <w:rsid w:val="00694E0B"/>
    <w:rsid w:val="0069529A"/>
    <w:rsid w:val="00695A31"/>
    <w:rsid w:val="00695BAD"/>
    <w:rsid w:val="0069601F"/>
    <w:rsid w:val="00696025"/>
    <w:rsid w:val="006965DE"/>
    <w:rsid w:val="006967A7"/>
    <w:rsid w:val="00697105"/>
    <w:rsid w:val="00697E41"/>
    <w:rsid w:val="006A01E8"/>
    <w:rsid w:val="006A0C25"/>
    <w:rsid w:val="006A1573"/>
    <w:rsid w:val="006A1DBA"/>
    <w:rsid w:val="006A1E3B"/>
    <w:rsid w:val="006A1EF2"/>
    <w:rsid w:val="006A26B8"/>
    <w:rsid w:val="006A2A5E"/>
    <w:rsid w:val="006A2D44"/>
    <w:rsid w:val="006A3028"/>
    <w:rsid w:val="006A334A"/>
    <w:rsid w:val="006A3CAD"/>
    <w:rsid w:val="006A47CC"/>
    <w:rsid w:val="006A4E3D"/>
    <w:rsid w:val="006A559C"/>
    <w:rsid w:val="006A55E9"/>
    <w:rsid w:val="006A5692"/>
    <w:rsid w:val="006A5903"/>
    <w:rsid w:val="006A5A3F"/>
    <w:rsid w:val="006A6010"/>
    <w:rsid w:val="006A64A7"/>
    <w:rsid w:val="006A6780"/>
    <w:rsid w:val="006A6EBB"/>
    <w:rsid w:val="006A7158"/>
    <w:rsid w:val="006B0A86"/>
    <w:rsid w:val="006B0DC1"/>
    <w:rsid w:val="006B0E62"/>
    <w:rsid w:val="006B13E7"/>
    <w:rsid w:val="006B19A2"/>
    <w:rsid w:val="006B1B11"/>
    <w:rsid w:val="006B1F8D"/>
    <w:rsid w:val="006B2219"/>
    <w:rsid w:val="006B251D"/>
    <w:rsid w:val="006B259E"/>
    <w:rsid w:val="006B2BF8"/>
    <w:rsid w:val="006B3806"/>
    <w:rsid w:val="006B3924"/>
    <w:rsid w:val="006B3CE4"/>
    <w:rsid w:val="006B426F"/>
    <w:rsid w:val="006B4274"/>
    <w:rsid w:val="006B4802"/>
    <w:rsid w:val="006B4870"/>
    <w:rsid w:val="006B58CA"/>
    <w:rsid w:val="006B675D"/>
    <w:rsid w:val="006B6F86"/>
    <w:rsid w:val="006B7B69"/>
    <w:rsid w:val="006C122E"/>
    <w:rsid w:val="006C1798"/>
    <w:rsid w:val="006C1B1C"/>
    <w:rsid w:val="006C2FD7"/>
    <w:rsid w:val="006C3182"/>
    <w:rsid w:val="006C34AC"/>
    <w:rsid w:val="006C34BC"/>
    <w:rsid w:val="006C3A83"/>
    <w:rsid w:val="006C3DB4"/>
    <w:rsid w:val="006C3E51"/>
    <w:rsid w:val="006C407F"/>
    <w:rsid w:val="006C4206"/>
    <w:rsid w:val="006C46B1"/>
    <w:rsid w:val="006C4F64"/>
    <w:rsid w:val="006C544B"/>
    <w:rsid w:val="006C590C"/>
    <w:rsid w:val="006C6488"/>
    <w:rsid w:val="006C6759"/>
    <w:rsid w:val="006C6C51"/>
    <w:rsid w:val="006C70B8"/>
    <w:rsid w:val="006C71C3"/>
    <w:rsid w:val="006D0622"/>
    <w:rsid w:val="006D08EF"/>
    <w:rsid w:val="006D15BE"/>
    <w:rsid w:val="006D1AE1"/>
    <w:rsid w:val="006D2307"/>
    <w:rsid w:val="006D2514"/>
    <w:rsid w:val="006D2A5E"/>
    <w:rsid w:val="006D2ED0"/>
    <w:rsid w:val="006D2F98"/>
    <w:rsid w:val="006D379B"/>
    <w:rsid w:val="006D3868"/>
    <w:rsid w:val="006D431F"/>
    <w:rsid w:val="006D4C9B"/>
    <w:rsid w:val="006D503A"/>
    <w:rsid w:val="006D5647"/>
    <w:rsid w:val="006D64AA"/>
    <w:rsid w:val="006D66CA"/>
    <w:rsid w:val="006D6FE0"/>
    <w:rsid w:val="006D76B6"/>
    <w:rsid w:val="006D7ED5"/>
    <w:rsid w:val="006E0120"/>
    <w:rsid w:val="006E1745"/>
    <w:rsid w:val="006E25DC"/>
    <w:rsid w:val="006E2AF1"/>
    <w:rsid w:val="006E400D"/>
    <w:rsid w:val="006E40A6"/>
    <w:rsid w:val="006E41E0"/>
    <w:rsid w:val="006E4376"/>
    <w:rsid w:val="006E4493"/>
    <w:rsid w:val="006E5231"/>
    <w:rsid w:val="006E5792"/>
    <w:rsid w:val="006E5EA4"/>
    <w:rsid w:val="006E5EA7"/>
    <w:rsid w:val="006E6220"/>
    <w:rsid w:val="006E70BC"/>
    <w:rsid w:val="006E714C"/>
    <w:rsid w:val="006F047B"/>
    <w:rsid w:val="006F0E5D"/>
    <w:rsid w:val="006F196E"/>
    <w:rsid w:val="006F1B25"/>
    <w:rsid w:val="006F2712"/>
    <w:rsid w:val="006F2B69"/>
    <w:rsid w:val="006F3086"/>
    <w:rsid w:val="006F3110"/>
    <w:rsid w:val="006F323D"/>
    <w:rsid w:val="006F33A2"/>
    <w:rsid w:val="006F3463"/>
    <w:rsid w:val="006F360A"/>
    <w:rsid w:val="006F4FA8"/>
    <w:rsid w:val="006F535D"/>
    <w:rsid w:val="006F56F2"/>
    <w:rsid w:val="006F6562"/>
    <w:rsid w:val="006F6B92"/>
    <w:rsid w:val="006F77FF"/>
    <w:rsid w:val="00700129"/>
    <w:rsid w:val="00701926"/>
    <w:rsid w:val="00701952"/>
    <w:rsid w:val="00702530"/>
    <w:rsid w:val="00702D57"/>
    <w:rsid w:val="00702ECF"/>
    <w:rsid w:val="007030CD"/>
    <w:rsid w:val="007039EC"/>
    <w:rsid w:val="00703B2B"/>
    <w:rsid w:val="00703D2C"/>
    <w:rsid w:val="00703D88"/>
    <w:rsid w:val="00703F3B"/>
    <w:rsid w:val="007045D9"/>
    <w:rsid w:val="00705A6C"/>
    <w:rsid w:val="00705D02"/>
    <w:rsid w:val="0070663B"/>
    <w:rsid w:val="00706652"/>
    <w:rsid w:val="0070736D"/>
    <w:rsid w:val="00707906"/>
    <w:rsid w:val="00707FC2"/>
    <w:rsid w:val="007102D5"/>
    <w:rsid w:val="00710FE1"/>
    <w:rsid w:val="00711875"/>
    <w:rsid w:val="0071193F"/>
    <w:rsid w:val="00712428"/>
    <w:rsid w:val="00713158"/>
    <w:rsid w:val="007134AF"/>
    <w:rsid w:val="00715881"/>
    <w:rsid w:val="00716C0C"/>
    <w:rsid w:val="00716DE5"/>
    <w:rsid w:val="00716E96"/>
    <w:rsid w:val="00716FB1"/>
    <w:rsid w:val="007177F9"/>
    <w:rsid w:val="007178D0"/>
    <w:rsid w:val="0072064A"/>
    <w:rsid w:val="00720734"/>
    <w:rsid w:val="00721A43"/>
    <w:rsid w:val="00721E1B"/>
    <w:rsid w:val="0072236E"/>
    <w:rsid w:val="007227D1"/>
    <w:rsid w:val="00722E7C"/>
    <w:rsid w:val="007230AE"/>
    <w:rsid w:val="007234BC"/>
    <w:rsid w:val="00724036"/>
    <w:rsid w:val="007242F6"/>
    <w:rsid w:val="007243E4"/>
    <w:rsid w:val="0072495F"/>
    <w:rsid w:val="007249A3"/>
    <w:rsid w:val="00725113"/>
    <w:rsid w:val="007252A4"/>
    <w:rsid w:val="0072551C"/>
    <w:rsid w:val="00726B4D"/>
    <w:rsid w:val="00727222"/>
    <w:rsid w:val="007302A0"/>
    <w:rsid w:val="00731038"/>
    <w:rsid w:val="007315C8"/>
    <w:rsid w:val="00731801"/>
    <w:rsid w:val="00732841"/>
    <w:rsid w:val="00733482"/>
    <w:rsid w:val="00733BB6"/>
    <w:rsid w:val="00733E2F"/>
    <w:rsid w:val="00733F72"/>
    <w:rsid w:val="0073401C"/>
    <w:rsid w:val="00734ACD"/>
    <w:rsid w:val="00736A82"/>
    <w:rsid w:val="00736E9A"/>
    <w:rsid w:val="00736F8E"/>
    <w:rsid w:val="0073711C"/>
    <w:rsid w:val="00737ADA"/>
    <w:rsid w:val="00737BE8"/>
    <w:rsid w:val="00740305"/>
    <w:rsid w:val="0074068D"/>
    <w:rsid w:val="007406FB"/>
    <w:rsid w:val="00740B1C"/>
    <w:rsid w:val="00740E53"/>
    <w:rsid w:val="00740ED0"/>
    <w:rsid w:val="00741C15"/>
    <w:rsid w:val="00741E01"/>
    <w:rsid w:val="00742B88"/>
    <w:rsid w:val="007437CF"/>
    <w:rsid w:val="00744DDD"/>
    <w:rsid w:val="00745006"/>
    <w:rsid w:val="00745B17"/>
    <w:rsid w:val="00745B7C"/>
    <w:rsid w:val="00745C69"/>
    <w:rsid w:val="007467CC"/>
    <w:rsid w:val="00746EEB"/>
    <w:rsid w:val="007478BB"/>
    <w:rsid w:val="00747917"/>
    <w:rsid w:val="00747945"/>
    <w:rsid w:val="00750903"/>
    <w:rsid w:val="00750D79"/>
    <w:rsid w:val="00751CD7"/>
    <w:rsid w:val="00752234"/>
    <w:rsid w:val="00753BFB"/>
    <w:rsid w:val="0075437C"/>
    <w:rsid w:val="007545EA"/>
    <w:rsid w:val="007547C2"/>
    <w:rsid w:val="0075484A"/>
    <w:rsid w:val="007548B6"/>
    <w:rsid w:val="00754DB2"/>
    <w:rsid w:val="0075524E"/>
    <w:rsid w:val="00756045"/>
    <w:rsid w:val="007565FC"/>
    <w:rsid w:val="00756CDB"/>
    <w:rsid w:val="0075722C"/>
    <w:rsid w:val="007573C5"/>
    <w:rsid w:val="0075748D"/>
    <w:rsid w:val="0075787D"/>
    <w:rsid w:val="00757F45"/>
    <w:rsid w:val="00760118"/>
    <w:rsid w:val="00760B0E"/>
    <w:rsid w:val="00762169"/>
    <w:rsid w:val="0076256A"/>
    <w:rsid w:val="0076285B"/>
    <w:rsid w:val="00762D37"/>
    <w:rsid w:val="00764114"/>
    <w:rsid w:val="00764D74"/>
    <w:rsid w:val="00765845"/>
    <w:rsid w:val="0076629B"/>
    <w:rsid w:val="00767DFF"/>
    <w:rsid w:val="007705AB"/>
    <w:rsid w:val="00770780"/>
    <w:rsid w:val="00770D9E"/>
    <w:rsid w:val="00770E7D"/>
    <w:rsid w:val="007711CD"/>
    <w:rsid w:val="0077132C"/>
    <w:rsid w:val="00771C6D"/>
    <w:rsid w:val="007720A1"/>
    <w:rsid w:val="00772239"/>
    <w:rsid w:val="007724EB"/>
    <w:rsid w:val="00773182"/>
    <w:rsid w:val="0077330C"/>
    <w:rsid w:val="007739DA"/>
    <w:rsid w:val="00773B6B"/>
    <w:rsid w:val="00773CC2"/>
    <w:rsid w:val="007744ED"/>
    <w:rsid w:val="00774628"/>
    <w:rsid w:val="0077485E"/>
    <w:rsid w:val="007756A0"/>
    <w:rsid w:val="00775A16"/>
    <w:rsid w:val="00776302"/>
    <w:rsid w:val="00776BC4"/>
    <w:rsid w:val="007770BF"/>
    <w:rsid w:val="007772B3"/>
    <w:rsid w:val="0077756B"/>
    <w:rsid w:val="007776CC"/>
    <w:rsid w:val="00780BD1"/>
    <w:rsid w:val="0078176D"/>
    <w:rsid w:val="00781944"/>
    <w:rsid w:val="00782CC0"/>
    <w:rsid w:val="00782F3F"/>
    <w:rsid w:val="007840EE"/>
    <w:rsid w:val="00784191"/>
    <w:rsid w:val="0078443B"/>
    <w:rsid w:val="00784AAC"/>
    <w:rsid w:val="00784B76"/>
    <w:rsid w:val="00784CCE"/>
    <w:rsid w:val="00785138"/>
    <w:rsid w:val="00785362"/>
    <w:rsid w:val="00785371"/>
    <w:rsid w:val="007861F2"/>
    <w:rsid w:val="007868A2"/>
    <w:rsid w:val="00786DB5"/>
    <w:rsid w:val="00787073"/>
    <w:rsid w:val="00787232"/>
    <w:rsid w:val="0078787A"/>
    <w:rsid w:val="00787999"/>
    <w:rsid w:val="0079015B"/>
    <w:rsid w:val="00790B33"/>
    <w:rsid w:val="00790F96"/>
    <w:rsid w:val="00791377"/>
    <w:rsid w:val="007921F2"/>
    <w:rsid w:val="00792728"/>
    <w:rsid w:val="00792A37"/>
    <w:rsid w:val="00793213"/>
    <w:rsid w:val="00793309"/>
    <w:rsid w:val="00793777"/>
    <w:rsid w:val="00793AFC"/>
    <w:rsid w:val="00793F45"/>
    <w:rsid w:val="0079402E"/>
    <w:rsid w:val="007951EB"/>
    <w:rsid w:val="00795472"/>
    <w:rsid w:val="007958E0"/>
    <w:rsid w:val="00795C90"/>
    <w:rsid w:val="00795E8D"/>
    <w:rsid w:val="007969EE"/>
    <w:rsid w:val="00796F44"/>
    <w:rsid w:val="00797629"/>
    <w:rsid w:val="007977D3"/>
    <w:rsid w:val="00797851"/>
    <w:rsid w:val="00797BC7"/>
    <w:rsid w:val="007A01FA"/>
    <w:rsid w:val="007A023C"/>
    <w:rsid w:val="007A0A36"/>
    <w:rsid w:val="007A0B35"/>
    <w:rsid w:val="007A1596"/>
    <w:rsid w:val="007A1795"/>
    <w:rsid w:val="007A188A"/>
    <w:rsid w:val="007A1CA7"/>
    <w:rsid w:val="007A1E35"/>
    <w:rsid w:val="007A222E"/>
    <w:rsid w:val="007A235F"/>
    <w:rsid w:val="007A2633"/>
    <w:rsid w:val="007A327D"/>
    <w:rsid w:val="007A3D15"/>
    <w:rsid w:val="007A48E6"/>
    <w:rsid w:val="007A4F86"/>
    <w:rsid w:val="007A5075"/>
    <w:rsid w:val="007A5077"/>
    <w:rsid w:val="007A5277"/>
    <w:rsid w:val="007A57F1"/>
    <w:rsid w:val="007A5C2B"/>
    <w:rsid w:val="007A65A0"/>
    <w:rsid w:val="007A67E1"/>
    <w:rsid w:val="007A7362"/>
    <w:rsid w:val="007A756A"/>
    <w:rsid w:val="007A7777"/>
    <w:rsid w:val="007A7995"/>
    <w:rsid w:val="007A7E3C"/>
    <w:rsid w:val="007A7EA2"/>
    <w:rsid w:val="007B0080"/>
    <w:rsid w:val="007B07E2"/>
    <w:rsid w:val="007B0957"/>
    <w:rsid w:val="007B09B6"/>
    <w:rsid w:val="007B0C2D"/>
    <w:rsid w:val="007B1E6A"/>
    <w:rsid w:val="007B1EB2"/>
    <w:rsid w:val="007B23A6"/>
    <w:rsid w:val="007B241A"/>
    <w:rsid w:val="007B2BFE"/>
    <w:rsid w:val="007B3670"/>
    <w:rsid w:val="007B3D08"/>
    <w:rsid w:val="007B4B03"/>
    <w:rsid w:val="007B4BA9"/>
    <w:rsid w:val="007B5B44"/>
    <w:rsid w:val="007B6CB7"/>
    <w:rsid w:val="007B7368"/>
    <w:rsid w:val="007B7ABC"/>
    <w:rsid w:val="007C03DE"/>
    <w:rsid w:val="007C0A76"/>
    <w:rsid w:val="007C0F5D"/>
    <w:rsid w:val="007C1AFD"/>
    <w:rsid w:val="007C203E"/>
    <w:rsid w:val="007C2DB2"/>
    <w:rsid w:val="007C30D1"/>
    <w:rsid w:val="007C32BC"/>
    <w:rsid w:val="007C3E73"/>
    <w:rsid w:val="007C442F"/>
    <w:rsid w:val="007C4A7E"/>
    <w:rsid w:val="007C5669"/>
    <w:rsid w:val="007C582E"/>
    <w:rsid w:val="007C5C13"/>
    <w:rsid w:val="007C5C9C"/>
    <w:rsid w:val="007C6881"/>
    <w:rsid w:val="007C7ACA"/>
    <w:rsid w:val="007C7BC4"/>
    <w:rsid w:val="007C7C6A"/>
    <w:rsid w:val="007D04C2"/>
    <w:rsid w:val="007D081F"/>
    <w:rsid w:val="007D1340"/>
    <w:rsid w:val="007D18B5"/>
    <w:rsid w:val="007D1EA6"/>
    <w:rsid w:val="007D1F34"/>
    <w:rsid w:val="007D2083"/>
    <w:rsid w:val="007D2866"/>
    <w:rsid w:val="007D3857"/>
    <w:rsid w:val="007D3996"/>
    <w:rsid w:val="007D3C4F"/>
    <w:rsid w:val="007D3F09"/>
    <w:rsid w:val="007D3FB6"/>
    <w:rsid w:val="007D411A"/>
    <w:rsid w:val="007D43BF"/>
    <w:rsid w:val="007D473A"/>
    <w:rsid w:val="007D4D66"/>
    <w:rsid w:val="007D6A33"/>
    <w:rsid w:val="007D6BD9"/>
    <w:rsid w:val="007D7420"/>
    <w:rsid w:val="007D7713"/>
    <w:rsid w:val="007D7759"/>
    <w:rsid w:val="007D7C82"/>
    <w:rsid w:val="007E0162"/>
    <w:rsid w:val="007E026E"/>
    <w:rsid w:val="007E02CF"/>
    <w:rsid w:val="007E045B"/>
    <w:rsid w:val="007E07A5"/>
    <w:rsid w:val="007E07BA"/>
    <w:rsid w:val="007E0CD2"/>
    <w:rsid w:val="007E0DE6"/>
    <w:rsid w:val="007E0F00"/>
    <w:rsid w:val="007E121E"/>
    <w:rsid w:val="007E1904"/>
    <w:rsid w:val="007E218B"/>
    <w:rsid w:val="007E37C4"/>
    <w:rsid w:val="007E3AF4"/>
    <w:rsid w:val="007E411D"/>
    <w:rsid w:val="007E48B8"/>
    <w:rsid w:val="007E523D"/>
    <w:rsid w:val="007E5E19"/>
    <w:rsid w:val="007E6346"/>
    <w:rsid w:val="007E6C73"/>
    <w:rsid w:val="007E77C6"/>
    <w:rsid w:val="007E7F5B"/>
    <w:rsid w:val="007F062E"/>
    <w:rsid w:val="007F069D"/>
    <w:rsid w:val="007F0FE5"/>
    <w:rsid w:val="007F1007"/>
    <w:rsid w:val="007F14BB"/>
    <w:rsid w:val="007F1563"/>
    <w:rsid w:val="007F1577"/>
    <w:rsid w:val="007F2070"/>
    <w:rsid w:val="007F211B"/>
    <w:rsid w:val="007F23D4"/>
    <w:rsid w:val="007F2432"/>
    <w:rsid w:val="007F2438"/>
    <w:rsid w:val="007F24E4"/>
    <w:rsid w:val="007F2EE2"/>
    <w:rsid w:val="007F33DA"/>
    <w:rsid w:val="007F3BB1"/>
    <w:rsid w:val="007F3E9A"/>
    <w:rsid w:val="007F3E9C"/>
    <w:rsid w:val="007F40A0"/>
    <w:rsid w:val="007F45E6"/>
    <w:rsid w:val="007F5C77"/>
    <w:rsid w:val="007F5E9C"/>
    <w:rsid w:val="007F63BE"/>
    <w:rsid w:val="007F63D4"/>
    <w:rsid w:val="007F671E"/>
    <w:rsid w:val="007F72BF"/>
    <w:rsid w:val="007F74C8"/>
    <w:rsid w:val="007F7746"/>
    <w:rsid w:val="007F782F"/>
    <w:rsid w:val="007F796C"/>
    <w:rsid w:val="008007C3"/>
    <w:rsid w:val="00801023"/>
    <w:rsid w:val="0080117A"/>
    <w:rsid w:val="00801773"/>
    <w:rsid w:val="00801F59"/>
    <w:rsid w:val="0080221A"/>
    <w:rsid w:val="00803062"/>
    <w:rsid w:val="008033A6"/>
    <w:rsid w:val="0080372C"/>
    <w:rsid w:val="008038FA"/>
    <w:rsid w:val="00803B24"/>
    <w:rsid w:val="00803D0C"/>
    <w:rsid w:val="00803EC5"/>
    <w:rsid w:val="00804379"/>
    <w:rsid w:val="008057D0"/>
    <w:rsid w:val="0080655A"/>
    <w:rsid w:val="00806641"/>
    <w:rsid w:val="008069B2"/>
    <w:rsid w:val="00806A39"/>
    <w:rsid w:val="00807B08"/>
    <w:rsid w:val="00807DD4"/>
    <w:rsid w:val="008100BE"/>
    <w:rsid w:val="00810439"/>
    <w:rsid w:val="00810D2B"/>
    <w:rsid w:val="00810F75"/>
    <w:rsid w:val="00810F8C"/>
    <w:rsid w:val="00811A4C"/>
    <w:rsid w:val="008120C0"/>
    <w:rsid w:val="00812275"/>
    <w:rsid w:val="00812323"/>
    <w:rsid w:val="0081258D"/>
    <w:rsid w:val="00812853"/>
    <w:rsid w:val="00812AA0"/>
    <w:rsid w:val="00812D0C"/>
    <w:rsid w:val="00813262"/>
    <w:rsid w:val="008133B6"/>
    <w:rsid w:val="008133D5"/>
    <w:rsid w:val="008136DC"/>
    <w:rsid w:val="00813917"/>
    <w:rsid w:val="00813EA4"/>
    <w:rsid w:val="00814170"/>
    <w:rsid w:val="00814A67"/>
    <w:rsid w:val="00815142"/>
    <w:rsid w:val="008156E6"/>
    <w:rsid w:val="00815723"/>
    <w:rsid w:val="00815908"/>
    <w:rsid w:val="00815B0C"/>
    <w:rsid w:val="00816743"/>
    <w:rsid w:val="00816755"/>
    <w:rsid w:val="00816AE3"/>
    <w:rsid w:val="00816C08"/>
    <w:rsid w:val="008171BB"/>
    <w:rsid w:val="00817201"/>
    <w:rsid w:val="00817299"/>
    <w:rsid w:val="00817B24"/>
    <w:rsid w:val="00817B84"/>
    <w:rsid w:val="0082091B"/>
    <w:rsid w:val="00822317"/>
    <w:rsid w:val="00822599"/>
    <w:rsid w:val="00822BB8"/>
    <w:rsid w:val="00823330"/>
    <w:rsid w:val="00823DDF"/>
    <w:rsid w:val="00823F61"/>
    <w:rsid w:val="00823FCD"/>
    <w:rsid w:val="00824096"/>
    <w:rsid w:val="008247BF"/>
    <w:rsid w:val="00824B81"/>
    <w:rsid w:val="00824ED2"/>
    <w:rsid w:val="008256B7"/>
    <w:rsid w:val="0082595A"/>
    <w:rsid w:val="00825FCE"/>
    <w:rsid w:val="008266A3"/>
    <w:rsid w:val="008266E0"/>
    <w:rsid w:val="00827342"/>
    <w:rsid w:val="00831A1E"/>
    <w:rsid w:val="00831EC6"/>
    <w:rsid w:val="008322B6"/>
    <w:rsid w:val="00832632"/>
    <w:rsid w:val="0083285C"/>
    <w:rsid w:val="0083287C"/>
    <w:rsid w:val="00832E1C"/>
    <w:rsid w:val="008335DF"/>
    <w:rsid w:val="008341B2"/>
    <w:rsid w:val="0083421D"/>
    <w:rsid w:val="008342F8"/>
    <w:rsid w:val="00834360"/>
    <w:rsid w:val="008345AA"/>
    <w:rsid w:val="00834B00"/>
    <w:rsid w:val="00835141"/>
    <w:rsid w:val="00835B1B"/>
    <w:rsid w:val="00835FC0"/>
    <w:rsid w:val="00836104"/>
    <w:rsid w:val="0083619E"/>
    <w:rsid w:val="00836299"/>
    <w:rsid w:val="00836809"/>
    <w:rsid w:val="00837431"/>
    <w:rsid w:val="00837E6C"/>
    <w:rsid w:val="00837F9B"/>
    <w:rsid w:val="008401DF"/>
    <w:rsid w:val="008407E6"/>
    <w:rsid w:val="008407E8"/>
    <w:rsid w:val="00840D0D"/>
    <w:rsid w:val="0084108B"/>
    <w:rsid w:val="00841149"/>
    <w:rsid w:val="00841544"/>
    <w:rsid w:val="00842331"/>
    <w:rsid w:val="00842636"/>
    <w:rsid w:val="00842C67"/>
    <w:rsid w:val="0084312E"/>
    <w:rsid w:val="008446BD"/>
    <w:rsid w:val="00844A17"/>
    <w:rsid w:val="00844CB5"/>
    <w:rsid w:val="008458FC"/>
    <w:rsid w:val="00845D73"/>
    <w:rsid w:val="00846420"/>
    <w:rsid w:val="008469EB"/>
    <w:rsid w:val="00846A9E"/>
    <w:rsid w:val="00846D26"/>
    <w:rsid w:val="008472B5"/>
    <w:rsid w:val="00847AD8"/>
    <w:rsid w:val="00847B7E"/>
    <w:rsid w:val="00847CF8"/>
    <w:rsid w:val="008504F4"/>
    <w:rsid w:val="008510C2"/>
    <w:rsid w:val="008510E0"/>
    <w:rsid w:val="00851DBB"/>
    <w:rsid w:val="00851E94"/>
    <w:rsid w:val="00851F39"/>
    <w:rsid w:val="00852C37"/>
    <w:rsid w:val="00852DD5"/>
    <w:rsid w:val="0085318D"/>
    <w:rsid w:val="0085343F"/>
    <w:rsid w:val="00853D10"/>
    <w:rsid w:val="00853EC4"/>
    <w:rsid w:val="008540F6"/>
    <w:rsid w:val="00854407"/>
    <w:rsid w:val="00854657"/>
    <w:rsid w:val="00854723"/>
    <w:rsid w:val="008551E1"/>
    <w:rsid w:val="008556D0"/>
    <w:rsid w:val="00856FB7"/>
    <w:rsid w:val="0085704F"/>
    <w:rsid w:val="0085741B"/>
    <w:rsid w:val="00857759"/>
    <w:rsid w:val="00857B85"/>
    <w:rsid w:val="00857BF0"/>
    <w:rsid w:val="0086021E"/>
    <w:rsid w:val="008608B6"/>
    <w:rsid w:val="00861969"/>
    <w:rsid w:val="00861CE9"/>
    <w:rsid w:val="00861D06"/>
    <w:rsid w:val="00862079"/>
    <w:rsid w:val="008622E6"/>
    <w:rsid w:val="00862762"/>
    <w:rsid w:val="008630BA"/>
    <w:rsid w:val="00863303"/>
    <w:rsid w:val="0086339C"/>
    <w:rsid w:val="0086463E"/>
    <w:rsid w:val="00864E66"/>
    <w:rsid w:val="0086505C"/>
    <w:rsid w:val="008653BC"/>
    <w:rsid w:val="008667E9"/>
    <w:rsid w:val="008667FB"/>
    <w:rsid w:val="00866C8B"/>
    <w:rsid w:val="00867469"/>
    <w:rsid w:val="0086799A"/>
    <w:rsid w:val="00867A3A"/>
    <w:rsid w:val="00867AAA"/>
    <w:rsid w:val="00867D84"/>
    <w:rsid w:val="008706B5"/>
    <w:rsid w:val="00870B1B"/>
    <w:rsid w:val="00870C02"/>
    <w:rsid w:val="0087162F"/>
    <w:rsid w:val="00872044"/>
    <w:rsid w:val="00872474"/>
    <w:rsid w:val="0087272C"/>
    <w:rsid w:val="0087286B"/>
    <w:rsid w:val="00873059"/>
    <w:rsid w:val="008737D0"/>
    <w:rsid w:val="008738AE"/>
    <w:rsid w:val="00873989"/>
    <w:rsid w:val="00873A0D"/>
    <w:rsid w:val="00873BCE"/>
    <w:rsid w:val="00873D78"/>
    <w:rsid w:val="00874A18"/>
    <w:rsid w:val="00874B59"/>
    <w:rsid w:val="00874D6C"/>
    <w:rsid w:val="008765DB"/>
    <w:rsid w:val="0087662C"/>
    <w:rsid w:val="008768CC"/>
    <w:rsid w:val="00876D89"/>
    <w:rsid w:val="00876F70"/>
    <w:rsid w:val="008773CF"/>
    <w:rsid w:val="00877649"/>
    <w:rsid w:val="008779BD"/>
    <w:rsid w:val="00877F0E"/>
    <w:rsid w:val="008807D5"/>
    <w:rsid w:val="0088094A"/>
    <w:rsid w:val="00882374"/>
    <w:rsid w:val="00882718"/>
    <w:rsid w:val="00882B96"/>
    <w:rsid w:val="00882EA8"/>
    <w:rsid w:val="008830FF"/>
    <w:rsid w:val="0088372E"/>
    <w:rsid w:val="00883746"/>
    <w:rsid w:val="008837E0"/>
    <w:rsid w:val="00883DFA"/>
    <w:rsid w:val="00883F1B"/>
    <w:rsid w:val="00884217"/>
    <w:rsid w:val="00884317"/>
    <w:rsid w:val="00884899"/>
    <w:rsid w:val="00884C47"/>
    <w:rsid w:val="0088507C"/>
    <w:rsid w:val="0088536C"/>
    <w:rsid w:val="0088557D"/>
    <w:rsid w:val="008858EC"/>
    <w:rsid w:val="00885EE0"/>
    <w:rsid w:val="00886303"/>
    <w:rsid w:val="00886F1B"/>
    <w:rsid w:val="00887320"/>
    <w:rsid w:val="00890160"/>
    <w:rsid w:val="008912BD"/>
    <w:rsid w:val="00892D2B"/>
    <w:rsid w:val="0089312D"/>
    <w:rsid w:val="0089398C"/>
    <w:rsid w:val="00893F9F"/>
    <w:rsid w:val="00894763"/>
    <w:rsid w:val="00894B7C"/>
    <w:rsid w:val="00894C86"/>
    <w:rsid w:val="00894FAE"/>
    <w:rsid w:val="00895805"/>
    <w:rsid w:val="00895F05"/>
    <w:rsid w:val="0089615B"/>
    <w:rsid w:val="00897052"/>
    <w:rsid w:val="008970D2"/>
    <w:rsid w:val="00897847"/>
    <w:rsid w:val="008979BD"/>
    <w:rsid w:val="008A01B9"/>
    <w:rsid w:val="008A0211"/>
    <w:rsid w:val="008A0948"/>
    <w:rsid w:val="008A0EC3"/>
    <w:rsid w:val="008A13F4"/>
    <w:rsid w:val="008A143A"/>
    <w:rsid w:val="008A1764"/>
    <w:rsid w:val="008A23BA"/>
    <w:rsid w:val="008A2638"/>
    <w:rsid w:val="008A2B20"/>
    <w:rsid w:val="008A2C0C"/>
    <w:rsid w:val="008A3158"/>
    <w:rsid w:val="008A3500"/>
    <w:rsid w:val="008A362D"/>
    <w:rsid w:val="008A3865"/>
    <w:rsid w:val="008A3E38"/>
    <w:rsid w:val="008A4751"/>
    <w:rsid w:val="008A48C7"/>
    <w:rsid w:val="008A491E"/>
    <w:rsid w:val="008A5016"/>
    <w:rsid w:val="008A51F3"/>
    <w:rsid w:val="008A5358"/>
    <w:rsid w:val="008A597D"/>
    <w:rsid w:val="008A5F91"/>
    <w:rsid w:val="008A6131"/>
    <w:rsid w:val="008A6A78"/>
    <w:rsid w:val="008A7376"/>
    <w:rsid w:val="008A752D"/>
    <w:rsid w:val="008A7612"/>
    <w:rsid w:val="008A791C"/>
    <w:rsid w:val="008A7A30"/>
    <w:rsid w:val="008A7A81"/>
    <w:rsid w:val="008B0478"/>
    <w:rsid w:val="008B126C"/>
    <w:rsid w:val="008B12C6"/>
    <w:rsid w:val="008B1CF4"/>
    <w:rsid w:val="008B1D06"/>
    <w:rsid w:val="008B1DD6"/>
    <w:rsid w:val="008B1F5B"/>
    <w:rsid w:val="008B1F78"/>
    <w:rsid w:val="008B2B2E"/>
    <w:rsid w:val="008B2B7C"/>
    <w:rsid w:val="008B311C"/>
    <w:rsid w:val="008B4127"/>
    <w:rsid w:val="008B5569"/>
    <w:rsid w:val="008B5636"/>
    <w:rsid w:val="008B5C6C"/>
    <w:rsid w:val="008B645F"/>
    <w:rsid w:val="008B6E54"/>
    <w:rsid w:val="008B759C"/>
    <w:rsid w:val="008B78B5"/>
    <w:rsid w:val="008C036A"/>
    <w:rsid w:val="008C12FB"/>
    <w:rsid w:val="008C1558"/>
    <w:rsid w:val="008C19F5"/>
    <w:rsid w:val="008C258F"/>
    <w:rsid w:val="008C2AF4"/>
    <w:rsid w:val="008C2DDD"/>
    <w:rsid w:val="008C31CE"/>
    <w:rsid w:val="008C32B0"/>
    <w:rsid w:val="008C334A"/>
    <w:rsid w:val="008C33B6"/>
    <w:rsid w:val="008C3738"/>
    <w:rsid w:val="008C38A2"/>
    <w:rsid w:val="008C3A49"/>
    <w:rsid w:val="008C4486"/>
    <w:rsid w:val="008C495B"/>
    <w:rsid w:val="008C49DC"/>
    <w:rsid w:val="008C4A4F"/>
    <w:rsid w:val="008C4B5C"/>
    <w:rsid w:val="008C542B"/>
    <w:rsid w:val="008C5525"/>
    <w:rsid w:val="008C6091"/>
    <w:rsid w:val="008C7A22"/>
    <w:rsid w:val="008C7AFF"/>
    <w:rsid w:val="008D13FE"/>
    <w:rsid w:val="008D1DA9"/>
    <w:rsid w:val="008D20DF"/>
    <w:rsid w:val="008D317C"/>
    <w:rsid w:val="008D32F1"/>
    <w:rsid w:val="008D344B"/>
    <w:rsid w:val="008D3489"/>
    <w:rsid w:val="008D36E1"/>
    <w:rsid w:val="008D3FFA"/>
    <w:rsid w:val="008D405F"/>
    <w:rsid w:val="008D47A8"/>
    <w:rsid w:val="008D4C5B"/>
    <w:rsid w:val="008D5929"/>
    <w:rsid w:val="008D5D1B"/>
    <w:rsid w:val="008D7C61"/>
    <w:rsid w:val="008D7D77"/>
    <w:rsid w:val="008D7EFB"/>
    <w:rsid w:val="008E095F"/>
    <w:rsid w:val="008E17B6"/>
    <w:rsid w:val="008E1849"/>
    <w:rsid w:val="008E1AEE"/>
    <w:rsid w:val="008E1DD7"/>
    <w:rsid w:val="008E20AB"/>
    <w:rsid w:val="008E20EF"/>
    <w:rsid w:val="008E2304"/>
    <w:rsid w:val="008E2D96"/>
    <w:rsid w:val="008E2E25"/>
    <w:rsid w:val="008E2E4C"/>
    <w:rsid w:val="008E2F00"/>
    <w:rsid w:val="008E33B3"/>
    <w:rsid w:val="008E364B"/>
    <w:rsid w:val="008E4686"/>
    <w:rsid w:val="008E4AA2"/>
    <w:rsid w:val="008E4C3C"/>
    <w:rsid w:val="008E4E36"/>
    <w:rsid w:val="008E5521"/>
    <w:rsid w:val="008E5DA5"/>
    <w:rsid w:val="008E6F6C"/>
    <w:rsid w:val="008E768B"/>
    <w:rsid w:val="008E7BCE"/>
    <w:rsid w:val="008E7D88"/>
    <w:rsid w:val="008F0498"/>
    <w:rsid w:val="008F0939"/>
    <w:rsid w:val="008F0C8F"/>
    <w:rsid w:val="008F1D19"/>
    <w:rsid w:val="008F1E13"/>
    <w:rsid w:val="008F235F"/>
    <w:rsid w:val="008F2CD7"/>
    <w:rsid w:val="008F36A7"/>
    <w:rsid w:val="008F390E"/>
    <w:rsid w:val="008F3E47"/>
    <w:rsid w:val="008F410D"/>
    <w:rsid w:val="008F5E9B"/>
    <w:rsid w:val="008F627B"/>
    <w:rsid w:val="008F62AA"/>
    <w:rsid w:val="008F6E4D"/>
    <w:rsid w:val="008F6E64"/>
    <w:rsid w:val="008F6E80"/>
    <w:rsid w:val="008F6F73"/>
    <w:rsid w:val="008F7000"/>
    <w:rsid w:val="008F7134"/>
    <w:rsid w:val="008F766D"/>
    <w:rsid w:val="008F78FC"/>
    <w:rsid w:val="008F7B40"/>
    <w:rsid w:val="00900166"/>
    <w:rsid w:val="00900951"/>
    <w:rsid w:val="00901771"/>
    <w:rsid w:val="009023B7"/>
    <w:rsid w:val="009027BA"/>
    <w:rsid w:val="00903317"/>
    <w:rsid w:val="00903319"/>
    <w:rsid w:val="00903764"/>
    <w:rsid w:val="009041AC"/>
    <w:rsid w:val="009045A1"/>
    <w:rsid w:val="00904929"/>
    <w:rsid w:val="00906312"/>
    <w:rsid w:val="0090683F"/>
    <w:rsid w:val="00906A72"/>
    <w:rsid w:val="00906D63"/>
    <w:rsid w:val="009075E5"/>
    <w:rsid w:val="00907743"/>
    <w:rsid w:val="0090783A"/>
    <w:rsid w:val="00907972"/>
    <w:rsid w:val="009108A6"/>
    <w:rsid w:val="00911D78"/>
    <w:rsid w:val="00911FE2"/>
    <w:rsid w:val="0091200C"/>
    <w:rsid w:val="009128E4"/>
    <w:rsid w:val="009130BA"/>
    <w:rsid w:val="0091321A"/>
    <w:rsid w:val="0091348D"/>
    <w:rsid w:val="00913B89"/>
    <w:rsid w:val="00913FB9"/>
    <w:rsid w:val="009145DE"/>
    <w:rsid w:val="00914FC4"/>
    <w:rsid w:val="00915BF9"/>
    <w:rsid w:val="00915CBD"/>
    <w:rsid w:val="00915FD7"/>
    <w:rsid w:val="0092000C"/>
    <w:rsid w:val="00920187"/>
    <w:rsid w:val="00920283"/>
    <w:rsid w:val="00920B24"/>
    <w:rsid w:val="00921982"/>
    <w:rsid w:val="00921EB4"/>
    <w:rsid w:val="00922104"/>
    <w:rsid w:val="009224DC"/>
    <w:rsid w:val="00923117"/>
    <w:rsid w:val="00923B7D"/>
    <w:rsid w:val="00923C3A"/>
    <w:rsid w:val="00923D90"/>
    <w:rsid w:val="00924239"/>
    <w:rsid w:val="009245B6"/>
    <w:rsid w:val="00924F21"/>
    <w:rsid w:val="00926464"/>
    <w:rsid w:val="0092663B"/>
    <w:rsid w:val="00926AA7"/>
    <w:rsid w:val="00927942"/>
    <w:rsid w:val="00927B57"/>
    <w:rsid w:val="00930163"/>
    <w:rsid w:val="0093045B"/>
    <w:rsid w:val="00930BF2"/>
    <w:rsid w:val="009313B7"/>
    <w:rsid w:val="009318FB"/>
    <w:rsid w:val="009319E5"/>
    <w:rsid w:val="00931A74"/>
    <w:rsid w:val="00932EC9"/>
    <w:rsid w:val="00933192"/>
    <w:rsid w:val="00933CFF"/>
    <w:rsid w:val="00933D09"/>
    <w:rsid w:val="00934073"/>
    <w:rsid w:val="009341E7"/>
    <w:rsid w:val="00934784"/>
    <w:rsid w:val="00935779"/>
    <w:rsid w:val="0093676A"/>
    <w:rsid w:val="0093676C"/>
    <w:rsid w:val="009369AA"/>
    <w:rsid w:val="009371BC"/>
    <w:rsid w:val="009373D7"/>
    <w:rsid w:val="00937524"/>
    <w:rsid w:val="00937782"/>
    <w:rsid w:val="0094034B"/>
    <w:rsid w:val="00940C2E"/>
    <w:rsid w:val="009415A9"/>
    <w:rsid w:val="009415AD"/>
    <w:rsid w:val="00941CA3"/>
    <w:rsid w:val="009421AD"/>
    <w:rsid w:val="00942500"/>
    <w:rsid w:val="00942702"/>
    <w:rsid w:val="00942884"/>
    <w:rsid w:val="00942EBD"/>
    <w:rsid w:val="00943464"/>
    <w:rsid w:val="00943B6B"/>
    <w:rsid w:val="00944EEB"/>
    <w:rsid w:val="00944FE4"/>
    <w:rsid w:val="0094507D"/>
    <w:rsid w:val="0094580A"/>
    <w:rsid w:val="00945A77"/>
    <w:rsid w:val="00945C07"/>
    <w:rsid w:val="009465F8"/>
    <w:rsid w:val="00946ED3"/>
    <w:rsid w:val="00947361"/>
    <w:rsid w:val="00947832"/>
    <w:rsid w:val="00950204"/>
    <w:rsid w:val="00950870"/>
    <w:rsid w:val="00950881"/>
    <w:rsid w:val="00950C44"/>
    <w:rsid w:val="0095109B"/>
    <w:rsid w:val="0095121E"/>
    <w:rsid w:val="00951328"/>
    <w:rsid w:val="00952B1A"/>
    <w:rsid w:val="00952EE7"/>
    <w:rsid w:val="00953438"/>
    <w:rsid w:val="00953E33"/>
    <w:rsid w:val="009548AA"/>
    <w:rsid w:val="00954921"/>
    <w:rsid w:val="00954CFA"/>
    <w:rsid w:val="00955092"/>
    <w:rsid w:val="00955890"/>
    <w:rsid w:val="00955FB5"/>
    <w:rsid w:val="0095628A"/>
    <w:rsid w:val="00956B17"/>
    <w:rsid w:val="00957BB6"/>
    <w:rsid w:val="009601D9"/>
    <w:rsid w:val="009603A6"/>
    <w:rsid w:val="009605AE"/>
    <w:rsid w:val="00960B69"/>
    <w:rsid w:val="00961DF9"/>
    <w:rsid w:val="0096226B"/>
    <w:rsid w:val="009626AC"/>
    <w:rsid w:val="00963113"/>
    <w:rsid w:val="0096328C"/>
    <w:rsid w:val="00963D68"/>
    <w:rsid w:val="0096482E"/>
    <w:rsid w:val="00964EB3"/>
    <w:rsid w:val="00966AA4"/>
    <w:rsid w:val="00967532"/>
    <w:rsid w:val="0096790E"/>
    <w:rsid w:val="00971609"/>
    <w:rsid w:val="009717DD"/>
    <w:rsid w:val="009718B5"/>
    <w:rsid w:val="00971B95"/>
    <w:rsid w:val="00972613"/>
    <w:rsid w:val="00972798"/>
    <w:rsid w:val="00973052"/>
    <w:rsid w:val="009737EA"/>
    <w:rsid w:val="0097448C"/>
    <w:rsid w:val="009747FD"/>
    <w:rsid w:val="00974F12"/>
    <w:rsid w:val="00975207"/>
    <w:rsid w:val="009757B5"/>
    <w:rsid w:val="009757E1"/>
    <w:rsid w:val="00975C80"/>
    <w:rsid w:val="0097616E"/>
    <w:rsid w:val="009763C2"/>
    <w:rsid w:val="009767A6"/>
    <w:rsid w:val="00976CE6"/>
    <w:rsid w:val="00976EC5"/>
    <w:rsid w:val="009773EE"/>
    <w:rsid w:val="00977A16"/>
    <w:rsid w:val="00977C4E"/>
    <w:rsid w:val="0098027F"/>
    <w:rsid w:val="009805C9"/>
    <w:rsid w:val="009809A7"/>
    <w:rsid w:val="00981712"/>
    <w:rsid w:val="00981818"/>
    <w:rsid w:val="00981D06"/>
    <w:rsid w:val="00981D25"/>
    <w:rsid w:val="00982153"/>
    <w:rsid w:val="00982645"/>
    <w:rsid w:val="00982685"/>
    <w:rsid w:val="00983966"/>
    <w:rsid w:val="00984242"/>
    <w:rsid w:val="00984275"/>
    <w:rsid w:val="00984AB6"/>
    <w:rsid w:val="00984FED"/>
    <w:rsid w:val="009854D6"/>
    <w:rsid w:val="00986F9B"/>
    <w:rsid w:val="00987890"/>
    <w:rsid w:val="00987AAB"/>
    <w:rsid w:val="00987C3A"/>
    <w:rsid w:val="00990DD1"/>
    <w:rsid w:val="00991CD0"/>
    <w:rsid w:val="00992381"/>
    <w:rsid w:val="00992AED"/>
    <w:rsid w:val="0099341A"/>
    <w:rsid w:val="0099441F"/>
    <w:rsid w:val="009944CA"/>
    <w:rsid w:val="00994C2D"/>
    <w:rsid w:val="00994E71"/>
    <w:rsid w:val="009951C9"/>
    <w:rsid w:val="00996316"/>
    <w:rsid w:val="009966D9"/>
    <w:rsid w:val="009966ED"/>
    <w:rsid w:val="009967CB"/>
    <w:rsid w:val="009970FD"/>
    <w:rsid w:val="00997629"/>
    <w:rsid w:val="009977DD"/>
    <w:rsid w:val="00997B0C"/>
    <w:rsid w:val="009A0C20"/>
    <w:rsid w:val="009A0CA2"/>
    <w:rsid w:val="009A0CE9"/>
    <w:rsid w:val="009A15F9"/>
    <w:rsid w:val="009A1720"/>
    <w:rsid w:val="009A1C6A"/>
    <w:rsid w:val="009A20EB"/>
    <w:rsid w:val="009A22FA"/>
    <w:rsid w:val="009A3175"/>
    <w:rsid w:val="009A3287"/>
    <w:rsid w:val="009A32C9"/>
    <w:rsid w:val="009A33BF"/>
    <w:rsid w:val="009A3688"/>
    <w:rsid w:val="009A403F"/>
    <w:rsid w:val="009A4107"/>
    <w:rsid w:val="009A41AB"/>
    <w:rsid w:val="009A4401"/>
    <w:rsid w:val="009A48D2"/>
    <w:rsid w:val="009A4A98"/>
    <w:rsid w:val="009A4CC1"/>
    <w:rsid w:val="009A5485"/>
    <w:rsid w:val="009A5525"/>
    <w:rsid w:val="009A5C60"/>
    <w:rsid w:val="009A62FB"/>
    <w:rsid w:val="009A6675"/>
    <w:rsid w:val="009A6D85"/>
    <w:rsid w:val="009A7E8F"/>
    <w:rsid w:val="009A7F02"/>
    <w:rsid w:val="009B0E7D"/>
    <w:rsid w:val="009B187D"/>
    <w:rsid w:val="009B1EDD"/>
    <w:rsid w:val="009B2223"/>
    <w:rsid w:val="009B2424"/>
    <w:rsid w:val="009B27AD"/>
    <w:rsid w:val="009B36BC"/>
    <w:rsid w:val="009B4634"/>
    <w:rsid w:val="009B575C"/>
    <w:rsid w:val="009B580E"/>
    <w:rsid w:val="009B61C8"/>
    <w:rsid w:val="009B6651"/>
    <w:rsid w:val="009B6796"/>
    <w:rsid w:val="009B684B"/>
    <w:rsid w:val="009B6899"/>
    <w:rsid w:val="009B7220"/>
    <w:rsid w:val="009B7607"/>
    <w:rsid w:val="009B7EC6"/>
    <w:rsid w:val="009C0621"/>
    <w:rsid w:val="009C0688"/>
    <w:rsid w:val="009C0D2E"/>
    <w:rsid w:val="009C119A"/>
    <w:rsid w:val="009C1754"/>
    <w:rsid w:val="009C1D90"/>
    <w:rsid w:val="009C2816"/>
    <w:rsid w:val="009C2E19"/>
    <w:rsid w:val="009C2EE4"/>
    <w:rsid w:val="009C35A6"/>
    <w:rsid w:val="009C37C8"/>
    <w:rsid w:val="009C3826"/>
    <w:rsid w:val="009C38E9"/>
    <w:rsid w:val="009C45F8"/>
    <w:rsid w:val="009C4934"/>
    <w:rsid w:val="009C4C5E"/>
    <w:rsid w:val="009C500F"/>
    <w:rsid w:val="009C5764"/>
    <w:rsid w:val="009C5E6A"/>
    <w:rsid w:val="009C5FE1"/>
    <w:rsid w:val="009C6AB3"/>
    <w:rsid w:val="009C6C13"/>
    <w:rsid w:val="009C7235"/>
    <w:rsid w:val="009C7CB6"/>
    <w:rsid w:val="009D03CD"/>
    <w:rsid w:val="009D0682"/>
    <w:rsid w:val="009D11B2"/>
    <w:rsid w:val="009D1262"/>
    <w:rsid w:val="009D1A4F"/>
    <w:rsid w:val="009D20ED"/>
    <w:rsid w:val="009D23DB"/>
    <w:rsid w:val="009D2D3C"/>
    <w:rsid w:val="009D2D93"/>
    <w:rsid w:val="009D51B3"/>
    <w:rsid w:val="009D5B1C"/>
    <w:rsid w:val="009D6251"/>
    <w:rsid w:val="009D6B6F"/>
    <w:rsid w:val="009D72A6"/>
    <w:rsid w:val="009D7BAD"/>
    <w:rsid w:val="009D7BD8"/>
    <w:rsid w:val="009E234F"/>
    <w:rsid w:val="009E24D3"/>
    <w:rsid w:val="009E3D92"/>
    <w:rsid w:val="009E3FA2"/>
    <w:rsid w:val="009E40BB"/>
    <w:rsid w:val="009E424E"/>
    <w:rsid w:val="009E4571"/>
    <w:rsid w:val="009E4C61"/>
    <w:rsid w:val="009E5287"/>
    <w:rsid w:val="009E5BAE"/>
    <w:rsid w:val="009E5C2D"/>
    <w:rsid w:val="009E67A8"/>
    <w:rsid w:val="009E6ABE"/>
    <w:rsid w:val="009E6B4B"/>
    <w:rsid w:val="009E6CAF"/>
    <w:rsid w:val="009E6CEF"/>
    <w:rsid w:val="009E700A"/>
    <w:rsid w:val="009E71F5"/>
    <w:rsid w:val="009E7EC6"/>
    <w:rsid w:val="009F0431"/>
    <w:rsid w:val="009F1336"/>
    <w:rsid w:val="009F1373"/>
    <w:rsid w:val="009F14E2"/>
    <w:rsid w:val="009F1CE2"/>
    <w:rsid w:val="009F2B64"/>
    <w:rsid w:val="009F343B"/>
    <w:rsid w:val="009F383F"/>
    <w:rsid w:val="009F3A5F"/>
    <w:rsid w:val="009F3AEA"/>
    <w:rsid w:val="009F3B49"/>
    <w:rsid w:val="009F417E"/>
    <w:rsid w:val="009F4590"/>
    <w:rsid w:val="009F45E9"/>
    <w:rsid w:val="009F496F"/>
    <w:rsid w:val="009F5B91"/>
    <w:rsid w:val="009F5F36"/>
    <w:rsid w:val="009F66B0"/>
    <w:rsid w:val="009F7FE4"/>
    <w:rsid w:val="00A00D35"/>
    <w:rsid w:val="00A013AC"/>
    <w:rsid w:val="00A013D2"/>
    <w:rsid w:val="00A01668"/>
    <w:rsid w:val="00A01A05"/>
    <w:rsid w:val="00A01A0B"/>
    <w:rsid w:val="00A01F3B"/>
    <w:rsid w:val="00A02002"/>
    <w:rsid w:val="00A03133"/>
    <w:rsid w:val="00A0329A"/>
    <w:rsid w:val="00A0341B"/>
    <w:rsid w:val="00A0358A"/>
    <w:rsid w:val="00A03627"/>
    <w:rsid w:val="00A0362E"/>
    <w:rsid w:val="00A03D82"/>
    <w:rsid w:val="00A0401A"/>
    <w:rsid w:val="00A04372"/>
    <w:rsid w:val="00A04E2A"/>
    <w:rsid w:val="00A0510B"/>
    <w:rsid w:val="00A054AA"/>
    <w:rsid w:val="00A05757"/>
    <w:rsid w:val="00A057C0"/>
    <w:rsid w:val="00A05E4C"/>
    <w:rsid w:val="00A0728D"/>
    <w:rsid w:val="00A072CE"/>
    <w:rsid w:val="00A07467"/>
    <w:rsid w:val="00A077FA"/>
    <w:rsid w:val="00A100BF"/>
    <w:rsid w:val="00A1010E"/>
    <w:rsid w:val="00A102D5"/>
    <w:rsid w:val="00A11197"/>
    <w:rsid w:val="00A113D8"/>
    <w:rsid w:val="00A11974"/>
    <w:rsid w:val="00A1212C"/>
    <w:rsid w:val="00A1232C"/>
    <w:rsid w:val="00A12C23"/>
    <w:rsid w:val="00A13085"/>
    <w:rsid w:val="00A13717"/>
    <w:rsid w:val="00A13947"/>
    <w:rsid w:val="00A151B4"/>
    <w:rsid w:val="00A1551C"/>
    <w:rsid w:val="00A15F70"/>
    <w:rsid w:val="00A16205"/>
    <w:rsid w:val="00A164C2"/>
    <w:rsid w:val="00A16668"/>
    <w:rsid w:val="00A166B7"/>
    <w:rsid w:val="00A17008"/>
    <w:rsid w:val="00A1732E"/>
    <w:rsid w:val="00A17707"/>
    <w:rsid w:val="00A177BD"/>
    <w:rsid w:val="00A17BB1"/>
    <w:rsid w:val="00A17C45"/>
    <w:rsid w:val="00A20180"/>
    <w:rsid w:val="00A213E4"/>
    <w:rsid w:val="00A21693"/>
    <w:rsid w:val="00A21F08"/>
    <w:rsid w:val="00A22E33"/>
    <w:rsid w:val="00A243B2"/>
    <w:rsid w:val="00A24A0D"/>
    <w:rsid w:val="00A25213"/>
    <w:rsid w:val="00A25350"/>
    <w:rsid w:val="00A25B0C"/>
    <w:rsid w:val="00A25D40"/>
    <w:rsid w:val="00A26C40"/>
    <w:rsid w:val="00A26D09"/>
    <w:rsid w:val="00A27AB2"/>
    <w:rsid w:val="00A30101"/>
    <w:rsid w:val="00A31228"/>
    <w:rsid w:val="00A317E0"/>
    <w:rsid w:val="00A3215B"/>
    <w:rsid w:val="00A323F9"/>
    <w:rsid w:val="00A32508"/>
    <w:rsid w:val="00A32564"/>
    <w:rsid w:val="00A32815"/>
    <w:rsid w:val="00A32BF3"/>
    <w:rsid w:val="00A3306A"/>
    <w:rsid w:val="00A33A41"/>
    <w:rsid w:val="00A33E8E"/>
    <w:rsid w:val="00A34697"/>
    <w:rsid w:val="00A34826"/>
    <w:rsid w:val="00A3489C"/>
    <w:rsid w:val="00A34A1D"/>
    <w:rsid w:val="00A34FEE"/>
    <w:rsid w:val="00A35279"/>
    <w:rsid w:val="00A35AF3"/>
    <w:rsid w:val="00A35BD7"/>
    <w:rsid w:val="00A35CEE"/>
    <w:rsid w:val="00A3661C"/>
    <w:rsid w:val="00A36BDD"/>
    <w:rsid w:val="00A36FEA"/>
    <w:rsid w:val="00A372EF"/>
    <w:rsid w:val="00A373AB"/>
    <w:rsid w:val="00A378DF"/>
    <w:rsid w:val="00A37C76"/>
    <w:rsid w:val="00A4003E"/>
    <w:rsid w:val="00A40A0D"/>
    <w:rsid w:val="00A40E34"/>
    <w:rsid w:val="00A41E69"/>
    <w:rsid w:val="00A4289F"/>
    <w:rsid w:val="00A42D4E"/>
    <w:rsid w:val="00A42E9E"/>
    <w:rsid w:val="00A435FD"/>
    <w:rsid w:val="00A440DD"/>
    <w:rsid w:val="00A45885"/>
    <w:rsid w:val="00A45D8F"/>
    <w:rsid w:val="00A465EF"/>
    <w:rsid w:val="00A46D34"/>
    <w:rsid w:val="00A475CC"/>
    <w:rsid w:val="00A47821"/>
    <w:rsid w:val="00A47EBE"/>
    <w:rsid w:val="00A5116B"/>
    <w:rsid w:val="00A51CAF"/>
    <w:rsid w:val="00A520EF"/>
    <w:rsid w:val="00A524B4"/>
    <w:rsid w:val="00A53416"/>
    <w:rsid w:val="00A536CD"/>
    <w:rsid w:val="00A537AD"/>
    <w:rsid w:val="00A53853"/>
    <w:rsid w:val="00A53931"/>
    <w:rsid w:val="00A53AAC"/>
    <w:rsid w:val="00A546BD"/>
    <w:rsid w:val="00A54CE1"/>
    <w:rsid w:val="00A54DD0"/>
    <w:rsid w:val="00A54EC5"/>
    <w:rsid w:val="00A559B6"/>
    <w:rsid w:val="00A564C7"/>
    <w:rsid w:val="00A57461"/>
    <w:rsid w:val="00A57533"/>
    <w:rsid w:val="00A60155"/>
    <w:rsid w:val="00A6039D"/>
    <w:rsid w:val="00A6098B"/>
    <w:rsid w:val="00A60CFB"/>
    <w:rsid w:val="00A6123C"/>
    <w:rsid w:val="00A6171A"/>
    <w:rsid w:val="00A61CE7"/>
    <w:rsid w:val="00A6239F"/>
    <w:rsid w:val="00A62740"/>
    <w:rsid w:val="00A62DCA"/>
    <w:rsid w:val="00A639D1"/>
    <w:rsid w:val="00A639E8"/>
    <w:rsid w:val="00A63A1A"/>
    <w:rsid w:val="00A63AE4"/>
    <w:rsid w:val="00A649C4"/>
    <w:rsid w:val="00A6515B"/>
    <w:rsid w:val="00A658B2"/>
    <w:rsid w:val="00A65D39"/>
    <w:rsid w:val="00A65DCC"/>
    <w:rsid w:val="00A65EA2"/>
    <w:rsid w:val="00A6600E"/>
    <w:rsid w:val="00A665BD"/>
    <w:rsid w:val="00A666BA"/>
    <w:rsid w:val="00A6686C"/>
    <w:rsid w:val="00A6699D"/>
    <w:rsid w:val="00A66CD4"/>
    <w:rsid w:val="00A67177"/>
    <w:rsid w:val="00A67580"/>
    <w:rsid w:val="00A677EF"/>
    <w:rsid w:val="00A67844"/>
    <w:rsid w:val="00A67AB7"/>
    <w:rsid w:val="00A67B41"/>
    <w:rsid w:val="00A67B6F"/>
    <w:rsid w:val="00A7019A"/>
    <w:rsid w:val="00A705DB"/>
    <w:rsid w:val="00A70844"/>
    <w:rsid w:val="00A70A51"/>
    <w:rsid w:val="00A70D30"/>
    <w:rsid w:val="00A71751"/>
    <w:rsid w:val="00A717C9"/>
    <w:rsid w:val="00A7183C"/>
    <w:rsid w:val="00A71DF0"/>
    <w:rsid w:val="00A7317E"/>
    <w:rsid w:val="00A731AA"/>
    <w:rsid w:val="00A7396A"/>
    <w:rsid w:val="00A73AA1"/>
    <w:rsid w:val="00A73D5E"/>
    <w:rsid w:val="00A743F8"/>
    <w:rsid w:val="00A74737"/>
    <w:rsid w:val="00A7481F"/>
    <w:rsid w:val="00A74D6D"/>
    <w:rsid w:val="00A74F2F"/>
    <w:rsid w:val="00A74FEE"/>
    <w:rsid w:val="00A770A7"/>
    <w:rsid w:val="00A779F5"/>
    <w:rsid w:val="00A802FF"/>
    <w:rsid w:val="00A80438"/>
    <w:rsid w:val="00A808F6"/>
    <w:rsid w:val="00A80D5F"/>
    <w:rsid w:val="00A8162C"/>
    <w:rsid w:val="00A81E48"/>
    <w:rsid w:val="00A82A30"/>
    <w:rsid w:val="00A84002"/>
    <w:rsid w:val="00A84908"/>
    <w:rsid w:val="00A84D35"/>
    <w:rsid w:val="00A85456"/>
    <w:rsid w:val="00A854FF"/>
    <w:rsid w:val="00A8577E"/>
    <w:rsid w:val="00A859D5"/>
    <w:rsid w:val="00A87B83"/>
    <w:rsid w:val="00A90CC0"/>
    <w:rsid w:val="00A911E0"/>
    <w:rsid w:val="00A91511"/>
    <w:rsid w:val="00A91539"/>
    <w:rsid w:val="00A91CDB"/>
    <w:rsid w:val="00A93828"/>
    <w:rsid w:val="00A94BC4"/>
    <w:rsid w:val="00A95074"/>
    <w:rsid w:val="00A957F4"/>
    <w:rsid w:val="00A96A12"/>
    <w:rsid w:val="00A96D8E"/>
    <w:rsid w:val="00A96EF9"/>
    <w:rsid w:val="00A97D95"/>
    <w:rsid w:val="00A97DC0"/>
    <w:rsid w:val="00AA0490"/>
    <w:rsid w:val="00AA0549"/>
    <w:rsid w:val="00AA098F"/>
    <w:rsid w:val="00AA0A91"/>
    <w:rsid w:val="00AA0D51"/>
    <w:rsid w:val="00AA0EEE"/>
    <w:rsid w:val="00AA135D"/>
    <w:rsid w:val="00AA147F"/>
    <w:rsid w:val="00AA1B83"/>
    <w:rsid w:val="00AA1F77"/>
    <w:rsid w:val="00AA28FF"/>
    <w:rsid w:val="00AA2DCE"/>
    <w:rsid w:val="00AA2F02"/>
    <w:rsid w:val="00AA3BFD"/>
    <w:rsid w:val="00AA3CB8"/>
    <w:rsid w:val="00AA4279"/>
    <w:rsid w:val="00AA5A82"/>
    <w:rsid w:val="00AA5DB2"/>
    <w:rsid w:val="00AA5ED5"/>
    <w:rsid w:val="00AA61B7"/>
    <w:rsid w:val="00AA634B"/>
    <w:rsid w:val="00AA7419"/>
    <w:rsid w:val="00AA74B5"/>
    <w:rsid w:val="00AB10C9"/>
    <w:rsid w:val="00AB1142"/>
    <w:rsid w:val="00AB1671"/>
    <w:rsid w:val="00AB1695"/>
    <w:rsid w:val="00AB198F"/>
    <w:rsid w:val="00AB27FD"/>
    <w:rsid w:val="00AB2C57"/>
    <w:rsid w:val="00AB3570"/>
    <w:rsid w:val="00AB4272"/>
    <w:rsid w:val="00AB468C"/>
    <w:rsid w:val="00AB4862"/>
    <w:rsid w:val="00AB4CD3"/>
    <w:rsid w:val="00AB50CC"/>
    <w:rsid w:val="00AB556F"/>
    <w:rsid w:val="00AB566C"/>
    <w:rsid w:val="00AB57B3"/>
    <w:rsid w:val="00AB5E35"/>
    <w:rsid w:val="00AB6116"/>
    <w:rsid w:val="00AB620F"/>
    <w:rsid w:val="00AB67DE"/>
    <w:rsid w:val="00AB6BC1"/>
    <w:rsid w:val="00AB7450"/>
    <w:rsid w:val="00AB7989"/>
    <w:rsid w:val="00AB7E9C"/>
    <w:rsid w:val="00AC005D"/>
    <w:rsid w:val="00AC0255"/>
    <w:rsid w:val="00AC103C"/>
    <w:rsid w:val="00AC1286"/>
    <w:rsid w:val="00AC13E4"/>
    <w:rsid w:val="00AC15C7"/>
    <w:rsid w:val="00AC1D14"/>
    <w:rsid w:val="00AC2CE0"/>
    <w:rsid w:val="00AC3112"/>
    <w:rsid w:val="00AC335C"/>
    <w:rsid w:val="00AC3688"/>
    <w:rsid w:val="00AC3AE3"/>
    <w:rsid w:val="00AC4366"/>
    <w:rsid w:val="00AC4512"/>
    <w:rsid w:val="00AC465E"/>
    <w:rsid w:val="00AC4C77"/>
    <w:rsid w:val="00AC4DEE"/>
    <w:rsid w:val="00AC4FDC"/>
    <w:rsid w:val="00AC5CD5"/>
    <w:rsid w:val="00AD0CC0"/>
    <w:rsid w:val="00AD10FA"/>
    <w:rsid w:val="00AD1149"/>
    <w:rsid w:val="00AD1935"/>
    <w:rsid w:val="00AD1BDD"/>
    <w:rsid w:val="00AD1E64"/>
    <w:rsid w:val="00AD2D2E"/>
    <w:rsid w:val="00AD30BB"/>
    <w:rsid w:val="00AD3221"/>
    <w:rsid w:val="00AD3D44"/>
    <w:rsid w:val="00AD43D2"/>
    <w:rsid w:val="00AD4AF2"/>
    <w:rsid w:val="00AD5133"/>
    <w:rsid w:val="00AD594A"/>
    <w:rsid w:val="00AD6708"/>
    <w:rsid w:val="00AD74BA"/>
    <w:rsid w:val="00AD7A7C"/>
    <w:rsid w:val="00AE1220"/>
    <w:rsid w:val="00AE1322"/>
    <w:rsid w:val="00AE1785"/>
    <w:rsid w:val="00AE27DA"/>
    <w:rsid w:val="00AE27EA"/>
    <w:rsid w:val="00AE2852"/>
    <w:rsid w:val="00AE2867"/>
    <w:rsid w:val="00AE2A11"/>
    <w:rsid w:val="00AE2ABB"/>
    <w:rsid w:val="00AE2DBB"/>
    <w:rsid w:val="00AE3592"/>
    <w:rsid w:val="00AE4A8A"/>
    <w:rsid w:val="00AE52DE"/>
    <w:rsid w:val="00AE6252"/>
    <w:rsid w:val="00AE731E"/>
    <w:rsid w:val="00AF02EF"/>
    <w:rsid w:val="00AF07D9"/>
    <w:rsid w:val="00AF0B5D"/>
    <w:rsid w:val="00AF0E72"/>
    <w:rsid w:val="00AF10A2"/>
    <w:rsid w:val="00AF10CE"/>
    <w:rsid w:val="00AF119B"/>
    <w:rsid w:val="00AF12F1"/>
    <w:rsid w:val="00AF1BFC"/>
    <w:rsid w:val="00AF1DAC"/>
    <w:rsid w:val="00AF317C"/>
    <w:rsid w:val="00AF4B3D"/>
    <w:rsid w:val="00AF4C53"/>
    <w:rsid w:val="00AF5D38"/>
    <w:rsid w:val="00AF65C5"/>
    <w:rsid w:val="00AF7C9F"/>
    <w:rsid w:val="00B00C49"/>
    <w:rsid w:val="00B00E23"/>
    <w:rsid w:val="00B0104E"/>
    <w:rsid w:val="00B011C7"/>
    <w:rsid w:val="00B01298"/>
    <w:rsid w:val="00B01392"/>
    <w:rsid w:val="00B016C6"/>
    <w:rsid w:val="00B0198E"/>
    <w:rsid w:val="00B027F0"/>
    <w:rsid w:val="00B02989"/>
    <w:rsid w:val="00B02B76"/>
    <w:rsid w:val="00B02C76"/>
    <w:rsid w:val="00B02FA8"/>
    <w:rsid w:val="00B03270"/>
    <w:rsid w:val="00B03544"/>
    <w:rsid w:val="00B03546"/>
    <w:rsid w:val="00B04144"/>
    <w:rsid w:val="00B042FA"/>
    <w:rsid w:val="00B047AC"/>
    <w:rsid w:val="00B0480C"/>
    <w:rsid w:val="00B04BF6"/>
    <w:rsid w:val="00B05350"/>
    <w:rsid w:val="00B05485"/>
    <w:rsid w:val="00B05B96"/>
    <w:rsid w:val="00B0721C"/>
    <w:rsid w:val="00B07790"/>
    <w:rsid w:val="00B07E12"/>
    <w:rsid w:val="00B11029"/>
    <w:rsid w:val="00B11435"/>
    <w:rsid w:val="00B11D6C"/>
    <w:rsid w:val="00B125AF"/>
    <w:rsid w:val="00B13288"/>
    <w:rsid w:val="00B13A09"/>
    <w:rsid w:val="00B13AD8"/>
    <w:rsid w:val="00B14373"/>
    <w:rsid w:val="00B14528"/>
    <w:rsid w:val="00B14C48"/>
    <w:rsid w:val="00B14D59"/>
    <w:rsid w:val="00B15489"/>
    <w:rsid w:val="00B1550D"/>
    <w:rsid w:val="00B157B5"/>
    <w:rsid w:val="00B15D0F"/>
    <w:rsid w:val="00B1676A"/>
    <w:rsid w:val="00B16FCF"/>
    <w:rsid w:val="00B177FD"/>
    <w:rsid w:val="00B200E0"/>
    <w:rsid w:val="00B2071D"/>
    <w:rsid w:val="00B20F08"/>
    <w:rsid w:val="00B21C75"/>
    <w:rsid w:val="00B220A0"/>
    <w:rsid w:val="00B22502"/>
    <w:rsid w:val="00B22736"/>
    <w:rsid w:val="00B22B4E"/>
    <w:rsid w:val="00B2334F"/>
    <w:rsid w:val="00B2459D"/>
    <w:rsid w:val="00B2468E"/>
    <w:rsid w:val="00B259B3"/>
    <w:rsid w:val="00B25CF6"/>
    <w:rsid w:val="00B26DD0"/>
    <w:rsid w:val="00B26EAC"/>
    <w:rsid w:val="00B2732D"/>
    <w:rsid w:val="00B277D4"/>
    <w:rsid w:val="00B27C06"/>
    <w:rsid w:val="00B27C68"/>
    <w:rsid w:val="00B27CC8"/>
    <w:rsid w:val="00B30143"/>
    <w:rsid w:val="00B302CC"/>
    <w:rsid w:val="00B30BF6"/>
    <w:rsid w:val="00B31491"/>
    <w:rsid w:val="00B317C2"/>
    <w:rsid w:val="00B31823"/>
    <w:rsid w:val="00B32232"/>
    <w:rsid w:val="00B32382"/>
    <w:rsid w:val="00B33080"/>
    <w:rsid w:val="00B3349F"/>
    <w:rsid w:val="00B33BE2"/>
    <w:rsid w:val="00B3455F"/>
    <w:rsid w:val="00B34946"/>
    <w:rsid w:val="00B3495A"/>
    <w:rsid w:val="00B34A7E"/>
    <w:rsid w:val="00B35883"/>
    <w:rsid w:val="00B35D5D"/>
    <w:rsid w:val="00B36885"/>
    <w:rsid w:val="00B36DCF"/>
    <w:rsid w:val="00B36F53"/>
    <w:rsid w:val="00B370B4"/>
    <w:rsid w:val="00B3767C"/>
    <w:rsid w:val="00B40272"/>
    <w:rsid w:val="00B41B28"/>
    <w:rsid w:val="00B41BF4"/>
    <w:rsid w:val="00B4209E"/>
    <w:rsid w:val="00B425EF"/>
    <w:rsid w:val="00B42764"/>
    <w:rsid w:val="00B43847"/>
    <w:rsid w:val="00B44160"/>
    <w:rsid w:val="00B44261"/>
    <w:rsid w:val="00B44363"/>
    <w:rsid w:val="00B44682"/>
    <w:rsid w:val="00B44DED"/>
    <w:rsid w:val="00B44DF3"/>
    <w:rsid w:val="00B4516D"/>
    <w:rsid w:val="00B455F1"/>
    <w:rsid w:val="00B46061"/>
    <w:rsid w:val="00B46AF7"/>
    <w:rsid w:val="00B46D07"/>
    <w:rsid w:val="00B502D3"/>
    <w:rsid w:val="00B507D9"/>
    <w:rsid w:val="00B51116"/>
    <w:rsid w:val="00B513C4"/>
    <w:rsid w:val="00B5169B"/>
    <w:rsid w:val="00B5182E"/>
    <w:rsid w:val="00B51883"/>
    <w:rsid w:val="00B5200A"/>
    <w:rsid w:val="00B5219E"/>
    <w:rsid w:val="00B5249D"/>
    <w:rsid w:val="00B525AB"/>
    <w:rsid w:val="00B52F85"/>
    <w:rsid w:val="00B5323A"/>
    <w:rsid w:val="00B53251"/>
    <w:rsid w:val="00B5513B"/>
    <w:rsid w:val="00B559AC"/>
    <w:rsid w:val="00B55BAE"/>
    <w:rsid w:val="00B55C05"/>
    <w:rsid w:val="00B56274"/>
    <w:rsid w:val="00B56DAA"/>
    <w:rsid w:val="00B57283"/>
    <w:rsid w:val="00B57DA9"/>
    <w:rsid w:val="00B6000B"/>
    <w:rsid w:val="00B6124F"/>
    <w:rsid w:val="00B61C22"/>
    <w:rsid w:val="00B62BFD"/>
    <w:rsid w:val="00B62D52"/>
    <w:rsid w:val="00B63425"/>
    <w:rsid w:val="00B63AF5"/>
    <w:rsid w:val="00B63E13"/>
    <w:rsid w:val="00B646A1"/>
    <w:rsid w:val="00B6472D"/>
    <w:rsid w:val="00B64795"/>
    <w:rsid w:val="00B64A33"/>
    <w:rsid w:val="00B64BD6"/>
    <w:rsid w:val="00B652F1"/>
    <w:rsid w:val="00B654FD"/>
    <w:rsid w:val="00B656AA"/>
    <w:rsid w:val="00B65B54"/>
    <w:rsid w:val="00B65F55"/>
    <w:rsid w:val="00B65FA7"/>
    <w:rsid w:val="00B66551"/>
    <w:rsid w:val="00B66EDC"/>
    <w:rsid w:val="00B67427"/>
    <w:rsid w:val="00B700C6"/>
    <w:rsid w:val="00B706FA"/>
    <w:rsid w:val="00B712BC"/>
    <w:rsid w:val="00B716E0"/>
    <w:rsid w:val="00B72355"/>
    <w:rsid w:val="00B7248F"/>
    <w:rsid w:val="00B72CA6"/>
    <w:rsid w:val="00B73020"/>
    <w:rsid w:val="00B73A8D"/>
    <w:rsid w:val="00B73C28"/>
    <w:rsid w:val="00B73E08"/>
    <w:rsid w:val="00B76080"/>
    <w:rsid w:val="00B7621F"/>
    <w:rsid w:val="00B76A16"/>
    <w:rsid w:val="00B77673"/>
    <w:rsid w:val="00B80796"/>
    <w:rsid w:val="00B80D4B"/>
    <w:rsid w:val="00B810B5"/>
    <w:rsid w:val="00B81842"/>
    <w:rsid w:val="00B81BC8"/>
    <w:rsid w:val="00B8258A"/>
    <w:rsid w:val="00B826D5"/>
    <w:rsid w:val="00B828E8"/>
    <w:rsid w:val="00B82A12"/>
    <w:rsid w:val="00B83819"/>
    <w:rsid w:val="00B84106"/>
    <w:rsid w:val="00B84D6C"/>
    <w:rsid w:val="00B8514E"/>
    <w:rsid w:val="00B85153"/>
    <w:rsid w:val="00B8573A"/>
    <w:rsid w:val="00B8594A"/>
    <w:rsid w:val="00B85CE3"/>
    <w:rsid w:val="00B86628"/>
    <w:rsid w:val="00B86A92"/>
    <w:rsid w:val="00B86BD5"/>
    <w:rsid w:val="00B86E02"/>
    <w:rsid w:val="00B87F82"/>
    <w:rsid w:val="00B90571"/>
    <w:rsid w:val="00B90A02"/>
    <w:rsid w:val="00B90A94"/>
    <w:rsid w:val="00B90AE0"/>
    <w:rsid w:val="00B9194A"/>
    <w:rsid w:val="00B9233B"/>
    <w:rsid w:val="00B926B0"/>
    <w:rsid w:val="00B92E14"/>
    <w:rsid w:val="00B930D2"/>
    <w:rsid w:val="00B93720"/>
    <w:rsid w:val="00B93B71"/>
    <w:rsid w:val="00B9417C"/>
    <w:rsid w:val="00B94285"/>
    <w:rsid w:val="00B94C8E"/>
    <w:rsid w:val="00B955C4"/>
    <w:rsid w:val="00B956D3"/>
    <w:rsid w:val="00B95885"/>
    <w:rsid w:val="00B96185"/>
    <w:rsid w:val="00B964E3"/>
    <w:rsid w:val="00B965C5"/>
    <w:rsid w:val="00B9670A"/>
    <w:rsid w:val="00B9688F"/>
    <w:rsid w:val="00B96A20"/>
    <w:rsid w:val="00B9711A"/>
    <w:rsid w:val="00B97C68"/>
    <w:rsid w:val="00B97D96"/>
    <w:rsid w:val="00BA00FD"/>
    <w:rsid w:val="00BA043B"/>
    <w:rsid w:val="00BA0851"/>
    <w:rsid w:val="00BA0C8B"/>
    <w:rsid w:val="00BA0F61"/>
    <w:rsid w:val="00BA18C4"/>
    <w:rsid w:val="00BA18C5"/>
    <w:rsid w:val="00BA2236"/>
    <w:rsid w:val="00BA2A2C"/>
    <w:rsid w:val="00BA34A9"/>
    <w:rsid w:val="00BA3519"/>
    <w:rsid w:val="00BA38C6"/>
    <w:rsid w:val="00BA60BD"/>
    <w:rsid w:val="00BA69B8"/>
    <w:rsid w:val="00BA6EC5"/>
    <w:rsid w:val="00BA72C0"/>
    <w:rsid w:val="00BB03A7"/>
    <w:rsid w:val="00BB08AC"/>
    <w:rsid w:val="00BB0A4E"/>
    <w:rsid w:val="00BB0AF8"/>
    <w:rsid w:val="00BB0C62"/>
    <w:rsid w:val="00BB10A2"/>
    <w:rsid w:val="00BB135E"/>
    <w:rsid w:val="00BB1F8E"/>
    <w:rsid w:val="00BB242B"/>
    <w:rsid w:val="00BB2647"/>
    <w:rsid w:val="00BB2E37"/>
    <w:rsid w:val="00BB3AA4"/>
    <w:rsid w:val="00BB4388"/>
    <w:rsid w:val="00BB4F11"/>
    <w:rsid w:val="00BB5032"/>
    <w:rsid w:val="00BB52EB"/>
    <w:rsid w:val="00BB5A6A"/>
    <w:rsid w:val="00BB5E3A"/>
    <w:rsid w:val="00BB64B5"/>
    <w:rsid w:val="00BB64CD"/>
    <w:rsid w:val="00BB664B"/>
    <w:rsid w:val="00BB7339"/>
    <w:rsid w:val="00BB77CB"/>
    <w:rsid w:val="00BB7B76"/>
    <w:rsid w:val="00BC0C34"/>
    <w:rsid w:val="00BC0FD2"/>
    <w:rsid w:val="00BC1331"/>
    <w:rsid w:val="00BC1874"/>
    <w:rsid w:val="00BC1DF4"/>
    <w:rsid w:val="00BC2449"/>
    <w:rsid w:val="00BC31EE"/>
    <w:rsid w:val="00BC3379"/>
    <w:rsid w:val="00BC3650"/>
    <w:rsid w:val="00BC3B97"/>
    <w:rsid w:val="00BC42E0"/>
    <w:rsid w:val="00BC4AFD"/>
    <w:rsid w:val="00BC5C26"/>
    <w:rsid w:val="00BC6A61"/>
    <w:rsid w:val="00BC6A6D"/>
    <w:rsid w:val="00BC6DFD"/>
    <w:rsid w:val="00BC7D44"/>
    <w:rsid w:val="00BD015F"/>
    <w:rsid w:val="00BD04D1"/>
    <w:rsid w:val="00BD112D"/>
    <w:rsid w:val="00BD15AD"/>
    <w:rsid w:val="00BD23AF"/>
    <w:rsid w:val="00BD2823"/>
    <w:rsid w:val="00BD2A17"/>
    <w:rsid w:val="00BD2CEE"/>
    <w:rsid w:val="00BD3A82"/>
    <w:rsid w:val="00BD3FF4"/>
    <w:rsid w:val="00BD4053"/>
    <w:rsid w:val="00BD40A9"/>
    <w:rsid w:val="00BD4118"/>
    <w:rsid w:val="00BD47A0"/>
    <w:rsid w:val="00BD53B9"/>
    <w:rsid w:val="00BD5FC0"/>
    <w:rsid w:val="00BD66DB"/>
    <w:rsid w:val="00BD6827"/>
    <w:rsid w:val="00BD6850"/>
    <w:rsid w:val="00BD6B39"/>
    <w:rsid w:val="00BD72DE"/>
    <w:rsid w:val="00BD7E39"/>
    <w:rsid w:val="00BE08D0"/>
    <w:rsid w:val="00BE13F2"/>
    <w:rsid w:val="00BE1653"/>
    <w:rsid w:val="00BE170A"/>
    <w:rsid w:val="00BE1C73"/>
    <w:rsid w:val="00BE23ED"/>
    <w:rsid w:val="00BE2C6C"/>
    <w:rsid w:val="00BE2F5A"/>
    <w:rsid w:val="00BE3244"/>
    <w:rsid w:val="00BE329F"/>
    <w:rsid w:val="00BE39C4"/>
    <w:rsid w:val="00BE3AA7"/>
    <w:rsid w:val="00BE49EA"/>
    <w:rsid w:val="00BE4A58"/>
    <w:rsid w:val="00BE6301"/>
    <w:rsid w:val="00BE645E"/>
    <w:rsid w:val="00BE712D"/>
    <w:rsid w:val="00BE73A1"/>
    <w:rsid w:val="00BF0AF4"/>
    <w:rsid w:val="00BF0BE1"/>
    <w:rsid w:val="00BF0C43"/>
    <w:rsid w:val="00BF1816"/>
    <w:rsid w:val="00BF1B7A"/>
    <w:rsid w:val="00BF1E56"/>
    <w:rsid w:val="00BF271B"/>
    <w:rsid w:val="00BF2A62"/>
    <w:rsid w:val="00BF2DE5"/>
    <w:rsid w:val="00BF371F"/>
    <w:rsid w:val="00BF387B"/>
    <w:rsid w:val="00BF4016"/>
    <w:rsid w:val="00BF4221"/>
    <w:rsid w:val="00BF44A4"/>
    <w:rsid w:val="00BF4803"/>
    <w:rsid w:val="00BF487C"/>
    <w:rsid w:val="00BF4890"/>
    <w:rsid w:val="00BF501B"/>
    <w:rsid w:val="00BF56D0"/>
    <w:rsid w:val="00BF5BBC"/>
    <w:rsid w:val="00BF678E"/>
    <w:rsid w:val="00BF70BE"/>
    <w:rsid w:val="00BF7691"/>
    <w:rsid w:val="00BF788E"/>
    <w:rsid w:val="00BF7A83"/>
    <w:rsid w:val="00BF7BEE"/>
    <w:rsid w:val="00C00E2A"/>
    <w:rsid w:val="00C034E9"/>
    <w:rsid w:val="00C039AA"/>
    <w:rsid w:val="00C03B86"/>
    <w:rsid w:val="00C03C72"/>
    <w:rsid w:val="00C03DDF"/>
    <w:rsid w:val="00C04470"/>
    <w:rsid w:val="00C0491F"/>
    <w:rsid w:val="00C04C96"/>
    <w:rsid w:val="00C04CBB"/>
    <w:rsid w:val="00C0540E"/>
    <w:rsid w:val="00C0558E"/>
    <w:rsid w:val="00C0581D"/>
    <w:rsid w:val="00C05824"/>
    <w:rsid w:val="00C05EFF"/>
    <w:rsid w:val="00C0629C"/>
    <w:rsid w:val="00C0653E"/>
    <w:rsid w:val="00C067F0"/>
    <w:rsid w:val="00C07390"/>
    <w:rsid w:val="00C07E64"/>
    <w:rsid w:val="00C07F95"/>
    <w:rsid w:val="00C101EA"/>
    <w:rsid w:val="00C107FD"/>
    <w:rsid w:val="00C10FEF"/>
    <w:rsid w:val="00C1121E"/>
    <w:rsid w:val="00C112C7"/>
    <w:rsid w:val="00C11860"/>
    <w:rsid w:val="00C11917"/>
    <w:rsid w:val="00C1206A"/>
    <w:rsid w:val="00C12866"/>
    <w:rsid w:val="00C13099"/>
    <w:rsid w:val="00C13A9E"/>
    <w:rsid w:val="00C13C26"/>
    <w:rsid w:val="00C13DB4"/>
    <w:rsid w:val="00C142FF"/>
    <w:rsid w:val="00C14641"/>
    <w:rsid w:val="00C14889"/>
    <w:rsid w:val="00C14CAD"/>
    <w:rsid w:val="00C15860"/>
    <w:rsid w:val="00C15E08"/>
    <w:rsid w:val="00C16375"/>
    <w:rsid w:val="00C163E6"/>
    <w:rsid w:val="00C16545"/>
    <w:rsid w:val="00C168C1"/>
    <w:rsid w:val="00C16C42"/>
    <w:rsid w:val="00C16CD9"/>
    <w:rsid w:val="00C16E87"/>
    <w:rsid w:val="00C16EA7"/>
    <w:rsid w:val="00C1795F"/>
    <w:rsid w:val="00C17B5D"/>
    <w:rsid w:val="00C17C2B"/>
    <w:rsid w:val="00C200A3"/>
    <w:rsid w:val="00C201B8"/>
    <w:rsid w:val="00C20457"/>
    <w:rsid w:val="00C2089F"/>
    <w:rsid w:val="00C20E43"/>
    <w:rsid w:val="00C21975"/>
    <w:rsid w:val="00C21AD0"/>
    <w:rsid w:val="00C21B42"/>
    <w:rsid w:val="00C21E65"/>
    <w:rsid w:val="00C2224B"/>
    <w:rsid w:val="00C2239F"/>
    <w:rsid w:val="00C22AAC"/>
    <w:rsid w:val="00C22C9A"/>
    <w:rsid w:val="00C24314"/>
    <w:rsid w:val="00C24363"/>
    <w:rsid w:val="00C24413"/>
    <w:rsid w:val="00C24453"/>
    <w:rsid w:val="00C24C9C"/>
    <w:rsid w:val="00C24D10"/>
    <w:rsid w:val="00C24FBF"/>
    <w:rsid w:val="00C25384"/>
    <w:rsid w:val="00C25842"/>
    <w:rsid w:val="00C27296"/>
    <w:rsid w:val="00C2755C"/>
    <w:rsid w:val="00C27918"/>
    <w:rsid w:val="00C27A53"/>
    <w:rsid w:val="00C27F42"/>
    <w:rsid w:val="00C30445"/>
    <w:rsid w:val="00C307AD"/>
    <w:rsid w:val="00C30BBC"/>
    <w:rsid w:val="00C316C8"/>
    <w:rsid w:val="00C31DD3"/>
    <w:rsid w:val="00C31E4B"/>
    <w:rsid w:val="00C32543"/>
    <w:rsid w:val="00C32A12"/>
    <w:rsid w:val="00C32D57"/>
    <w:rsid w:val="00C32F94"/>
    <w:rsid w:val="00C34003"/>
    <w:rsid w:val="00C350D0"/>
    <w:rsid w:val="00C35C09"/>
    <w:rsid w:val="00C35EF8"/>
    <w:rsid w:val="00C3604A"/>
    <w:rsid w:val="00C361B2"/>
    <w:rsid w:val="00C36989"/>
    <w:rsid w:val="00C376E6"/>
    <w:rsid w:val="00C403A4"/>
    <w:rsid w:val="00C405DB"/>
    <w:rsid w:val="00C40BB8"/>
    <w:rsid w:val="00C40F02"/>
    <w:rsid w:val="00C41325"/>
    <w:rsid w:val="00C418DF"/>
    <w:rsid w:val="00C41CF4"/>
    <w:rsid w:val="00C42B78"/>
    <w:rsid w:val="00C42DB5"/>
    <w:rsid w:val="00C43074"/>
    <w:rsid w:val="00C430D7"/>
    <w:rsid w:val="00C43FF7"/>
    <w:rsid w:val="00C44394"/>
    <w:rsid w:val="00C4454A"/>
    <w:rsid w:val="00C449D1"/>
    <w:rsid w:val="00C44AC2"/>
    <w:rsid w:val="00C4598E"/>
    <w:rsid w:val="00C45F05"/>
    <w:rsid w:val="00C471E3"/>
    <w:rsid w:val="00C47218"/>
    <w:rsid w:val="00C4737B"/>
    <w:rsid w:val="00C47A0C"/>
    <w:rsid w:val="00C502D9"/>
    <w:rsid w:val="00C50BDF"/>
    <w:rsid w:val="00C511FE"/>
    <w:rsid w:val="00C51669"/>
    <w:rsid w:val="00C51E45"/>
    <w:rsid w:val="00C5231D"/>
    <w:rsid w:val="00C524C5"/>
    <w:rsid w:val="00C52631"/>
    <w:rsid w:val="00C52C34"/>
    <w:rsid w:val="00C5304C"/>
    <w:rsid w:val="00C53490"/>
    <w:rsid w:val="00C53757"/>
    <w:rsid w:val="00C53BE2"/>
    <w:rsid w:val="00C5483D"/>
    <w:rsid w:val="00C54CB8"/>
    <w:rsid w:val="00C553AD"/>
    <w:rsid w:val="00C55E6D"/>
    <w:rsid w:val="00C562C2"/>
    <w:rsid w:val="00C56B84"/>
    <w:rsid w:val="00C57073"/>
    <w:rsid w:val="00C57328"/>
    <w:rsid w:val="00C57924"/>
    <w:rsid w:val="00C57F23"/>
    <w:rsid w:val="00C60278"/>
    <w:rsid w:val="00C6040C"/>
    <w:rsid w:val="00C61192"/>
    <w:rsid w:val="00C61B0D"/>
    <w:rsid w:val="00C61CF0"/>
    <w:rsid w:val="00C62E43"/>
    <w:rsid w:val="00C64264"/>
    <w:rsid w:val="00C642F1"/>
    <w:rsid w:val="00C6444D"/>
    <w:rsid w:val="00C64C1A"/>
    <w:rsid w:val="00C64FEA"/>
    <w:rsid w:val="00C650C6"/>
    <w:rsid w:val="00C65333"/>
    <w:rsid w:val="00C65E8F"/>
    <w:rsid w:val="00C6602B"/>
    <w:rsid w:val="00C67AE6"/>
    <w:rsid w:val="00C67FCE"/>
    <w:rsid w:val="00C70358"/>
    <w:rsid w:val="00C709F4"/>
    <w:rsid w:val="00C70BDE"/>
    <w:rsid w:val="00C7114A"/>
    <w:rsid w:val="00C71ADB"/>
    <w:rsid w:val="00C71B0A"/>
    <w:rsid w:val="00C723CA"/>
    <w:rsid w:val="00C72AA3"/>
    <w:rsid w:val="00C72FE4"/>
    <w:rsid w:val="00C735CF"/>
    <w:rsid w:val="00C73694"/>
    <w:rsid w:val="00C73C19"/>
    <w:rsid w:val="00C74088"/>
    <w:rsid w:val="00C74588"/>
    <w:rsid w:val="00C74CB7"/>
    <w:rsid w:val="00C7553C"/>
    <w:rsid w:val="00C75B06"/>
    <w:rsid w:val="00C75E7D"/>
    <w:rsid w:val="00C7655D"/>
    <w:rsid w:val="00C7677F"/>
    <w:rsid w:val="00C77977"/>
    <w:rsid w:val="00C77E39"/>
    <w:rsid w:val="00C77E7B"/>
    <w:rsid w:val="00C8096E"/>
    <w:rsid w:val="00C80CAB"/>
    <w:rsid w:val="00C80D66"/>
    <w:rsid w:val="00C80E97"/>
    <w:rsid w:val="00C810A8"/>
    <w:rsid w:val="00C81C3F"/>
    <w:rsid w:val="00C81D4C"/>
    <w:rsid w:val="00C81D74"/>
    <w:rsid w:val="00C81F24"/>
    <w:rsid w:val="00C82062"/>
    <w:rsid w:val="00C829D0"/>
    <w:rsid w:val="00C82E04"/>
    <w:rsid w:val="00C83443"/>
    <w:rsid w:val="00C8359D"/>
    <w:rsid w:val="00C84A30"/>
    <w:rsid w:val="00C84CC5"/>
    <w:rsid w:val="00C851F2"/>
    <w:rsid w:val="00C85704"/>
    <w:rsid w:val="00C85917"/>
    <w:rsid w:val="00C85EBF"/>
    <w:rsid w:val="00C86E17"/>
    <w:rsid w:val="00C86F14"/>
    <w:rsid w:val="00C87954"/>
    <w:rsid w:val="00C90055"/>
    <w:rsid w:val="00C903F1"/>
    <w:rsid w:val="00C90FFA"/>
    <w:rsid w:val="00C9127E"/>
    <w:rsid w:val="00C91A08"/>
    <w:rsid w:val="00C91AB0"/>
    <w:rsid w:val="00C91C9B"/>
    <w:rsid w:val="00C91CA2"/>
    <w:rsid w:val="00C92338"/>
    <w:rsid w:val="00C92E0A"/>
    <w:rsid w:val="00C92E6F"/>
    <w:rsid w:val="00C93D77"/>
    <w:rsid w:val="00C94382"/>
    <w:rsid w:val="00C944DD"/>
    <w:rsid w:val="00C950BA"/>
    <w:rsid w:val="00C962BD"/>
    <w:rsid w:val="00C96B44"/>
    <w:rsid w:val="00CA04B0"/>
    <w:rsid w:val="00CA0CD1"/>
    <w:rsid w:val="00CA0F69"/>
    <w:rsid w:val="00CA114F"/>
    <w:rsid w:val="00CA1E50"/>
    <w:rsid w:val="00CA222A"/>
    <w:rsid w:val="00CA2427"/>
    <w:rsid w:val="00CA297D"/>
    <w:rsid w:val="00CA3124"/>
    <w:rsid w:val="00CA318A"/>
    <w:rsid w:val="00CA3B7A"/>
    <w:rsid w:val="00CA3C00"/>
    <w:rsid w:val="00CA3C16"/>
    <w:rsid w:val="00CA4197"/>
    <w:rsid w:val="00CA50DA"/>
    <w:rsid w:val="00CA523F"/>
    <w:rsid w:val="00CA5819"/>
    <w:rsid w:val="00CA5C26"/>
    <w:rsid w:val="00CA5CC1"/>
    <w:rsid w:val="00CA5D53"/>
    <w:rsid w:val="00CA5EA5"/>
    <w:rsid w:val="00CA7368"/>
    <w:rsid w:val="00CB01CF"/>
    <w:rsid w:val="00CB0639"/>
    <w:rsid w:val="00CB0AD7"/>
    <w:rsid w:val="00CB0D04"/>
    <w:rsid w:val="00CB172F"/>
    <w:rsid w:val="00CB1CBC"/>
    <w:rsid w:val="00CB24A1"/>
    <w:rsid w:val="00CB24D3"/>
    <w:rsid w:val="00CB26EB"/>
    <w:rsid w:val="00CB273A"/>
    <w:rsid w:val="00CB29E2"/>
    <w:rsid w:val="00CB2AA7"/>
    <w:rsid w:val="00CB3A34"/>
    <w:rsid w:val="00CB3DF0"/>
    <w:rsid w:val="00CB43BB"/>
    <w:rsid w:val="00CB44C6"/>
    <w:rsid w:val="00CB547A"/>
    <w:rsid w:val="00CB6017"/>
    <w:rsid w:val="00CB6ACA"/>
    <w:rsid w:val="00CB6D64"/>
    <w:rsid w:val="00CB6D80"/>
    <w:rsid w:val="00CB7199"/>
    <w:rsid w:val="00CB71B2"/>
    <w:rsid w:val="00CB769B"/>
    <w:rsid w:val="00CC0D36"/>
    <w:rsid w:val="00CC111D"/>
    <w:rsid w:val="00CC1BFF"/>
    <w:rsid w:val="00CC20CE"/>
    <w:rsid w:val="00CC23B6"/>
    <w:rsid w:val="00CC2818"/>
    <w:rsid w:val="00CC2A90"/>
    <w:rsid w:val="00CC2B77"/>
    <w:rsid w:val="00CC2F51"/>
    <w:rsid w:val="00CC39AF"/>
    <w:rsid w:val="00CC421C"/>
    <w:rsid w:val="00CC4959"/>
    <w:rsid w:val="00CC4FE1"/>
    <w:rsid w:val="00CC5055"/>
    <w:rsid w:val="00CC548E"/>
    <w:rsid w:val="00CC54F1"/>
    <w:rsid w:val="00CC5524"/>
    <w:rsid w:val="00CC569B"/>
    <w:rsid w:val="00CC57B1"/>
    <w:rsid w:val="00CC5941"/>
    <w:rsid w:val="00CC59F1"/>
    <w:rsid w:val="00CC760A"/>
    <w:rsid w:val="00CC7B8E"/>
    <w:rsid w:val="00CC7D24"/>
    <w:rsid w:val="00CC7FD7"/>
    <w:rsid w:val="00CD063B"/>
    <w:rsid w:val="00CD10F7"/>
    <w:rsid w:val="00CD1465"/>
    <w:rsid w:val="00CD1ADC"/>
    <w:rsid w:val="00CD20CE"/>
    <w:rsid w:val="00CD2E52"/>
    <w:rsid w:val="00CD3415"/>
    <w:rsid w:val="00CD3704"/>
    <w:rsid w:val="00CD38E1"/>
    <w:rsid w:val="00CD3C47"/>
    <w:rsid w:val="00CD3C98"/>
    <w:rsid w:val="00CD48A5"/>
    <w:rsid w:val="00CD4C51"/>
    <w:rsid w:val="00CD50BF"/>
    <w:rsid w:val="00CD5992"/>
    <w:rsid w:val="00CD6380"/>
    <w:rsid w:val="00CD697A"/>
    <w:rsid w:val="00CD72D3"/>
    <w:rsid w:val="00CD765C"/>
    <w:rsid w:val="00CD7C45"/>
    <w:rsid w:val="00CD7E54"/>
    <w:rsid w:val="00CE0749"/>
    <w:rsid w:val="00CE15C2"/>
    <w:rsid w:val="00CE1BBD"/>
    <w:rsid w:val="00CE1CB2"/>
    <w:rsid w:val="00CE24CF"/>
    <w:rsid w:val="00CE2FB0"/>
    <w:rsid w:val="00CE31B6"/>
    <w:rsid w:val="00CE33BB"/>
    <w:rsid w:val="00CE35BC"/>
    <w:rsid w:val="00CE476A"/>
    <w:rsid w:val="00CE4A8A"/>
    <w:rsid w:val="00CE4AE9"/>
    <w:rsid w:val="00CE4DC0"/>
    <w:rsid w:val="00CE52B3"/>
    <w:rsid w:val="00CE545A"/>
    <w:rsid w:val="00CE54DC"/>
    <w:rsid w:val="00CE551D"/>
    <w:rsid w:val="00CE553D"/>
    <w:rsid w:val="00CE5B0B"/>
    <w:rsid w:val="00CE600A"/>
    <w:rsid w:val="00CE6153"/>
    <w:rsid w:val="00CE6E11"/>
    <w:rsid w:val="00CE7524"/>
    <w:rsid w:val="00CE7CA3"/>
    <w:rsid w:val="00CF0D3A"/>
    <w:rsid w:val="00CF107B"/>
    <w:rsid w:val="00CF14C7"/>
    <w:rsid w:val="00CF1BF2"/>
    <w:rsid w:val="00CF1CA9"/>
    <w:rsid w:val="00CF1DE8"/>
    <w:rsid w:val="00CF2073"/>
    <w:rsid w:val="00CF21DC"/>
    <w:rsid w:val="00CF2E53"/>
    <w:rsid w:val="00CF31A8"/>
    <w:rsid w:val="00CF32B0"/>
    <w:rsid w:val="00CF333C"/>
    <w:rsid w:val="00CF35CD"/>
    <w:rsid w:val="00CF38BA"/>
    <w:rsid w:val="00CF4004"/>
    <w:rsid w:val="00CF4543"/>
    <w:rsid w:val="00CF4652"/>
    <w:rsid w:val="00CF574D"/>
    <w:rsid w:val="00CF5E65"/>
    <w:rsid w:val="00CF6031"/>
    <w:rsid w:val="00CF6120"/>
    <w:rsid w:val="00CF615C"/>
    <w:rsid w:val="00CF6390"/>
    <w:rsid w:val="00CF63A2"/>
    <w:rsid w:val="00CF64AA"/>
    <w:rsid w:val="00CF7049"/>
    <w:rsid w:val="00CF7599"/>
    <w:rsid w:val="00CF773F"/>
    <w:rsid w:val="00CF7C6E"/>
    <w:rsid w:val="00D0009F"/>
    <w:rsid w:val="00D00807"/>
    <w:rsid w:val="00D0156E"/>
    <w:rsid w:val="00D0184C"/>
    <w:rsid w:val="00D01A50"/>
    <w:rsid w:val="00D01D47"/>
    <w:rsid w:val="00D0213A"/>
    <w:rsid w:val="00D02683"/>
    <w:rsid w:val="00D02AF8"/>
    <w:rsid w:val="00D02C2F"/>
    <w:rsid w:val="00D0328C"/>
    <w:rsid w:val="00D037A2"/>
    <w:rsid w:val="00D03C18"/>
    <w:rsid w:val="00D04123"/>
    <w:rsid w:val="00D041AB"/>
    <w:rsid w:val="00D043A0"/>
    <w:rsid w:val="00D04457"/>
    <w:rsid w:val="00D04F0F"/>
    <w:rsid w:val="00D04FE4"/>
    <w:rsid w:val="00D054D5"/>
    <w:rsid w:val="00D06232"/>
    <w:rsid w:val="00D065F6"/>
    <w:rsid w:val="00D06B7B"/>
    <w:rsid w:val="00D07861"/>
    <w:rsid w:val="00D07A7A"/>
    <w:rsid w:val="00D07EDA"/>
    <w:rsid w:val="00D07FAE"/>
    <w:rsid w:val="00D107EC"/>
    <w:rsid w:val="00D1107E"/>
    <w:rsid w:val="00D11471"/>
    <w:rsid w:val="00D11AE0"/>
    <w:rsid w:val="00D11FCA"/>
    <w:rsid w:val="00D1258E"/>
    <w:rsid w:val="00D128E5"/>
    <w:rsid w:val="00D13332"/>
    <w:rsid w:val="00D13336"/>
    <w:rsid w:val="00D134AF"/>
    <w:rsid w:val="00D139D1"/>
    <w:rsid w:val="00D14AB9"/>
    <w:rsid w:val="00D1508A"/>
    <w:rsid w:val="00D152DA"/>
    <w:rsid w:val="00D158A4"/>
    <w:rsid w:val="00D15D84"/>
    <w:rsid w:val="00D15D87"/>
    <w:rsid w:val="00D15F4A"/>
    <w:rsid w:val="00D16321"/>
    <w:rsid w:val="00D163F8"/>
    <w:rsid w:val="00D167DC"/>
    <w:rsid w:val="00D169E1"/>
    <w:rsid w:val="00D20172"/>
    <w:rsid w:val="00D20555"/>
    <w:rsid w:val="00D209B4"/>
    <w:rsid w:val="00D20ADE"/>
    <w:rsid w:val="00D20C5F"/>
    <w:rsid w:val="00D20D23"/>
    <w:rsid w:val="00D20E0E"/>
    <w:rsid w:val="00D212AE"/>
    <w:rsid w:val="00D21300"/>
    <w:rsid w:val="00D215E0"/>
    <w:rsid w:val="00D21660"/>
    <w:rsid w:val="00D21A15"/>
    <w:rsid w:val="00D21E19"/>
    <w:rsid w:val="00D22623"/>
    <w:rsid w:val="00D22FDD"/>
    <w:rsid w:val="00D23CE4"/>
    <w:rsid w:val="00D2410C"/>
    <w:rsid w:val="00D245DD"/>
    <w:rsid w:val="00D2535D"/>
    <w:rsid w:val="00D25652"/>
    <w:rsid w:val="00D25843"/>
    <w:rsid w:val="00D2589E"/>
    <w:rsid w:val="00D25C82"/>
    <w:rsid w:val="00D262CB"/>
    <w:rsid w:val="00D263C3"/>
    <w:rsid w:val="00D26784"/>
    <w:rsid w:val="00D27456"/>
    <w:rsid w:val="00D277CF"/>
    <w:rsid w:val="00D278C7"/>
    <w:rsid w:val="00D27F1C"/>
    <w:rsid w:val="00D27F5E"/>
    <w:rsid w:val="00D30368"/>
    <w:rsid w:val="00D3092A"/>
    <w:rsid w:val="00D310DE"/>
    <w:rsid w:val="00D311CA"/>
    <w:rsid w:val="00D316D0"/>
    <w:rsid w:val="00D31802"/>
    <w:rsid w:val="00D31848"/>
    <w:rsid w:val="00D31C7E"/>
    <w:rsid w:val="00D324AD"/>
    <w:rsid w:val="00D338DC"/>
    <w:rsid w:val="00D33ADA"/>
    <w:rsid w:val="00D3523A"/>
    <w:rsid w:val="00D35B1B"/>
    <w:rsid w:val="00D36AE0"/>
    <w:rsid w:val="00D36F9A"/>
    <w:rsid w:val="00D37039"/>
    <w:rsid w:val="00D374D5"/>
    <w:rsid w:val="00D3770A"/>
    <w:rsid w:val="00D377BD"/>
    <w:rsid w:val="00D37D28"/>
    <w:rsid w:val="00D37FCD"/>
    <w:rsid w:val="00D40511"/>
    <w:rsid w:val="00D40B8C"/>
    <w:rsid w:val="00D40DB9"/>
    <w:rsid w:val="00D414D0"/>
    <w:rsid w:val="00D41731"/>
    <w:rsid w:val="00D43F02"/>
    <w:rsid w:val="00D43F58"/>
    <w:rsid w:val="00D44527"/>
    <w:rsid w:val="00D445BB"/>
    <w:rsid w:val="00D446CE"/>
    <w:rsid w:val="00D448D9"/>
    <w:rsid w:val="00D44A81"/>
    <w:rsid w:val="00D45500"/>
    <w:rsid w:val="00D4559C"/>
    <w:rsid w:val="00D45A58"/>
    <w:rsid w:val="00D4615A"/>
    <w:rsid w:val="00D46AA4"/>
    <w:rsid w:val="00D46E4E"/>
    <w:rsid w:val="00D46F01"/>
    <w:rsid w:val="00D470E4"/>
    <w:rsid w:val="00D4797E"/>
    <w:rsid w:val="00D47A68"/>
    <w:rsid w:val="00D47EC2"/>
    <w:rsid w:val="00D500FD"/>
    <w:rsid w:val="00D50585"/>
    <w:rsid w:val="00D506D9"/>
    <w:rsid w:val="00D50B0C"/>
    <w:rsid w:val="00D50DBB"/>
    <w:rsid w:val="00D50F57"/>
    <w:rsid w:val="00D51293"/>
    <w:rsid w:val="00D513EA"/>
    <w:rsid w:val="00D51B78"/>
    <w:rsid w:val="00D51BAC"/>
    <w:rsid w:val="00D52061"/>
    <w:rsid w:val="00D52262"/>
    <w:rsid w:val="00D5247A"/>
    <w:rsid w:val="00D52716"/>
    <w:rsid w:val="00D531FC"/>
    <w:rsid w:val="00D53D4F"/>
    <w:rsid w:val="00D53EF1"/>
    <w:rsid w:val="00D545DB"/>
    <w:rsid w:val="00D559DE"/>
    <w:rsid w:val="00D55A45"/>
    <w:rsid w:val="00D56292"/>
    <w:rsid w:val="00D56604"/>
    <w:rsid w:val="00D5663B"/>
    <w:rsid w:val="00D56BD0"/>
    <w:rsid w:val="00D57113"/>
    <w:rsid w:val="00D57727"/>
    <w:rsid w:val="00D57934"/>
    <w:rsid w:val="00D57E2E"/>
    <w:rsid w:val="00D60383"/>
    <w:rsid w:val="00D60B3D"/>
    <w:rsid w:val="00D60BEC"/>
    <w:rsid w:val="00D60FC0"/>
    <w:rsid w:val="00D61160"/>
    <w:rsid w:val="00D618AF"/>
    <w:rsid w:val="00D6443C"/>
    <w:rsid w:val="00D645F0"/>
    <w:rsid w:val="00D649FD"/>
    <w:rsid w:val="00D65130"/>
    <w:rsid w:val="00D6517E"/>
    <w:rsid w:val="00D65797"/>
    <w:rsid w:val="00D65870"/>
    <w:rsid w:val="00D65C60"/>
    <w:rsid w:val="00D65ED7"/>
    <w:rsid w:val="00D66143"/>
    <w:rsid w:val="00D6668E"/>
    <w:rsid w:val="00D66CFD"/>
    <w:rsid w:val="00D67118"/>
    <w:rsid w:val="00D672D6"/>
    <w:rsid w:val="00D67A11"/>
    <w:rsid w:val="00D67A56"/>
    <w:rsid w:val="00D67DB9"/>
    <w:rsid w:val="00D70542"/>
    <w:rsid w:val="00D70903"/>
    <w:rsid w:val="00D710ED"/>
    <w:rsid w:val="00D719A2"/>
    <w:rsid w:val="00D7201D"/>
    <w:rsid w:val="00D730B2"/>
    <w:rsid w:val="00D732E2"/>
    <w:rsid w:val="00D732FD"/>
    <w:rsid w:val="00D73AB0"/>
    <w:rsid w:val="00D74896"/>
    <w:rsid w:val="00D74CDC"/>
    <w:rsid w:val="00D7515C"/>
    <w:rsid w:val="00D75192"/>
    <w:rsid w:val="00D75403"/>
    <w:rsid w:val="00D755DB"/>
    <w:rsid w:val="00D762F8"/>
    <w:rsid w:val="00D763A5"/>
    <w:rsid w:val="00D77CA9"/>
    <w:rsid w:val="00D808B9"/>
    <w:rsid w:val="00D80C98"/>
    <w:rsid w:val="00D81CC3"/>
    <w:rsid w:val="00D81CF6"/>
    <w:rsid w:val="00D822C4"/>
    <w:rsid w:val="00D82AEA"/>
    <w:rsid w:val="00D82D9E"/>
    <w:rsid w:val="00D82FED"/>
    <w:rsid w:val="00D83410"/>
    <w:rsid w:val="00D83A06"/>
    <w:rsid w:val="00D83B74"/>
    <w:rsid w:val="00D8497C"/>
    <w:rsid w:val="00D84CD0"/>
    <w:rsid w:val="00D84E2E"/>
    <w:rsid w:val="00D84EF5"/>
    <w:rsid w:val="00D85CC4"/>
    <w:rsid w:val="00D86088"/>
    <w:rsid w:val="00D86130"/>
    <w:rsid w:val="00D86486"/>
    <w:rsid w:val="00D86CBA"/>
    <w:rsid w:val="00D871CB"/>
    <w:rsid w:val="00D87829"/>
    <w:rsid w:val="00D87D3D"/>
    <w:rsid w:val="00D904D2"/>
    <w:rsid w:val="00D912F7"/>
    <w:rsid w:val="00D91736"/>
    <w:rsid w:val="00D918A7"/>
    <w:rsid w:val="00D921FE"/>
    <w:rsid w:val="00D92452"/>
    <w:rsid w:val="00D9259A"/>
    <w:rsid w:val="00D92854"/>
    <w:rsid w:val="00D92D6D"/>
    <w:rsid w:val="00D943EB"/>
    <w:rsid w:val="00D945D2"/>
    <w:rsid w:val="00D9467A"/>
    <w:rsid w:val="00D948F9"/>
    <w:rsid w:val="00D95252"/>
    <w:rsid w:val="00D9534F"/>
    <w:rsid w:val="00D95DF0"/>
    <w:rsid w:val="00D96025"/>
    <w:rsid w:val="00D9610F"/>
    <w:rsid w:val="00D96F5E"/>
    <w:rsid w:val="00D96FDD"/>
    <w:rsid w:val="00D9702C"/>
    <w:rsid w:val="00D97D77"/>
    <w:rsid w:val="00DA0328"/>
    <w:rsid w:val="00DA0E23"/>
    <w:rsid w:val="00DA1393"/>
    <w:rsid w:val="00DA1746"/>
    <w:rsid w:val="00DA2866"/>
    <w:rsid w:val="00DA2CE8"/>
    <w:rsid w:val="00DA331C"/>
    <w:rsid w:val="00DA3B7D"/>
    <w:rsid w:val="00DA3F91"/>
    <w:rsid w:val="00DA40CC"/>
    <w:rsid w:val="00DA4100"/>
    <w:rsid w:val="00DA4570"/>
    <w:rsid w:val="00DA467C"/>
    <w:rsid w:val="00DA47DF"/>
    <w:rsid w:val="00DA4A6F"/>
    <w:rsid w:val="00DA4C67"/>
    <w:rsid w:val="00DA4D83"/>
    <w:rsid w:val="00DA53B1"/>
    <w:rsid w:val="00DA54E0"/>
    <w:rsid w:val="00DA587B"/>
    <w:rsid w:val="00DA5999"/>
    <w:rsid w:val="00DA685B"/>
    <w:rsid w:val="00DA6E8C"/>
    <w:rsid w:val="00DA72F9"/>
    <w:rsid w:val="00DA74D3"/>
    <w:rsid w:val="00DA7E46"/>
    <w:rsid w:val="00DB08F5"/>
    <w:rsid w:val="00DB099B"/>
    <w:rsid w:val="00DB0F07"/>
    <w:rsid w:val="00DB1C56"/>
    <w:rsid w:val="00DB1F79"/>
    <w:rsid w:val="00DB217B"/>
    <w:rsid w:val="00DB2553"/>
    <w:rsid w:val="00DB364E"/>
    <w:rsid w:val="00DB3AB7"/>
    <w:rsid w:val="00DB3DA8"/>
    <w:rsid w:val="00DB404A"/>
    <w:rsid w:val="00DB4629"/>
    <w:rsid w:val="00DB4BB6"/>
    <w:rsid w:val="00DB53E0"/>
    <w:rsid w:val="00DB5B43"/>
    <w:rsid w:val="00DB5C4C"/>
    <w:rsid w:val="00DB62FA"/>
    <w:rsid w:val="00DB6A60"/>
    <w:rsid w:val="00DB7550"/>
    <w:rsid w:val="00DB7A38"/>
    <w:rsid w:val="00DC0213"/>
    <w:rsid w:val="00DC0223"/>
    <w:rsid w:val="00DC0B9D"/>
    <w:rsid w:val="00DC1A7D"/>
    <w:rsid w:val="00DC2181"/>
    <w:rsid w:val="00DC23AD"/>
    <w:rsid w:val="00DC27F6"/>
    <w:rsid w:val="00DC3995"/>
    <w:rsid w:val="00DC39AC"/>
    <w:rsid w:val="00DC467F"/>
    <w:rsid w:val="00DC47EB"/>
    <w:rsid w:val="00DC4DAA"/>
    <w:rsid w:val="00DC504E"/>
    <w:rsid w:val="00DC5435"/>
    <w:rsid w:val="00DC60ED"/>
    <w:rsid w:val="00DC619A"/>
    <w:rsid w:val="00DC694F"/>
    <w:rsid w:val="00DC6D40"/>
    <w:rsid w:val="00DC777E"/>
    <w:rsid w:val="00DD0196"/>
    <w:rsid w:val="00DD0D6A"/>
    <w:rsid w:val="00DD0E74"/>
    <w:rsid w:val="00DD0EF4"/>
    <w:rsid w:val="00DD13D9"/>
    <w:rsid w:val="00DD1E7B"/>
    <w:rsid w:val="00DD1EB7"/>
    <w:rsid w:val="00DD1F70"/>
    <w:rsid w:val="00DD217E"/>
    <w:rsid w:val="00DD2280"/>
    <w:rsid w:val="00DD2A32"/>
    <w:rsid w:val="00DD30C8"/>
    <w:rsid w:val="00DD316B"/>
    <w:rsid w:val="00DD3C0D"/>
    <w:rsid w:val="00DD47D0"/>
    <w:rsid w:val="00DD4AEB"/>
    <w:rsid w:val="00DD4CD2"/>
    <w:rsid w:val="00DD4D42"/>
    <w:rsid w:val="00DD4DCA"/>
    <w:rsid w:val="00DD5255"/>
    <w:rsid w:val="00DD52B0"/>
    <w:rsid w:val="00DD54FE"/>
    <w:rsid w:val="00DD57A1"/>
    <w:rsid w:val="00DD5DF9"/>
    <w:rsid w:val="00DD6419"/>
    <w:rsid w:val="00DD762C"/>
    <w:rsid w:val="00DE0932"/>
    <w:rsid w:val="00DE0B84"/>
    <w:rsid w:val="00DE0D4E"/>
    <w:rsid w:val="00DE0FDD"/>
    <w:rsid w:val="00DE11C5"/>
    <w:rsid w:val="00DE134D"/>
    <w:rsid w:val="00DE1839"/>
    <w:rsid w:val="00DE189A"/>
    <w:rsid w:val="00DE1C7A"/>
    <w:rsid w:val="00DE22F0"/>
    <w:rsid w:val="00DE303A"/>
    <w:rsid w:val="00DE3845"/>
    <w:rsid w:val="00DE3982"/>
    <w:rsid w:val="00DE4044"/>
    <w:rsid w:val="00DE4E3E"/>
    <w:rsid w:val="00DE4FF5"/>
    <w:rsid w:val="00DE5B67"/>
    <w:rsid w:val="00DE5BDC"/>
    <w:rsid w:val="00DE5F8C"/>
    <w:rsid w:val="00DE6559"/>
    <w:rsid w:val="00DE6F4B"/>
    <w:rsid w:val="00DE74BE"/>
    <w:rsid w:val="00DE774E"/>
    <w:rsid w:val="00DE7BC5"/>
    <w:rsid w:val="00DF07B2"/>
    <w:rsid w:val="00DF0D6B"/>
    <w:rsid w:val="00DF19CA"/>
    <w:rsid w:val="00DF1FB4"/>
    <w:rsid w:val="00DF2D01"/>
    <w:rsid w:val="00DF33A7"/>
    <w:rsid w:val="00DF3640"/>
    <w:rsid w:val="00DF435E"/>
    <w:rsid w:val="00DF4C91"/>
    <w:rsid w:val="00DF4E17"/>
    <w:rsid w:val="00DF5103"/>
    <w:rsid w:val="00DF5990"/>
    <w:rsid w:val="00DF5A35"/>
    <w:rsid w:val="00DF5F13"/>
    <w:rsid w:val="00DF6352"/>
    <w:rsid w:val="00DF650B"/>
    <w:rsid w:val="00DF669A"/>
    <w:rsid w:val="00DF66B6"/>
    <w:rsid w:val="00DF7AC6"/>
    <w:rsid w:val="00DF7B97"/>
    <w:rsid w:val="00E00657"/>
    <w:rsid w:val="00E011AD"/>
    <w:rsid w:val="00E018B9"/>
    <w:rsid w:val="00E018C3"/>
    <w:rsid w:val="00E019D5"/>
    <w:rsid w:val="00E02D2F"/>
    <w:rsid w:val="00E02DD2"/>
    <w:rsid w:val="00E030BC"/>
    <w:rsid w:val="00E03405"/>
    <w:rsid w:val="00E03F25"/>
    <w:rsid w:val="00E04C4F"/>
    <w:rsid w:val="00E04E37"/>
    <w:rsid w:val="00E0523A"/>
    <w:rsid w:val="00E05888"/>
    <w:rsid w:val="00E06321"/>
    <w:rsid w:val="00E0658A"/>
    <w:rsid w:val="00E065D9"/>
    <w:rsid w:val="00E066FD"/>
    <w:rsid w:val="00E067D2"/>
    <w:rsid w:val="00E0688D"/>
    <w:rsid w:val="00E06C38"/>
    <w:rsid w:val="00E0704E"/>
    <w:rsid w:val="00E0719F"/>
    <w:rsid w:val="00E0767B"/>
    <w:rsid w:val="00E1020B"/>
    <w:rsid w:val="00E10334"/>
    <w:rsid w:val="00E10629"/>
    <w:rsid w:val="00E11146"/>
    <w:rsid w:val="00E1132D"/>
    <w:rsid w:val="00E11420"/>
    <w:rsid w:val="00E117A7"/>
    <w:rsid w:val="00E120CD"/>
    <w:rsid w:val="00E128C9"/>
    <w:rsid w:val="00E12A16"/>
    <w:rsid w:val="00E13E55"/>
    <w:rsid w:val="00E14AED"/>
    <w:rsid w:val="00E14BA2"/>
    <w:rsid w:val="00E15872"/>
    <w:rsid w:val="00E15AE0"/>
    <w:rsid w:val="00E164E2"/>
    <w:rsid w:val="00E16E61"/>
    <w:rsid w:val="00E17B2D"/>
    <w:rsid w:val="00E20E97"/>
    <w:rsid w:val="00E21797"/>
    <w:rsid w:val="00E217B0"/>
    <w:rsid w:val="00E219B9"/>
    <w:rsid w:val="00E21F94"/>
    <w:rsid w:val="00E2237F"/>
    <w:rsid w:val="00E228C2"/>
    <w:rsid w:val="00E22A8F"/>
    <w:rsid w:val="00E2334F"/>
    <w:rsid w:val="00E23AA2"/>
    <w:rsid w:val="00E23DB5"/>
    <w:rsid w:val="00E23FBA"/>
    <w:rsid w:val="00E25723"/>
    <w:rsid w:val="00E25CEE"/>
    <w:rsid w:val="00E27EF3"/>
    <w:rsid w:val="00E31807"/>
    <w:rsid w:val="00E31BE2"/>
    <w:rsid w:val="00E31C12"/>
    <w:rsid w:val="00E320F4"/>
    <w:rsid w:val="00E32481"/>
    <w:rsid w:val="00E32653"/>
    <w:rsid w:val="00E32B93"/>
    <w:rsid w:val="00E33093"/>
    <w:rsid w:val="00E33309"/>
    <w:rsid w:val="00E33CB3"/>
    <w:rsid w:val="00E34327"/>
    <w:rsid w:val="00E347D2"/>
    <w:rsid w:val="00E34FB8"/>
    <w:rsid w:val="00E353F4"/>
    <w:rsid w:val="00E36A4C"/>
    <w:rsid w:val="00E36C26"/>
    <w:rsid w:val="00E36C97"/>
    <w:rsid w:val="00E37C34"/>
    <w:rsid w:val="00E37E6F"/>
    <w:rsid w:val="00E4000B"/>
    <w:rsid w:val="00E40148"/>
    <w:rsid w:val="00E4023A"/>
    <w:rsid w:val="00E40B2B"/>
    <w:rsid w:val="00E41138"/>
    <w:rsid w:val="00E41ECC"/>
    <w:rsid w:val="00E42B5B"/>
    <w:rsid w:val="00E430F4"/>
    <w:rsid w:val="00E43157"/>
    <w:rsid w:val="00E4327F"/>
    <w:rsid w:val="00E43859"/>
    <w:rsid w:val="00E439B4"/>
    <w:rsid w:val="00E44255"/>
    <w:rsid w:val="00E44B39"/>
    <w:rsid w:val="00E44FC4"/>
    <w:rsid w:val="00E4512F"/>
    <w:rsid w:val="00E453F8"/>
    <w:rsid w:val="00E46781"/>
    <w:rsid w:val="00E46ECF"/>
    <w:rsid w:val="00E477CD"/>
    <w:rsid w:val="00E502CB"/>
    <w:rsid w:val="00E506DF"/>
    <w:rsid w:val="00E50A44"/>
    <w:rsid w:val="00E51C6E"/>
    <w:rsid w:val="00E523BA"/>
    <w:rsid w:val="00E536B8"/>
    <w:rsid w:val="00E54AFC"/>
    <w:rsid w:val="00E54BA1"/>
    <w:rsid w:val="00E553F5"/>
    <w:rsid w:val="00E554C5"/>
    <w:rsid w:val="00E55923"/>
    <w:rsid w:val="00E55A17"/>
    <w:rsid w:val="00E55B8C"/>
    <w:rsid w:val="00E55FD8"/>
    <w:rsid w:val="00E56321"/>
    <w:rsid w:val="00E5684D"/>
    <w:rsid w:val="00E569F7"/>
    <w:rsid w:val="00E56A38"/>
    <w:rsid w:val="00E56C0F"/>
    <w:rsid w:val="00E56D0C"/>
    <w:rsid w:val="00E574E6"/>
    <w:rsid w:val="00E5763A"/>
    <w:rsid w:val="00E57983"/>
    <w:rsid w:val="00E57AE0"/>
    <w:rsid w:val="00E60249"/>
    <w:rsid w:val="00E60511"/>
    <w:rsid w:val="00E609B4"/>
    <w:rsid w:val="00E60A9A"/>
    <w:rsid w:val="00E6153B"/>
    <w:rsid w:val="00E61966"/>
    <w:rsid w:val="00E62177"/>
    <w:rsid w:val="00E623AE"/>
    <w:rsid w:val="00E62AD7"/>
    <w:rsid w:val="00E62FD8"/>
    <w:rsid w:val="00E63024"/>
    <w:rsid w:val="00E632E9"/>
    <w:rsid w:val="00E6340C"/>
    <w:rsid w:val="00E63654"/>
    <w:rsid w:val="00E63B60"/>
    <w:rsid w:val="00E63B72"/>
    <w:rsid w:val="00E63BE9"/>
    <w:rsid w:val="00E64529"/>
    <w:rsid w:val="00E6471C"/>
    <w:rsid w:val="00E64736"/>
    <w:rsid w:val="00E64BA4"/>
    <w:rsid w:val="00E64BF1"/>
    <w:rsid w:val="00E65367"/>
    <w:rsid w:val="00E656A6"/>
    <w:rsid w:val="00E65EB8"/>
    <w:rsid w:val="00E66147"/>
    <w:rsid w:val="00E663E5"/>
    <w:rsid w:val="00E66BF7"/>
    <w:rsid w:val="00E670AB"/>
    <w:rsid w:val="00E670CD"/>
    <w:rsid w:val="00E67667"/>
    <w:rsid w:val="00E67D2E"/>
    <w:rsid w:val="00E67F46"/>
    <w:rsid w:val="00E702DD"/>
    <w:rsid w:val="00E7047E"/>
    <w:rsid w:val="00E70FBB"/>
    <w:rsid w:val="00E7129B"/>
    <w:rsid w:val="00E71ECD"/>
    <w:rsid w:val="00E71FA9"/>
    <w:rsid w:val="00E72C90"/>
    <w:rsid w:val="00E731B3"/>
    <w:rsid w:val="00E731C5"/>
    <w:rsid w:val="00E735F2"/>
    <w:rsid w:val="00E73B97"/>
    <w:rsid w:val="00E73F09"/>
    <w:rsid w:val="00E7415F"/>
    <w:rsid w:val="00E7495A"/>
    <w:rsid w:val="00E74B81"/>
    <w:rsid w:val="00E752FB"/>
    <w:rsid w:val="00E755EE"/>
    <w:rsid w:val="00E75795"/>
    <w:rsid w:val="00E7587A"/>
    <w:rsid w:val="00E76349"/>
    <w:rsid w:val="00E76447"/>
    <w:rsid w:val="00E76FB6"/>
    <w:rsid w:val="00E774E6"/>
    <w:rsid w:val="00E77896"/>
    <w:rsid w:val="00E779E5"/>
    <w:rsid w:val="00E77C3C"/>
    <w:rsid w:val="00E77C40"/>
    <w:rsid w:val="00E807CA"/>
    <w:rsid w:val="00E8092C"/>
    <w:rsid w:val="00E80B09"/>
    <w:rsid w:val="00E8128D"/>
    <w:rsid w:val="00E816FC"/>
    <w:rsid w:val="00E817BE"/>
    <w:rsid w:val="00E82392"/>
    <w:rsid w:val="00E82A99"/>
    <w:rsid w:val="00E82F83"/>
    <w:rsid w:val="00E839C2"/>
    <w:rsid w:val="00E83A00"/>
    <w:rsid w:val="00E83A50"/>
    <w:rsid w:val="00E84048"/>
    <w:rsid w:val="00E847F5"/>
    <w:rsid w:val="00E84934"/>
    <w:rsid w:val="00E84A82"/>
    <w:rsid w:val="00E84E19"/>
    <w:rsid w:val="00E8555A"/>
    <w:rsid w:val="00E857AE"/>
    <w:rsid w:val="00E85932"/>
    <w:rsid w:val="00E85F19"/>
    <w:rsid w:val="00E86ACC"/>
    <w:rsid w:val="00E87BC1"/>
    <w:rsid w:val="00E87DAD"/>
    <w:rsid w:val="00E9025C"/>
    <w:rsid w:val="00E91CB5"/>
    <w:rsid w:val="00E92B77"/>
    <w:rsid w:val="00E92FA8"/>
    <w:rsid w:val="00E932D3"/>
    <w:rsid w:val="00E93E22"/>
    <w:rsid w:val="00E94218"/>
    <w:rsid w:val="00E9436D"/>
    <w:rsid w:val="00E944B8"/>
    <w:rsid w:val="00E94B43"/>
    <w:rsid w:val="00E95593"/>
    <w:rsid w:val="00E95CAE"/>
    <w:rsid w:val="00E96024"/>
    <w:rsid w:val="00E97725"/>
    <w:rsid w:val="00E97F29"/>
    <w:rsid w:val="00EA090D"/>
    <w:rsid w:val="00EA1691"/>
    <w:rsid w:val="00EA20F5"/>
    <w:rsid w:val="00EA2274"/>
    <w:rsid w:val="00EA233B"/>
    <w:rsid w:val="00EA29EC"/>
    <w:rsid w:val="00EA2BC2"/>
    <w:rsid w:val="00EA3258"/>
    <w:rsid w:val="00EA37C4"/>
    <w:rsid w:val="00EA3C1F"/>
    <w:rsid w:val="00EA3DA7"/>
    <w:rsid w:val="00EA5BAE"/>
    <w:rsid w:val="00EA5D34"/>
    <w:rsid w:val="00EA5EFC"/>
    <w:rsid w:val="00EA5FB3"/>
    <w:rsid w:val="00EA60F3"/>
    <w:rsid w:val="00EA65CE"/>
    <w:rsid w:val="00EA6C83"/>
    <w:rsid w:val="00EA71EF"/>
    <w:rsid w:val="00EA791E"/>
    <w:rsid w:val="00EA7A70"/>
    <w:rsid w:val="00EB005B"/>
    <w:rsid w:val="00EB0411"/>
    <w:rsid w:val="00EB0F5B"/>
    <w:rsid w:val="00EB12DF"/>
    <w:rsid w:val="00EB1C75"/>
    <w:rsid w:val="00EB1EDD"/>
    <w:rsid w:val="00EB1F1E"/>
    <w:rsid w:val="00EB3199"/>
    <w:rsid w:val="00EB3266"/>
    <w:rsid w:val="00EB355A"/>
    <w:rsid w:val="00EB466D"/>
    <w:rsid w:val="00EB4AB7"/>
    <w:rsid w:val="00EB4CFB"/>
    <w:rsid w:val="00EB5097"/>
    <w:rsid w:val="00EB538B"/>
    <w:rsid w:val="00EB548E"/>
    <w:rsid w:val="00EB5C7F"/>
    <w:rsid w:val="00EB664D"/>
    <w:rsid w:val="00EB67D8"/>
    <w:rsid w:val="00EB684B"/>
    <w:rsid w:val="00EB69E5"/>
    <w:rsid w:val="00EB6C3B"/>
    <w:rsid w:val="00EB7EC6"/>
    <w:rsid w:val="00EC05F8"/>
    <w:rsid w:val="00EC0AB2"/>
    <w:rsid w:val="00EC0C32"/>
    <w:rsid w:val="00EC0EBA"/>
    <w:rsid w:val="00EC18F2"/>
    <w:rsid w:val="00EC19CE"/>
    <w:rsid w:val="00EC1BF5"/>
    <w:rsid w:val="00EC1C55"/>
    <w:rsid w:val="00EC2071"/>
    <w:rsid w:val="00EC2A00"/>
    <w:rsid w:val="00EC35A5"/>
    <w:rsid w:val="00EC36E1"/>
    <w:rsid w:val="00EC3BAA"/>
    <w:rsid w:val="00EC3DEE"/>
    <w:rsid w:val="00EC4515"/>
    <w:rsid w:val="00EC54FE"/>
    <w:rsid w:val="00EC5CA0"/>
    <w:rsid w:val="00EC6C45"/>
    <w:rsid w:val="00ED00D7"/>
    <w:rsid w:val="00ED02BB"/>
    <w:rsid w:val="00ED064A"/>
    <w:rsid w:val="00ED076A"/>
    <w:rsid w:val="00ED0878"/>
    <w:rsid w:val="00ED0F85"/>
    <w:rsid w:val="00ED19FB"/>
    <w:rsid w:val="00ED200D"/>
    <w:rsid w:val="00ED3ED7"/>
    <w:rsid w:val="00ED40E2"/>
    <w:rsid w:val="00ED45C4"/>
    <w:rsid w:val="00ED4F3D"/>
    <w:rsid w:val="00ED5617"/>
    <w:rsid w:val="00ED623D"/>
    <w:rsid w:val="00ED6255"/>
    <w:rsid w:val="00ED64C4"/>
    <w:rsid w:val="00ED750C"/>
    <w:rsid w:val="00ED79F9"/>
    <w:rsid w:val="00ED7FA8"/>
    <w:rsid w:val="00EE0554"/>
    <w:rsid w:val="00EE0DCF"/>
    <w:rsid w:val="00EE157E"/>
    <w:rsid w:val="00EE164A"/>
    <w:rsid w:val="00EE234D"/>
    <w:rsid w:val="00EE269B"/>
    <w:rsid w:val="00EE3397"/>
    <w:rsid w:val="00EE3D80"/>
    <w:rsid w:val="00EE5065"/>
    <w:rsid w:val="00EE5625"/>
    <w:rsid w:val="00EE743A"/>
    <w:rsid w:val="00EE7AD1"/>
    <w:rsid w:val="00EE7C1C"/>
    <w:rsid w:val="00EF0212"/>
    <w:rsid w:val="00EF06EF"/>
    <w:rsid w:val="00EF0A72"/>
    <w:rsid w:val="00EF0B80"/>
    <w:rsid w:val="00EF17EA"/>
    <w:rsid w:val="00EF26C2"/>
    <w:rsid w:val="00EF30C3"/>
    <w:rsid w:val="00EF3B57"/>
    <w:rsid w:val="00EF4234"/>
    <w:rsid w:val="00EF4D7D"/>
    <w:rsid w:val="00EF4E4F"/>
    <w:rsid w:val="00EF515F"/>
    <w:rsid w:val="00EF51F2"/>
    <w:rsid w:val="00EF564B"/>
    <w:rsid w:val="00EF60F4"/>
    <w:rsid w:val="00EF631B"/>
    <w:rsid w:val="00EF72A6"/>
    <w:rsid w:val="00EF7402"/>
    <w:rsid w:val="00EF7B02"/>
    <w:rsid w:val="00F002B9"/>
    <w:rsid w:val="00F002E9"/>
    <w:rsid w:val="00F005B0"/>
    <w:rsid w:val="00F00AA7"/>
    <w:rsid w:val="00F00B4D"/>
    <w:rsid w:val="00F00F9B"/>
    <w:rsid w:val="00F010E5"/>
    <w:rsid w:val="00F01A68"/>
    <w:rsid w:val="00F01E36"/>
    <w:rsid w:val="00F02A29"/>
    <w:rsid w:val="00F0370A"/>
    <w:rsid w:val="00F039FB"/>
    <w:rsid w:val="00F03C8B"/>
    <w:rsid w:val="00F03DDB"/>
    <w:rsid w:val="00F0475C"/>
    <w:rsid w:val="00F055C3"/>
    <w:rsid w:val="00F058A0"/>
    <w:rsid w:val="00F05D9C"/>
    <w:rsid w:val="00F062F7"/>
    <w:rsid w:val="00F06989"/>
    <w:rsid w:val="00F06E81"/>
    <w:rsid w:val="00F07543"/>
    <w:rsid w:val="00F0764F"/>
    <w:rsid w:val="00F07981"/>
    <w:rsid w:val="00F1073D"/>
    <w:rsid w:val="00F10C02"/>
    <w:rsid w:val="00F10D79"/>
    <w:rsid w:val="00F113E9"/>
    <w:rsid w:val="00F12B2C"/>
    <w:rsid w:val="00F134D4"/>
    <w:rsid w:val="00F13946"/>
    <w:rsid w:val="00F13C90"/>
    <w:rsid w:val="00F144C9"/>
    <w:rsid w:val="00F15281"/>
    <w:rsid w:val="00F152EF"/>
    <w:rsid w:val="00F16A93"/>
    <w:rsid w:val="00F16C1C"/>
    <w:rsid w:val="00F16C23"/>
    <w:rsid w:val="00F16FF0"/>
    <w:rsid w:val="00F17044"/>
    <w:rsid w:val="00F175CE"/>
    <w:rsid w:val="00F17736"/>
    <w:rsid w:val="00F205B7"/>
    <w:rsid w:val="00F20BF2"/>
    <w:rsid w:val="00F20E94"/>
    <w:rsid w:val="00F2188B"/>
    <w:rsid w:val="00F2197A"/>
    <w:rsid w:val="00F2199C"/>
    <w:rsid w:val="00F21B81"/>
    <w:rsid w:val="00F220F3"/>
    <w:rsid w:val="00F2227F"/>
    <w:rsid w:val="00F22330"/>
    <w:rsid w:val="00F224A9"/>
    <w:rsid w:val="00F22F1A"/>
    <w:rsid w:val="00F23262"/>
    <w:rsid w:val="00F23B36"/>
    <w:rsid w:val="00F23D08"/>
    <w:rsid w:val="00F2459D"/>
    <w:rsid w:val="00F2480E"/>
    <w:rsid w:val="00F25BB0"/>
    <w:rsid w:val="00F26083"/>
    <w:rsid w:val="00F26CED"/>
    <w:rsid w:val="00F27505"/>
    <w:rsid w:val="00F3067B"/>
    <w:rsid w:val="00F30B61"/>
    <w:rsid w:val="00F30D4A"/>
    <w:rsid w:val="00F31277"/>
    <w:rsid w:val="00F312E9"/>
    <w:rsid w:val="00F31778"/>
    <w:rsid w:val="00F31CBE"/>
    <w:rsid w:val="00F31FC7"/>
    <w:rsid w:val="00F32547"/>
    <w:rsid w:val="00F32ADC"/>
    <w:rsid w:val="00F32CBC"/>
    <w:rsid w:val="00F32EA1"/>
    <w:rsid w:val="00F33337"/>
    <w:rsid w:val="00F335BA"/>
    <w:rsid w:val="00F335D3"/>
    <w:rsid w:val="00F336A2"/>
    <w:rsid w:val="00F34424"/>
    <w:rsid w:val="00F350F0"/>
    <w:rsid w:val="00F352D2"/>
    <w:rsid w:val="00F353BF"/>
    <w:rsid w:val="00F3545E"/>
    <w:rsid w:val="00F3558A"/>
    <w:rsid w:val="00F3789F"/>
    <w:rsid w:val="00F37FD8"/>
    <w:rsid w:val="00F40653"/>
    <w:rsid w:val="00F4073F"/>
    <w:rsid w:val="00F41024"/>
    <w:rsid w:val="00F41835"/>
    <w:rsid w:val="00F41DEB"/>
    <w:rsid w:val="00F41EB0"/>
    <w:rsid w:val="00F41FB7"/>
    <w:rsid w:val="00F422A8"/>
    <w:rsid w:val="00F4268A"/>
    <w:rsid w:val="00F42832"/>
    <w:rsid w:val="00F42AE7"/>
    <w:rsid w:val="00F42BE0"/>
    <w:rsid w:val="00F42EDF"/>
    <w:rsid w:val="00F4319D"/>
    <w:rsid w:val="00F431B7"/>
    <w:rsid w:val="00F44445"/>
    <w:rsid w:val="00F44628"/>
    <w:rsid w:val="00F4466B"/>
    <w:rsid w:val="00F44B68"/>
    <w:rsid w:val="00F44E67"/>
    <w:rsid w:val="00F44F85"/>
    <w:rsid w:val="00F458AC"/>
    <w:rsid w:val="00F45B99"/>
    <w:rsid w:val="00F465E3"/>
    <w:rsid w:val="00F46833"/>
    <w:rsid w:val="00F46A33"/>
    <w:rsid w:val="00F4730F"/>
    <w:rsid w:val="00F4741E"/>
    <w:rsid w:val="00F47E9E"/>
    <w:rsid w:val="00F500C6"/>
    <w:rsid w:val="00F50C0E"/>
    <w:rsid w:val="00F513C6"/>
    <w:rsid w:val="00F52EF1"/>
    <w:rsid w:val="00F532C5"/>
    <w:rsid w:val="00F54103"/>
    <w:rsid w:val="00F54E0B"/>
    <w:rsid w:val="00F55137"/>
    <w:rsid w:val="00F559DE"/>
    <w:rsid w:val="00F55B88"/>
    <w:rsid w:val="00F55E2B"/>
    <w:rsid w:val="00F572D8"/>
    <w:rsid w:val="00F60106"/>
    <w:rsid w:val="00F6044E"/>
    <w:rsid w:val="00F63973"/>
    <w:rsid w:val="00F6416F"/>
    <w:rsid w:val="00F6436C"/>
    <w:rsid w:val="00F64E1B"/>
    <w:rsid w:val="00F664A8"/>
    <w:rsid w:val="00F6665C"/>
    <w:rsid w:val="00F677AC"/>
    <w:rsid w:val="00F7037D"/>
    <w:rsid w:val="00F7087B"/>
    <w:rsid w:val="00F71266"/>
    <w:rsid w:val="00F71E5C"/>
    <w:rsid w:val="00F72117"/>
    <w:rsid w:val="00F73717"/>
    <w:rsid w:val="00F737F9"/>
    <w:rsid w:val="00F73BD1"/>
    <w:rsid w:val="00F73FD5"/>
    <w:rsid w:val="00F74109"/>
    <w:rsid w:val="00F74300"/>
    <w:rsid w:val="00F74508"/>
    <w:rsid w:val="00F74804"/>
    <w:rsid w:val="00F74ABB"/>
    <w:rsid w:val="00F7547F"/>
    <w:rsid w:val="00F7584F"/>
    <w:rsid w:val="00F758FE"/>
    <w:rsid w:val="00F75A4D"/>
    <w:rsid w:val="00F7684B"/>
    <w:rsid w:val="00F768BE"/>
    <w:rsid w:val="00F76B6B"/>
    <w:rsid w:val="00F76FB8"/>
    <w:rsid w:val="00F7704F"/>
    <w:rsid w:val="00F771CC"/>
    <w:rsid w:val="00F77811"/>
    <w:rsid w:val="00F77C0E"/>
    <w:rsid w:val="00F8087C"/>
    <w:rsid w:val="00F80E34"/>
    <w:rsid w:val="00F80ECC"/>
    <w:rsid w:val="00F81305"/>
    <w:rsid w:val="00F81C55"/>
    <w:rsid w:val="00F820EB"/>
    <w:rsid w:val="00F82738"/>
    <w:rsid w:val="00F83561"/>
    <w:rsid w:val="00F83E46"/>
    <w:rsid w:val="00F84349"/>
    <w:rsid w:val="00F84407"/>
    <w:rsid w:val="00F85054"/>
    <w:rsid w:val="00F85DCB"/>
    <w:rsid w:val="00F863E8"/>
    <w:rsid w:val="00F8682B"/>
    <w:rsid w:val="00F86CE5"/>
    <w:rsid w:val="00F86D8A"/>
    <w:rsid w:val="00F875E8"/>
    <w:rsid w:val="00F87A60"/>
    <w:rsid w:val="00F906BB"/>
    <w:rsid w:val="00F91385"/>
    <w:rsid w:val="00F92065"/>
    <w:rsid w:val="00F93046"/>
    <w:rsid w:val="00F93188"/>
    <w:rsid w:val="00F93394"/>
    <w:rsid w:val="00F93E07"/>
    <w:rsid w:val="00F94330"/>
    <w:rsid w:val="00F94631"/>
    <w:rsid w:val="00F94D35"/>
    <w:rsid w:val="00F96459"/>
    <w:rsid w:val="00F965E6"/>
    <w:rsid w:val="00F96A4A"/>
    <w:rsid w:val="00F96BEF"/>
    <w:rsid w:val="00F97147"/>
    <w:rsid w:val="00FA1FF9"/>
    <w:rsid w:val="00FA514D"/>
    <w:rsid w:val="00FA57B9"/>
    <w:rsid w:val="00FA64B9"/>
    <w:rsid w:val="00FA6930"/>
    <w:rsid w:val="00FA6F5B"/>
    <w:rsid w:val="00FA6FDE"/>
    <w:rsid w:val="00FA7B5C"/>
    <w:rsid w:val="00FB019C"/>
    <w:rsid w:val="00FB1225"/>
    <w:rsid w:val="00FB15DD"/>
    <w:rsid w:val="00FB15EC"/>
    <w:rsid w:val="00FB1950"/>
    <w:rsid w:val="00FB1FAD"/>
    <w:rsid w:val="00FB2842"/>
    <w:rsid w:val="00FB2C0C"/>
    <w:rsid w:val="00FB37C9"/>
    <w:rsid w:val="00FB3E0E"/>
    <w:rsid w:val="00FB46AF"/>
    <w:rsid w:val="00FB4BF1"/>
    <w:rsid w:val="00FB5018"/>
    <w:rsid w:val="00FB53D8"/>
    <w:rsid w:val="00FB5434"/>
    <w:rsid w:val="00FB5D20"/>
    <w:rsid w:val="00FB69C9"/>
    <w:rsid w:val="00FB6A9D"/>
    <w:rsid w:val="00FB71C0"/>
    <w:rsid w:val="00FB7243"/>
    <w:rsid w:val="00FC04B7"/>
    <w:rsid w:val="00FC04DC"/>
    <w:rsid w:val="00FC055A"/>
    <w:rsid w:val="00FC080A"/>
    <w:rsid w:val="00FC1107"/>
    <w:rsid w:val="00FC142D"/>
    <w:rsid w:val="00FC1A71"/>
    <w:rsid w:val="00FC1C2B"/>
    <w:rsid w:val="00FC1C30"/>
    <w:rsid w:val="00FC1F98"/>
    <w:rsid w:val="00FC24A9"/>
    <w:rsid w:val="00FC25C6"/>
    <w:rsid w:val="00FC2E03"/>
    <w:rsid w:val="00FC2FBD"/>
    <w:rsid w:val="00FC3C5A"/>
    <w:rsid w:val="00FC3E94"/>
    <w:rsid w:val="00FC3EB5"/>
    <w:rsid w:val="00FC4378"/>
    <w:rsid w:val="00FC55D9"/>
    <w:rsid w:val="00FC5D0A"/>
    <w:rsid w:val="00FC5F36"/>
    <w:rsid w:val="00FC5FC4"/>
    <w:rsid w:val="00FC6061"/>
    <w:rsid w:val="00FC622D"/>
    <w:rsid w:val="00FC644F"/>
    <w:rsid w:val="00FC660D"/>
    <w:rsid w:val="00FC6A01"/>
    <w:rsid w:val="00FC6F0A"/>
    <w:rsid w:val="00FC73ED"/>
    <w:rsid w:val="00FC75D4"/>
    <w:rsid w:val="00FC7FD6"/>
    <w:rsid w:val="00FD0810"/>
    <w:rsid w:val="00FD0BC8"/>
    <w:rsid w:val="00FD1509"/>
    <w:rsid w:val="00FD158D"/>
    <w:rsid w:val="00FD1A1D"/>
    <w:rsid w:val="00FD1E83"/>
    <w:rsid w:val="00FD28CA"/>
    <w:rsid w:val="00FD30DF"/>
    <w:rsid w:val="00FD32BF"/>
    <w:rsid w:val="00FD3B69"/>
    <w:rsid w:val="00FD3D45"/>
    <w:rsid w:val="00FD4B01"/>
    <w:rsid w:val="00FD4B9D"/>
    <w:rsid w:val="00FD4BB7"/>
    <w:rsid w:val="00FD6654"/>
    <w:rsid w:val="00FD6FCB"/>
    <w:rsid w:val="00FD7546"/>
    <w:rsid w:val="00FE00F7"/>
    <w:rsid w:val="00FE0574"/>
    <w:rsid w:val="00FE09DF"/>
    <w:rsid w:val="00FE1E67"/>
    <w:rsid w:val="00FE2945"/>
    <w:rsid w:val="00FE2E49"/>
    <w:rsid w:val="00FE358E"/>
    <w:rsid w:val="00FE433A"/>
    <w:rsid w:val="00FE4750"/>
    <w:rsid w:val="00FE55E8"/>
    <w:rsid w:val="00FE6078"/>
    <w:rsid w:val="00FE6787"/>
    <w:rsid w:val="00FE6D1D"/>
    <w:rsid w:val="00FE7C24"/>
    <w:rsid w:val="00FE7C31"/>
    <w:rsid w:val="00FF0673"/>
    <w:rsid w:val="00FF0B4B"/>
    <w:rsid w:val="00FF0E0D"/>
    <w:rsid w:val="00FF16CE"/>
    <w:rsid w:val="00FF171E"/>
    <w:rsid w:val="00FF1C73"/>
    <w:rsid w:val="00FF1D7D"/>
    <w:rsid w:val="00FF37A9"/>
    <w:rsid w:val="00FF3C62"/>
    <w:rsid w:val="00FF3CCF"/>
    <w:rsid w:val="00FF3E31"/>
    <w:rsid w:val="00FF4E63"/>
    <w:rsid w:val="00FF55B1"/>
    <w:rsid w:val="00FF5E37"/>
    <w:rsid w:val="00FF6216"/>
    <w:rsid w:val="00FF6976"/>
    <w:rsid w:val="00FF6A65"/>
    <w:rsid w:val="00FF7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131A7"/>
  <w15:docId w15:val="{79E9EE4C-3E23-4573-8B3B-23250E02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2D7"/>
    <w:rPr>
      <w:sz w:val="22"/>
      <w:lang w:val="en-US" w:eastAsia="en-US"/>
    </w:rPr>
  </w:style>
  <w:style w:type="paragraph" w:styleId="Heading1">
    <w:name w:val="heading 1"/>
    <w:aliases w:val="h1,new page/chapter"/>
    <w:basedOn w:val="Normal"/>
    <w:next w:val="Normal"/>
    <w:link w:val="Heading1Char"/>
    <w:qFormat/>
    <w:rsid w:val="003E72D7"/>
    <w:pPr>
      <w:keepNext/>
      <w:jc w:val="center"/>
      <w:outlineLvl w:val="0"/>
    </w:pPr>
    <w:rPr>
      <w:b/>
      <w:bCs/>
      <w:i/>
      <w:iCs/>
      <w:sz w:val="28"/>
    </w:rPr>
  </w:style>
  <w:style w:type="paragraph" w:styleId="Heading2">
    <w:name w:val="heading 2"/>
    <w:aliases w:val="h2,A.B.C."/>
    <w:basedOn w:val="Normal"/>
    <w:next w:val="Normal"/>
    <w:qFormat/>
    <w:rsid w:val="003E72D7"/>
    <w:pPr>
      <w:keepNext/>
      <w:outlineLvl w:val="1"/>
    </w:pPr>
    <w:rPr>
      <w:sz w:val="24"/>
      <w:u w:val="single"/>
    </w:rPr>
  </w:style>
  <w:style w:type="paragraph" w:styleId="Heading3">
    <w:name w:val="heading 3"/>
    <w:basedOn w:val="Normal"/>
    <w:next w:val="Normal"/>
    <w:qFormat/>
    <w:rsid w:val="003E72D7"/>
    <w:pPr>
      <w:keepNext/>
      <w:outlineLvl w:val="2"/>
    </w:pPr>
    <w:rPr>
      <w:rFonts w:ascii="Arial" w:hAnsi="Arial" w:cs="Arial"/>
      <w:sz w:val="20"/>
      <w:u w:val="single"/>
      <w:lang w:val="en-CA"/>
    </w:rPr>
  </w:style>
  <w:style w:type="paragraph" w:styleId="Heading4">
    <w:name w:val="heading 4"/>
    <w:aliases w:val="h4,a) b) c)"/>
    <w:basedOn w:val="Normal"/>
    <w:next w:val="Normal"/>
    <w:qFormat/>
    <w:rsid w:val="003E72D7"/>
    <w:pPr>
      <w:keepNext/>
      <w:outlineLvl w:val="3"/>
    </w:pPr>
    <w:rPr>
      <w:rFonts w:ascii="Arial" w:hAnsi="Arial" w:cs="Arial"/>
      <w:b/>
      <w:bCs/>
      <w:sz w:val="20"/>
      <w:szCs w:val="24"/>
      <w:lang w:val="en-CA"/>
    </w:rPr>
  </w:style>
  <w:style w:type="paragraph" w:styleId="Heading5">
    <w:name w:val="heading 5"/>
    <w:basedOn w:val="Normal"/>
    <w:next w:val="Normal"/>
    <w:qFormat/>
    <w:rsid w:val="003E72D7"/>
    <w:pPr>
      <w:keepNext/>
      <w:ind w:left="720"/>
      <w:outlineLvl w:val="4"/>
    </w:pPr>
    <w:rPr>
      <w:rFonts w:ascii="Arial" w:hAnsi="Arial" w:cs="Arial"/>
      <w:b/>
      <w:bCs/>
      <w:sz w:val="20"/>
    </w:rPr>
  </w:style>
  <w:style w:type="paragraph" w:styleId="Heading6">
    <w:name w:val="heading 6"/>
    <w:basedOn w:val="Normal"/>
    <w:next w:val="Normal"/>
    <w:qFormat/>
    <w:rsid w:val="003E72D7"/>
    <w:pPr>
      <w:keepNext/>
      <w:ind w:right="-198"/>
      <w:outlineLvl w:val="5"/>
    </w:pPr>
    <w:rPr>
      <w:rFonts w:ascii="Arial" w:hAnsi="Arial" w:cs="Arial"/>
      <w:sz w:val="20"/>
      <w:u w:val="single"/>
    </w:rPr>
  </w:style>
  <w:style w:type="paragraph" w:styleId="Heading7">
    <w:name w:val="heading 7"/>
    <w:basedOn w:val="Normal"/>
    <w:next w:val="Normal"/>
    <w:qFormat/>
    <w:rsid w:val="003E72D7"/>
    <w:pPr>
      <w:keepNext/>
      <w:jc w:val="center"/>
      <w:outlineLvl w:val="6"/>
    </w:pPr>
    <w:rPr>
      <w:rFonts w:ascii="Arial" w:hAnsi="Arial" w:cs="Arial"/>
      <w:sz w:val="20"/>
    </w:rPr>
  </w:style>
  <w:style w:type="paragraph" w:styleId="Heading8">
    <w:name w:val="heading 8"/>
    <w:basedOn w:val="Normal"/>
    <w:next w:val="Normal"/>
    <w:qFormat/>
    <w:rsid w:val="003E72D7"/>
    <w:pPr>
      <w:keepNext/>
      <w:ind w:right="-108"/>
      <w:outlineLvl w:val="7"/>
    </w:pPr>
    <w:rPr>
      <w:rFonts w:ascii="Arial" w:hAnsi="Arial" w:cs="Arial"/>
      <w:b/>
      <w:bCs/>
      <w:sz w:val="20"/>
      <w:lang w:val="en-CA"/>
    </w:rPr>
  </w:style>
  <w:style w:type="paragraph" w:styleId="Heading9">
    <w:name w:val="heading 9"/>
    <w:basedOn w:val="Normal"/>
    <w:next w:val="Normal"/>
    <w:qFormat/>
    <w:rsid w:val="003E72D7"/>
    <w:pPr>
      <w:keepNext/>
      <w:ind w:firstLine="72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72D7"/>
    <w:pPr>
      <w:spacing w:before="100" w:beforeAutospacing="1" w:after="100" w:afterAutospacing="1"/>
    </w:pPr>
    <w:rPr>
      <w:rFonts w:ascii="Arial" w:eastAsia="Arial Unicode MS" w:hAnsi="Arial" w:cs="Times"/>
      <w:sz w:val="20"/>
    </w:rPr>
  </w:style>
  <w:style w:type="paragraph" w:styleId="BodyText2">
    <w:name w:val="Body Text 2"/>
    <w:basedOn w:val="Normal"/>
    <w:rsid w:val="003E72D7"/>
    <w:rPr>
      <w:sz w:val="24"/>
    </w:rPr>
  </w:style>
  <w:style w:type="paragraph" w:styleId="NormalWeb">
    <w:name w:val="Normal (Web)"/>
    <w:basedOn w:val="Normal"/>
    <w:uiPriority w:val="99"/>
    <w:rsid w:val="003E72D7"/>
    <w:pPr>
      <w:spacing w:before="100" w:beforeAutospacing="1" w:after="100" w:afterAutospacing="1"/>
    </w:pPr>
    <w:rPr>
      <w:rFonts w:ascii="Arial" w:eastAsia="Arial Unicode MS" w:hAnsi="Arial" w:cs="Times"/>
      <w:sz w:val="20"/>
    </w:rPr>
  </w:style>
  <w:style w:type="character" w:styleId="Hyperlink">
    <w:name w:val="Hyperlink"/>
    <w:basedOn w:val="DefaultParagraphFont"/>
    <w:rsid w:val="003E72D7"/>
    <w:rPr>
      <w:color w:val="004080"/>
      <w:u w:val="single"/>
    </w:rPr>
  </w:style>
  <w:style w:type="paragraph" w:styleId="HTMLPreformatted">
    <w:name w:val="HTML Preformatted"/>
    <w:basedOn w:val="Normal"/>
    <w:rsid w:val="003E7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w:sz w:val="20"/>
    </w:rPr>
  </w:style>
  <w:style w:type="paragraph" w:styleId="BodyText3">
    <w:name w:val="Body Text 3"/>
    <w:basedOn w:val="Normal"/>
    <w:rsid w:val="003E72D7"/>
    <w:pPr>
      <w:jc w:val="center"/>
    </w:pPr>
    <w:rPr>
      <w:b/>
      <w:sz w:val="28"/>
    </w:rPr>
  </w:style>
  <w:style w:type="paragraph" w:styleId="Footer">
    <w:name w:val="footer"/>
    <w:basedOn w:val="Normal"/>
    <w:rsid w:val="003E72D7"/>
    <w:pPr>
      <w:tabs>
        <w:tab w:val="center" w:pos="4320"/>
        <w:tab w:val="right" w:pos="8640"/>
      </w:tabs>
      <w:overflowPunct w:val="0"/>
      <w:autoSpaceDE w:val="0"/>
      <w:autoSpaceDN w:val="0"/>
      <w:adjustRightInd w:val="0"/>
      <w:jc w:val="center"/>
      <w:textAlignment w:val="baseline"/>
    </w:pPr>
    <w:rPr>
      <w:rFonts w:ascii="Arial" w:hAnsi="Arial"/>
      <w:sz w:val="20"/>
      <w:lang w:val="en-CA"/>
    </w:rPr>
  </w:style>
  <w:style w:type="paragraph" w:styleId="Header">
    <w:name w:val="header"/>
    <w:aliases w:val="header-odd,header-odd "/>
    <w:basedOn w:val="Normal"/>
    <w:link w:val="HeaderChar"/>
    <w:rsid w:val="003E72D7"/>
    <w:pPr>
      <w:tabs>
        <w:tab w:val="center" w:pos="4320"/>
        <w:tab w:val="right" w:pos="8640"/>
      </w:tabs>
      <w:overflowPunct w:val="0"/>
      <w:autoSpaceDE w:val="0"/>
      <w:autoSpaceDN w:val="0"/>
      <w:adjustRightInd w:val="0"/>
      <w:textAlignment w:val="baseline"/>
    </w:pPr>
    <w:rPr>
      <w:rFonts w:ascii="Arial" w:hAnsi="Arial"/>
      <w:sz w:val="24"/>
      <w:lang w:val="en-CA"/>
    </w:rPr>
  </w:style>
  <w:style w:type="paragraph" w:customStyle="1" w:styleId="FS1">
    <w:name w:val="FS1"/>
    <w:basedOn w:val="Normal"/>
    <w:link w:val="FS1Char"/>
    <w:rsid w:val="003E72D7"/>
    <w:pPr>
      <w:tabs>
        <w:tab w:val="decimal" w:pos="7280"/>
        <w:tab w:val="decimal" w:pos="9000"/>
      </w:tabs>
      <w:overflowPunct w:val="0"/>
      <w:autoSpaceDE w:val="0"/>
      <w:autoSpaceDN w:val="0"/>
      <w:adjustRightInd w:val="0"/>
      <w:ind w:left="180" w:hanging="180"/>
      <w:textAlignment w:val="baseline"/>
    </w:pPr>
    <w:rPr>
      <w:rFonts w:ascii="Arial" w:hAnsi="Arial"/>
      <w:sz w:val="20"/>
      <w:lang w:val="en-CA"/>
    </w:rPr>
  </w:style>
  <w:style w:type="paragraph" w:customStyle="1" w:styleId="Top1">
    <w:name w:val="Top1"/>
    <w:basedOn w:val="FS1"/>
    <w:next w:val="Normal"/>
    <w:rsid w:val="003E72D7"/>
    <w:pPr>
      <w:pBdr>
        <w:top w:val="single" w:sz="12" w:space="0" w:color="auto"/>
      </w:pBdr>
    </w:pPr>
  </w:style>
  <w:style w:type="paragraph" w:customStyle="1" w:styleId="TT2">
    <w:name w:val="TT2"/>
    <w:basedOn w:val="Normal"/>
    <w:next w:val="FS1"/>
    <w:rsid w:val="003E72D7"/>
    <w:pPr>
      <w:pBdr>
        <w:top w:val="single" w:sz="6" w:space="0" w:color="auto"/>
      </w:pBdr>
      <w:tabs>
        <w:tab w:val="decimal" w:pos="7280"/>
        <w:tab w:val="decimal" w:pos="9000"/>
      </w:tabs>
      <w:overflowPunct w:val="0"/>
      <w:autoSpaceDE w:val="0"/>
      <w:autoSpaceDN w:val="0"/>
      <w:adjustRightInd w:val="0"/>
      <w:ind w:left="540" w:hanging="180"/>
      <w:textAlignment w:val="baseline"/>
    </w:pPr>
    <w:rPr>
      <w:rFonts w:ascii="Arial" w:hAnsi="Arial"/>
      <w:sz w:val="20"/>
      <w:lang w:val="en-CA"/>
    </w:rPr>
  </w:style>
  <w:style w:type="paragraph" w:customStyle="1" w:styleId="bn">
    <w:name w:val="bn"/>
    <w:basedOn w:val="Normal"/>
    <w:link w:val="bnChar"/>
    <w:uiPriority w:val="99"/>
    <w:rsid w:val="003E72D7"/>
    <w:pPr>
      <w:overflowPunct w:val="0"/>
      <w:autoSpaceDE w:val="0"/>
      <w:autoSpaceDN w:val="0"/>
      <w:adjustRightInd w:val="0"/>
      <w:spacing w:before="300" w:line="280" w:lineRule="atLeast"/>
      <w:jc w:val="both"/>
      <w:textAlignment w:val="baseline"/>
    </w:pPr>
    <w:rPr>
      <w:rFonts w:ascii="Arial" w:hAnsi="Arial"/>
      <w:sz w:val="20"/>
      <w:lang w:val="en-CA"/>
    </w:rPr>
  </w:style>
  <w:style w:type="paragraph" w:customStyle="1" w:styleId="assets">
    <w:name w:val="assets"/>
    <w:basedOn w:val="FS1"/>
    <w:next w:val="FS1"/>
    <w:rsid w:val="003E72D7"/>
    <w:pPr>
      <w:tabs>
        <w:tab w:val="clear" w:pos="7280"/>
        <w:tab w:val="decimal" w:pos="7290"/>
      </w:tabs>
    </w:pPr>
    <w:rPr>
      <w:sz w:val="32"/>
    </w:rPr>
  </w:style>
  <w:style w:type="paragraph" w:customStyle="1" w:styleId="name">
    <w:name w:val="name"/>
    <w:basedOn w:val="FS1"/>
    <w:next w:val="FS1"/>
    <w:rsid w:val="003E72D7"/>
    <w:pPr>
      <w:tabs>
        <w:tab w:val="clear" w:pos="7280"/>
        <w:tab w:val="decimal" w:pos="7290"/>
      </w:tabs>
      <w:ind w:left="0" w:firstLine="0"/>
    </w:pPr>
    <w:rPr>
      <w:b/>
      <w:caps/>
      <w:sz w:val="36"/>
    </w:rPr>
  </w:style>
  <w:style w:type="paragraph" w:customStyle="1" w:styleId="note">
    <w:name w:val="note"/>
    <w:basedOn w:val="bn"/>
    <w:rsid w:val="003E72D7"/>
    <w:pPr>
      <w:spacing w:before="120"/>
    </w:pPr>
  </w:style>
  <w:style w:type="character" w:styleId="PageNumber">
    <w:name w:val="page number"/>
    <w:basedOn w:val="DefaultParagraphFont"/>
    <w:rsid w:val="003E72D7"/>
  </w:style>
  <w:style w:type="paragraph" w:customStyle="1" w:styleId="FS13">
    <w:name w:val="FS1(3)"/>
    <w:basedOn w:val="Normal"/>
    <w:rsid w:val="003E72D7"/>
    <w:pPr>
      <w:tabs>
        <w:tab w:val="decimal" w:pos="5580"/>
        <w:tab w:val="decimal" w:pos="7280"/>
        <w:tab w:val="decimal" w:pos="9000"/>
      </w:tabs>
      <w:overflowPunct w:val="0"/>
      <w:autoSpaceDE w:val="0"/>
      <w:autoSpaceDN w:val="0"/>
      <w:adjustRightInd w:val="0"/>
      <w:ind w:left="180" w:hanging="180"/>
      <w:textAlignment w:val="baseline"/>
    </w:pPr>
    <w:rPr>
      <w:rFonts w:ascii="Arial" w:hAnsi="Arial"/>
      <w:sz w:val="20"/>
      <w:lang w:val="en-CA"/>
    </w:rPr>
  </w:style>
  <w:style w:type="paragraph" w:customStyle="1" w:styleId="FS23">
    <w:name w:val="FS2(3)"/>
    <w:basedOn w:val="FS13"/>
    <w:rsid w:val="003E72D7"/>
    <w:pPr>
      <w:ind w:left="540"/>
    </w:pPr>
  </w:style>
  <w:style w:type="paragraph" w:customStyle="1" w:styleId="FS33">
    <w:name w:val="FS3(3)"/>
    <w:basedOn w:val="FS23"/>
    <w:rsid w:val="003E72D7"/>
    <w:pPr>
      <w:ind w:left="900"/>
    </w:pPr>
  </w:style>
  <w:style w:type="paragraph" w:customStyle="1" w:styleId="DFS13">
    <w:name w:val="DFS1(3)"/>
    <w:basedOn w:val="FS13"/>
    <w:next w:val="FS13"/>
    <w:rsid w:val="003E72D7"/>
    <w:pPr>
      <w:tabs>
        <w:tab w:val="left" w:pos="4410"/>
        <w:tab w:val="left" w:pos="6120"/>
        <w:tab w:val="left" w:pos="7830"/>
      </w:tabs>
    </w:pPr>
  </w:style>
  <w:style w:type="paragraph" w:customStyle="1" w:styleId="DFS23">
    <w:name w:val="DFS2(3)"/>
    <w:basedOn w:val="DFS13"/>
    <w:next w:val="FS23"/>
    <w:rsid w:val="003E72D7"/>
    <w:pPr>
      <w:ind w:left="540"/>
    </w:pPr>
  </w:style>
  <w:style w:type="paragraph" w:customStyle="1" w:styleId="TT13">
    <w:name w:val="TT1(3)"/>
    <w:basedOn w:val="Normal"/>
    <w:next w:val="FS13"/>
    <w:rsid w:val="003E72D7"/>
    <w:pPr>
      <w:pBdr>
        <w:top w:val="single" w:sz="6" w:space="0" w:color="auto"/>
      </w:pBdr>
      <w:tabs>
        <w:tab w:val="decimal" w:pos="5580"/>
        <w:tab w:val="decimal" w:pos="7280"/>
        <w:tab w:val="decimal" w:pos="9000"/>
      </w:tabs>
      <w:overflowPunct w:val="0"/>
      <w:autoSpaceDE w:val="0"/>
      <w:autoSpaceDN w:val="0"/>
      <w:adjustRightInd w:val="0"/>
      <w:ind w:left="180" w:hanging="180"/>
      <w:textAlignment w:val="baseline"/>
    </w:pPr>
    <w:rPr>
      <w:rFonts w:ascii="Arial" w:hAnsi="Arial"/>
      <w:sz w:val="20"/>
      <w:lang w:val="en-CA"/>
    </w:rPr>
  </w:style>
  <w:style w:type="paragraph" w:customStyle="1" w:styleId="TT23">
    <w:name w:val="TT2(3)"/>
    <w:basedOn w:val="TT13"/>
    <w:next w:val="FS23"/>
    <w:rsid w:val="003E72D7"/>
    <w:pPr>
      <w:ind w:left="540"/>
    </w:pPr>
  </w:style>
  <w:style w:type="paragraph" w:customStyle="1" w:styleId="Top13">
    <w:name w:val="Top1(3)"/>
    <w:basedOn w:val="FS13"/>
    <w:next w:val="TT13"/>
    <w:rsid w:val="003E72D7"/>
    <w:pPr>
      <w:pBdr>
        <w:top w:val="single" w:sz="12" w:space="0" w:color="auto"/>
      </w:pBdr>
      <w:tabs>
        <w:tab w:val="right" w:pos="5580"/>
        <w:tab w:val="right" w:pos="7280"/>
        <w:tab w:val="right" w:pos="9000"/>
      </w:tabs>
      <w:ind w:left="187" w:hanging="187"/>
    </w:pPr>
  </w:style>
  <w:style w:type="paragraph" w:customStyle="1" w:styleId="DTT13">
    <w:name w:val="DTT1(3)"/>
    <w:basedOn w:val="DFS13"/>
    <w:next w:val="Top13"/>
    <w:rsid w:val="003E72D7"/>
    <w:pPr>
      <w:pBdr>
        <w:top w:val="single" w:sz="6" w:space="0" w:color="auto"/>
      </w:pBdr>
      <w:ind w:left="187" w:hanging="187"/>
    </w:pPr>
  </w:style>
  <w:style w:type="paragraph" w:styleId="BodyTextIndent">
    <w:name w:val="Body Text Indent"/>
    <w:basedOn w:val="Normal"/>
    <w:rsid w:val="003E72D7"/>
    <w:pPr>
      <w:ind w:left="360"/>
    </w:pPr>
    <w:rPr>
      <w:rFonts w:ascii="Arial" w:hAnsi="Arial" w:cs="Arial"/>
      <w:sz w:val="20"/>
    </w:rPr>
  </w:style>
  <w:style w:type="paragraph" w:customStyle="1" w:styleId="bnul">
    <w:name w:val="bn#ul"/>
    <w:basedOn w:val="bn0"/>
    <w:next w:val="bn1"/>
    <w:link w:val="bnulChar"/>
    <w:rsid w:val="003E72D7"/>
    <w:pPr>
      <w:spacing w:before="280"/>
    </w:pPr>
  </w:style>
  <w:style w:type="paragraph" w:customStyle="1" w:styleId="bn0">
    <w:name w:val="bn#"/>
    <w:basedOn w:val="bn"/>
    <w:next w:val="bn1"/>
    <w:link w:val="bnChar0"/>
    <w:rsid w:val="003E72D7"/>
    <w:pPr>
      <w:spacing w:before="400" w:line="280" w:lineRule="exact"/>
      <w:ind w:left="547" w:hanging="547"/>
    </w:pPr>
    <w:rPr>
      <w:b/>
    </w:rPr>
  </w:style>
  <w:style w:type="paragraph" w:customStyle="1" w:styleId="bn1">
    <w:name w:val="bn1"/>
    <w:basedOn w:val="bn"/>
    <w:link w:val="bn1Char"/>
    <w:uiPriority w:val="99"/>
    <w:rsid w:val="003E72D7"/>
    <w:pPr>
      <w:spacing w:line="280" w:lineRule="exact"/>
      <w:ind w:left="540"/>
    </w:pPr>
  </w:style>
  <w:style w:type="paragraph" w:customStyle="1" w:styleId="TT1">
    <w:name w:val="TT1"/>
    <w:basedOn w:val="FS1"/>
    <w:next w:val="FS1"/>
    <w:rsid w:val="003E72D7"/>
    <w:pPr>
      <w:pBdr>
        <w:top w:val="single" w:sz="6" w:space="0" w:color="auto"/>
      </w:pBdr>
    </w:pPr>
  </w:style>
  <w:style w:type="paragraph" w:customStyle="1" w:styleId="bn1a">
    <w:name w:val="bn1a"/>
    <w:basedOn w:val="bn"/>
    <w:next w:val="bn2"/>
    <w:rsid w:val="003E72D7"/>
    <w:pPr>
      <w:spacing w:line="280" w:lineRule="exact"/>
      <w:ind w:left="900" w:hanging="360"/>
    </w:pPr>
  </w:style>
  <w:style w:type="paragraph" w:customStyle="1" w:styleId="bn2">
    <w:name w:val="bn2"/>
    <w:basedOn w:val="bn1"/>
    <w:link w:val="bn2Char"/>
    <w:rsid w:val="003E72D7"/>
    <w:pPr>
      <w:ind w:left="900"/>
    </w:pPr>
  </w:style>
  <w:style w:type="paragraph" w:customStyle="1" w:styleId="space">
    <w:name w:val="space"/>
    <w:basedOn w:val="Normal"/>
    <w:next w:val="NTop1"/>
    <w:rsid w:val="003E72D7"/>
    <w:pPr>
      <w:tabs>
        <w:tab w:val="decimal" w:pos="7280"/>
        <w:tab w:val="decimal" w:pos="9000"/>
      </w:tabs>
      <w:overflowPunct w:val="0"/>
      <w:autoSpaceDE w:val="0"/>
      <w:autoSpaceDN w:val="0"/>
      <w:adjustRightInd w:val="0"/>
      <w:spacing w:before="60" w:line="280" w:lineRule="atLeast"/>
      <w:ind w:left="180" w:hanging="180"/>
      <w:jc w:val="both"/>
      <w:textAlignment w:val="baseline"/>
    </w:pPr>
    <w:rPr>
      <w:rFonts w:ascii="Arial" w:hAnsi="Arial"/>
      <w:sz w:val="20"/>
      <w:lang w:val="en-CA"/>
    </w:rPr>
  </w:style>
  <w:style w:type="paragraph" w:customStyle="1" w:styleId="NTop1">
    <w:name w:val="NTop1"/>
    <w:basedOn w:val="Top1"/>
    <w:next w:val="NTT1"/>
    <w:rsid w:val="003E72D7"/>
    <w:pPr>
      <w:ind w:left="720"/>
    </w:pPr>
  </w:style>
  <w:style w:type="paragraph" w:customStyle="1" w:styleId="NTT1">
    <w:name w:val="NTT1"/>
    <w:basedOn w:val="TT1"/>
    <w:next w:val="NFS1"/>
    <w:rsid w:val="003E72D7"/>
    <w:pPr>
      <w:ind w:left="720"/>
    </w:pPr>
  </w:style>
  <w:style w:type="paragraph" w:customStyle="1" w:styleId="NFS1">
    <w:name w:val="NFS1"/>
    <w:basedOn w:val="FS1"/>
    <w:rsid w:val="003E72D7"/>
    <w:pPr>
      <w:ind w:left="720"/>
    </w:pPr>
  </w:style>
  <w:style w:type="paragraph" w:customStyle="1" w:styleId="NDFS1">
    <w:name w:val="NDFS1"/>
    <w:basedOn w:val="DFS1"/>
    <w:next w:val="NFS1"/>
    <w:rsid w:val="003E72D7"/>
    <w:pPr>
      <w:ind w:left="720"/>
    </w:pPr>
  </w:style>
  <w:style w:type="paragraph" w:customStyle="1" w:styleId="DFS1">
    <w:name w:val="DFS1"/>
    <w:basedOn w:val="FS1"/>
    <w:next w:val="FS1"/>
    <w:rsid w:val="003E72D7"/>
    <w:pPr>
      <w:tabs>
        <w:tab w:val="left" w:pos="6120"/>
        <w:tab w:val="left" w:pos="7830"/>
      </w:tabs>
    </w:pPr>
  </w:style>
  <w:style w:type="paragraph" w:customStyle="1" w:styleId="NTop2">
    <w:name w:val="NTop2"/>
    <w:basedOn w:val="Top1"/>
    <w:next w:val="NTT2"/>
    <w:rsid w:val="003E72D7"/>
    <w:pPr>
      <w:ind w:left="1080"/>
    </w:pPr>
  </w:style>
  <w:style w:type="paragraph" w:customStyle="1" w:styleId="NTT2">
    <w:name w:val="NTT2"/>
    <w:basedOn w:val="TT1"/>
    <w:next w:val="NFS1"/>
    <w:rsid w:val="003E72D7"/>
    <w:pPr>
      <w:tabs>
        <w:tab w:val="clear" w:pos="7280"/>
        <w:tab w:val="decimal" w:pos="7290"/>
      </w:tabs>
      <w:ind w:left="1080"/>
    </w:pPr>
  </w:style>
  <w:style w:type="paragraph" w:customStyle="1" w:styleId="NDFS2">
    <w:name w:val="NDFS2"/>
    <w:basedOn w:val="DFS1"/>
    <w:rsid w:val="003E72D7"/>
    <w:pPr>
      <w:ind w:left="1080"/>
    </w:pPr>
  </w:style>
  <w:style w:type="paragraph" w:customStyle="1" w:styleId="NFS2">
    <w:name w:val="NFS2"/>
    <w:basedOn w:val="FS1"/>
    <w:rsid w:val="003E72D7"/>
    <w:pPr>
      <w:ind w:left="1080"/>
    </w:pPr>
  </w:style>
  <w:style w:type="paragraph" w:customStyle="1" w:styleId="NTop15">
    <w:name w:val="NTop1(5)"/>
    <w:basedOn w:val="Top25"/>
    <w:next w:val="NTT15"/>
    <w:rsid w:val="003E72D7"/>
    <w:pPr>
      <w:ind w:left="734"/>
    </w:pPr>
  </w:style>
  <w:style w:type="paragraph" w:customStyle="1" w:styleId="Top25">
    <w:name w:val="Top2(5)"/>
    <w:basedOn w:val="FS25"/>
    <w:next w:val="TT25"/>
    <w:rsid w:val="003E72D7"/>
    <w:pPr>
      <w:pBdr>
        <w:top w:val="single" w:sz="12" w:space="0" w:color="auto"/>
      </w:pBdr>
      <w:tabs>
        <w:tab w:val="right" w:pos="3960"/>
        <w:tab w:val="right" w:pos="5220"/>
        <w:tab w:val="right" w:pos="6480"/>
        <w:tab w:val="right" w:pos="7740"/>
        <w:tab w:val="right" w:pos="9000"/>
      </w:tabs>
      <w:ind w:left="547" w:hanging="187"/>
    </w:pPr>
  </w:style>
  <w:style w:type="paragraph" w:customStyle="1" w:styleId="FS25">
    <w:name w:val="FS2(5)"/>
    <w:basedOn w:val="FS15"/>
    <w:rsid w:val="003E72D7"/>
    <w:pPr>
      <w:ind w:left="540"/>
    </w:pPr>
  </w:style>
  <w:style w:type="paragraph" w:customStyle="1" w:styleId="FS15">
    <w:name w:val="FS1(5)"/>
    <w:basedOn w:val="Normal"/>
    <w:rsid w:val="003E72D7"/>
    <w:pPr>
      <w:tabs>
        <w:tab w:val="decimal" w:pos="3960"/>
        <w:tab w:val="decimal" w:pos="5220"/>
        <w:tab w:val="decimal" w:pos="6480"/>
        <w:tab w:val="decimal" w:pos="7740"/>
        <w:tab w:val="decimal" w:pos="9000"/>
      </w:tabs>
      <w:overflowPunct w:val="0"/>
      <w:autoSpaceDE w:val="0"/>
      <w:autoSpaceDN w:val="0"/>
      <w:adjustRightInd w:val="0"/>
      <w:ind w:left="180" w:hanging="180"/>
      <w:textAlignment w:val="baseline"/>
    </w:pPr>
    <w:rPr>
      <w:rFonts w:ascii="Arial" w:hAnsi="Arial"/>
      <w:sz w:val="17"/>
      <w:lang w:val="en-CA"/>
    </w:rPr>
  </w:style>
  <w:style w:type="paragraph" w:customStyle="1" w:styleId="TT25">
    <w:name w:val="TT2(5)"/>
    <w:basedOn w:val="TT15"/>
    <w:next w:val="FS25"/>
    <w:rsid w:val="003E72D7"/>
    <w:pPr>
      <w:ind w:left="540"/>
    </w:pPr>
  </w:style>
  <w:style w:type="paragraph" w:customStyle="1" w:styleId="TT15">
    <w:name w:val="TT1(5)"/>
    <w:basedOn w:val="Normal"/>
    <w:next w:val="FS15"/>
    <w:rsid w:val="003E72D7"/>
    <w:pPr>
      <w:pBdr>
        <w:top w:val="single" w:sz="6" w:space="0" w:color="auto"/>
      </w:pBdr>
      <w:tabs>
        <w:tab w:val="decimal" w:pos="3960"/>
        <w:tab w:val="decimal" w:pos="5220"/>
        <w:tab w:val="decimal" w:pos="6480"/>
        <w:tab w:val="decimal" w:pos="7740"/>
        <w:tab w:val="decimal" w:pos="9000"/>
      </w:tabs>
      <w:overflowPunct w:val="0"/>
      <w:autoSpaceDE w:val="0"/>
      <w:autoSpaceDN w:val="0"/>
      <w:adjustRightInd w:val="0"/>
      <w:ind w:left="180" w:hanging="180"/>
      <w:textAlignment w:val="baseline"/>
    </w:pPr>
    <w:rPr>
      <w:rFonts w:ascii="Arial" w:hAnsi="Arial"/>
      <w:sz w:val="17"/>
      <w:lang w:val="en-CA"/>
    </w:rPr>
  </w:style>
  <w:style w:type="paragraph" w:customStyle="1" w:styleId="NTT15">
    <w:name w:val="NTT1(5)"/>
    <w:basedOn w:val="TT25"/>
    <w:next w:val="NFS15"/>
    <w:rsid w:val="003E72D7"/>
    <w:pPr>
      <w:ind w:left="720"/>
    </w:pPr>
  </w:style>
  <w:style w:type="paragraph" w:customStyle="1" w:styleId="NFS15">
    <w:name w:val="NFS1(5)"/>
    <w:basedOn w:val="FS25"/>
    <w:rsid w:val="003E72D7"/>
    <w:pPr>
      <w:ind w:left="720"/>
    </w:pPr>
  </w:style>
  <w:style w:type="paragraph" w:customStyle="1" w:styleId="NDFS15">
    <w:name w:val="NDFS1(5)"/>
    <w:basedOn w:val="DFS25"/>
    <w:next w:val="NFS15"/>
    <w:rsid w:val="003E72D7"/>
    <w:pPr>
      <w:ind w:left="720"/>
    </w:pPr>
  </w:style>
  <w:style w:type="paragraph" w:customStyle="1" w:styleId="DFS25">
    <w:name w:val="DFS2(5)"/>
    <w:basedOn w:val="DFS15"/>
    <w:next w:val="FS25"/>
    <w:rsid w:val="003E72D7"/>
    <w:pPr>
      <w:ind w:left="540"/>
    </w:pPr>
  </w:style>
  <w:style w:type="paragraph" w:customStyle="1" w:styleId="DFS15">
    <w:name w:val="DFS1(5)"/>
    <w:basedOn w:val="FS15"/>
    <w:next w:val="FS15"/>
    <w:rsid w:val="003E72D7"/>
    <w:pPr>
      <w:tabs>
        <w:tab w:val="left" w:pos="2960"/>
        <w:tab w:val="left" w:pos="4220"/>
        <w:tab w:val="left" w:pos="5480"/>
        <w:tab w:val="left" w:pos="6740"/>
        <w:tab w:val="left" w:pos="8000"/>
      </w:tabs>
    </w:pPr>
  </w:style>
  <w:style w:type="paragraph" w:customStyle="1" w:styleId="bn1ul">
    <w:name w:val="bn1ul"/>
    <w:basedOn w:val="bn1"/>
    <w:next w:val="bn1"/>
    <w:rsid w:val="003E72D7"/>
    <w:pPr>
      <w:spacing w:before="100"/>
      <w:ind w:left="547"/>
    </w:pPr>
  </w:style>
  <w:style w:type="paragraph" w:styleId="BodyTextIndent2">
    <w:name w:val="Body Text Indent 2"/>
    <w:basedOn w:val="Normal"/>
    <w:rsid w:val="003E72D7"/>
    <w:pPr>
      <w:ind w:left="540"/>
    </w:pPr>
    <w:rPr>
      <w:rFonts w:ascii="Arial" w:hAnsi="Arial" w:cs="Arial"/>
      <w:sz w:val="20"/>
      <w:lang w:val="en-CA"/>
    </w:rPr>
  </w:style>
  <w:style w:type="paragraph" w:customStyle="1" w:styleId="textnotes">
    <w:name w:val="text notes"/>
    <w:aliases w:val="TN,tn"/>
    <w:basedOn w:val="Normal"/>
    <w:rsid w:val="003E72D7"/>
    <w:pPr>
      <w:widowControl w:val="0"/>
      <w:tabs>
        <w:tab w:val="decimal" w:pos="6380"/>
        <w:tab w:val="decimal" w:pos="7920"/>
      </w:tabs>
      <w:jc w:val="both"/>
    </w:pPr>
    <w:rPr>
      <w:sz w:val="20"/>
    </w:rPr>
  </w:style>
  <w:style w:type="paragraph" w:customStyle="1" w:styleId="hairline">
    <w:name w:val="hairline"/>
    <w:aliases w:val="HL"/>
    <w:basedOn w:val="Normal"/>
    <w:rsid w:val="003E72D7"/>
    <w:pPr>
      <w:widowControl w:val="0"/>
      <w:pBdr>
        <w:bottom w:val="single" w:sz="6" w:space="1" w:color="auto"/>
      </w:pBdr>
      <w:tabs>
        <w:tab w:val="decimal" w:pos="6380"/>
        <w:tab w:val="decimal" w:pos="7920"/>
      </w:tabs>
      <w:ind w:right="43"/>
    </w:pPr>
    <w:rPr>
      <w:sz w:val="20"/>
    </w:rPr>
  </w:style>
  <w:style w:type="paragraph" w:customStyle="1" w:styleId="thickline">
    <w:name w:val="thick line"/>
    <w:aliases w:val="TL,tl"/>
    <w:basedOn w:val="Normal"/>
    <w:rsid w:val="003E72D7"/>
    <w:pPr>
      <w:widowControl w:val="0"/>
      <w:pBdr>
        <w:bottom w:val="single" w:sz="18" w:space="1" w:color="auto"/>
      </w:pBdr>
      <w:tabs>
        <w:tab w:val="decimal" w:pos="6380"/>
        <w:tab w:val="decimal" w:pos="7920"/>
      </w:tabs>
      <w:ind w:right="43"/>
    </w:pPr>
    <w:rPr>
      <w:sz w:val="20"/>
    </w:rPr>
  </w:style>
  <w:style w:type="paragraph" w:customStyle="1" w:styleId="statement">
    <w:name w:val="statement"/>
    <w:aliases w:val="S,s"/>
    <w:basedOn w:val="Normal"/>
    <w:rsid w:val="003E72D7"/>
    <w:pPr>
      <w:widowControl w:val="0"/>
      <w:tabs>
        <w:tab w:val="decimal" w:pos="6380"/>
        <w:tab w:val="decimal" w:pos="7920"/>
      </w:tabs>
    </w:pPr>
    <w:rPr>
      <w:sz w:val="20"/>
    </w:rPr>
  </w:style>
  <w:style w:type="paragraph" w:customStyle="1" w:styleId="years">
    <w:name w:val="years"/>
    <w:aliases w:val="Y"/>
    <w:basedOn w:val="Normal"/>
    <w:rsid w:val="003E72D7"/>
    <w:pPr>
      <w:widowControl w:val="0"/>
      <w:tabs>
        <w:tab w:val="right" w:pos="6380"/>
        <w:tab w:val="right" w:pos="7920"/>
      </w:tabs>
      <w:ind w:right="6"/>
    </w:pPr>
    <w:rPr>
      <w:b/>
      <w:sz w:val="20"/>
    </w:rPr>
  </w:style>
  <w:style w:type="paragraph" w:customStyle="1" w:styleId="dollarsigns">
    <w:name w:val="dollar signs"/>
    <w:aliases w:val="D"/>
    <w:basedOn w:val="Normal"/>
    <w:rsid w:val="003E72D7"/>
    <w:pPr>
      <w:widowControl w:val="0"/>
      <w:pBdr>
        <w:bottom w:val="single" w:sz="6" w:space="1" w:color="auto"/>
      </w:pBdr>
      <w:tabs>
        <w:tab w:val="center" w:pos="6200"/>
        <w:tab w:val="center" w:pos="7740"/>
      </w:tabs>
      <w:ind w:right="43"/>
    </w:pPr>
    <w:rPr>
      <w:sz w:val="18"/>
    </w:rPr>
  </w:style>
  <w:style w:type="paragraph" w:styleId="BodyTextIndent3">
    <w:name w:val="Body Text Indent 3"/>
    <w:basedOn w:val="Normal"/>
    <w:rsid w:val="003E72D7"/>
    <w:pPr>
      <w:ind w:left="720"/>
    </w:pPr>
    <w:rPr>
      <w:rFonts w:ascii="Arial" w:hAnsi="Arial" w:cs="Arial"/>
      <w:sz w:val="20"/>
    </w:rPr>
  </w:style>
  <w:style w:type="paragraph" w:customStyle="1" w:styleId="RateTable">
    <w:name w:val="RateTable"/>
    <w:aliases w:val="rt,report title"/>
    <w:basedOn w:val="Normal"/>
    <w:rsid w:val="003E72D7"/>
    <w:pPr>
      <w:tabs>
        <w:tab w:val="left" w:pos="5040"/>
        <w:tab w:val="right" w:pos="9000"/>
      </w:tabs>
      <w:overflowPunct w:val="0"/>
      <w:autoSpaceDE w:val="0"/>
      <w:autoSpaceDN w:val="0"/>
      <w:adjustRightInd w:val="0"/>
      <w:ind w:left="900"/>
      <w:textAlignment w:val="baseline"/>
    </w:pPr>
    <w:rPr>
      <w:rFonts w:ascii="Arial" w:hAnsi="Arial"/>
      <w:sz w:val="20"/>
      <w:lang w:val="en-CA"/>
    </w:rPr>
  </w:style>
  <w:style w:type="paragraph" w:customStyle="1" w:styleId="RateTop">
    <w:name w:val="RateTop"/>
    <w:basedOn w:val="Normal"/>
    <w:next w:val="RateTT"/>
    <w:rsid w:val="003E72D7"/>
    <w:pPr>
      <w:pBdr>
        <w:top w:val="single" w:sz="12" w:space="0" w:color="auto"/>
      </w:pBdr>
      <w:tabs>
        <w:tab w:val="left" w:pos="5040"/>
        <w:tab w:val="right" w:pos="9000"/>
      </w:tabs>
      <w:overflowPunct w:val="0"/>
      <w:autoSpaceDE w:val="0"/>
      <w:autoSpaceDN w:val="0"/>
      <w:adjustRightInd w:val="0"/>
      <w:ind w:left="900"/>
      <w:textAlignment w:val="baseline"/>
    </w:pPr>
    <w:rPr>
      <w:rFonts w:ascii="Arial" w:hAnsi="Arial"/>
      <w:sz w:val="20"/>
      <w:lang w:val="en-CA"/>
    </w:rPr>
  </w:style>
  <w:style w:type="paragraph" w:customStyle="1" w:styleId="RateTT">
    <w:name w:val="RateTT"/>
    <w:basedOn w:val="NTT2"/>
    <w:next w:val="RateTable"/>
    <w:rsid w:val="003E72D7"/>
    <w:pPr>
      <w:tabs>
        <w:tab w:val="clear" w:pos="7290"/>
        <w:tab w:val="left" w:pos="5040"/>
      </w:tabs>
    </w:pPr>
  </w:style>
  <w:style w:type="paragraph" w:customStyle="1" w:styleId="NDFS24">
    <w:name w:val="NDFS2(4)"/>
    <w:basedOn w:val="Normal"/>
    <w:next w:val="NFS24"/>
    <w:rsid w:val="003E72D7"/>
    <w:pPr>
      <w:tabs>
        <w:tab w:val="left" w:pos="3600"/>
        <w:tab w:val="decimal" w:pos="4680"/>
        <w:tab w:val="left" w:pos="5040"/>
        <w:tab w:val="decimal" w:pos="6120"/>
        <w:tab w:val="left" w:pos="6480"/>
        <w:tab w:val="decimal" w:pos="7560"/>
        <w:tab w:val="left" w:pos="7920"/>
        <w:tab w:val="decimal" w:pos="9000"/>
      </w:tabs>
      <w:overflowPunct w:val="0"/>
      <w:autoSpaceDE w:val="0"/>
      <w:autoSpaceDN w:val="0"/>
      <w:adjustRightInd w:val="0"/>
      <w:ind w:left="1080" w:hanging="180"/>
      <w:textAlignment w:val="baseline"/>
    </w:pPr>
    <w:rPr>
      <w:rFonts w:ascii="Arial" w:hAnsi="Arial"/>
      <w:sz w:val="18"/>
    </w:rPr>
  </w:style>
  <w:style w:type="paragraph" w:customStyle="1" w:styleId="NFS24">
    <w:name w:val="NFS2(4)"/>
    <w:basedOn w:val="Normal"/>
    <w:rsid w:val="003E72D7"/>
    <w:pPr>
      <w:tabs>
        <w:tab w:val="decimal" w:pos="4680"/>
        <w:tab w:val="decimal" w:pos="6120"/>
        <w:tab w:val="decimal" w:pos="7560"/>
        <w:tab w:val="decimal" w:pos="9000"/>
      </w:tabs>
      <w:overflowPunct w:val="0"/>
      <w:autoSpaceDE w:val="0"/>
      <w:autoSpaceDN w:val="0"/>
      <w:adjustRightInd w:val="0"/>
      <w:ind w:left="1080" w:hanging="180"/>
      <w:textAlignment w:val="baseline"/>
    </w:pPr>
    <w:rPr>
      <w:rFonts w:ascii="Arial" w:hAnsi="Arial"/>
      <w:sz w:val="18"/>
    </w:rPr>
  </w:style>
  <w:style w:type="paragraph" w:customStyle="1" w:styleId="NFS34">
    <w:name w:val="NFS3(4)"/>
    <w:basedOn w:val="Normal"/>
    <w:rsid w:val="003E72D7"/>
    <w:pPr>
      <w:tabs>
        <w:tab w:val="decimal" w:pos="4680"/>
        <w:tab w:val="decimal" w:pos="6120"/>
        <w:tab w:val="decimal" w:pos="7560"/>
        <w:tab w:val="decimal" w:pos="9000"/>
      </w:tabs>
      <w:overflowPunct w:val="0"/>
      <w:autoSpaceDE w:val="0"/>
      <w:autoSpaceDN w:val="0"/>
      <w:adjustRightInd w:val="0"/>
      <w:ind w:left="1440" w:hanging="180"/>
      <w:textAlignment w:val="baseline"/>
    </w:pPr>
    <w:rPr>
      <w:rFonts w:ascii="Arial" w:hAnsi="Arial"/>
      <w:sz w:val="18"/>
    </w:rPr>
  </w:style>
  <w:style w:type="paragraph" w:customStyle="1" w:styleId="NDTT24">
    <w:name w:val="NDTT2(4)"/>
    <w:basedOn w:val="Normal"/>
    <w:next w:val="NTop24"/>
    <w:rsid w:val="003E72D7"/>
    <w:pPr>
      <w:pBdr>
        <w:top w:val="single" w:sz="6" w:space="0" w:color="auto"/>
      </w:pBdr>
      <w:tabs>
        <w:tab w:val="left" w:pos="3600"/>
        <w:tab w:val="decimal" w:pos="4680"/>
        <w:tab w:val="left" w:pos="5040"/>
        <w:tab w:val="decimal" w:pos="6120"/>
        <w:tab w:val="left" w:pos="6480"/>
        <w:tab w:val="decimal" w:pos="7560"/>
        <w:tab w:val="left" w:pos="7920"/>
        <w:tab w:val="decimal" w:pos="9000"/>
      </w:tabs>
      <w:overflowPunct w:val="0"/>
      <w:autoSpaceDE w:val="0"/>
      <w:autoSpaceDN w:val="0"/>
      <w:adjustRightInd w:val="0"/>
      <w:ind w:left="1080" w:hanging="187"/>
      <w:textAlignment w:val="baseline"/>
    </w:pPr>
    <w:rPr>
      <w:rFonts w:ascii="Arial" w:hAnsi="Arial"/>
      <w:sz w:val="18"/>
    </w:rPr>
  </w:style>
  <w:style w:type="paragraph" w:customStyle="1" w:styleId="NTop24">
    <w:name w:val="NTop2(4)"/>
    <w:basedOn w:val="Normal"/>
    <w:next w:val="NTT24"/>
    <w:rsid w:val="003E72D7"/>
    <w:pPr>
      <w:pBdr>
        <w:top w:val="single" w:sz="12" w:space="0" w:color="auto"/>
      </w:pBdr>
      <w:tabs>
        <w:tab w:val="right" w:pos="4680"/>
        <w:tab w:val="right" w:pos="6120"/>
        <w:tab w:val="right" w:pos="7560"/>
        <w:tab w:val="right" w:pos="9000"/>
      </w:tabs>
      <w:overflowPunct w:val="0"/>
      <w:autoSpaceDE w:val="0"/>
      <w:autoSpaceDN w:val="0"/>
      <w:adjustRightInd w:val="0"/>
      <w:ind w:left="1080" w:hanging="187"/>
      <w:textAlignment w:val="baseline"/>
    </w:pPr>
    <w:rPr>
      <w:rFonts w:ascii="Arial" w:hAnsi="Arial"/>
      <w:sz w:val="18"/>
    </w:rPr>
  </w:style>
  <w:style w:type="paragraph" w:customStyle="1" w:styleId="NTT24">
    <w:name w:val="NTT2(4)"/>
    <w:basedOn w:val="Normal"/>
    <w:next w:val="NFS24"/>
    <w:rsid w:val="003E72D7"/>
    <w:pPr>
      <w:pBdr>
        <w:top w:val="single" w:sz="6" w:space="0" w:color="auto"/>
      </w:pBdr>
      <w:tabs>
        <w:tab w:val="decimal" w:pos="4680"/>
        <w:tab w:val="decimal" w:pos="6120"/>
        <w:tab w:val="decimal" w:pos="7560"/>
        <w:tab w:val="decimal" w:pos="9000"/>
      </w:tabs>
      <w:overflowPunct w:val="0"/>
      <w:autoSpaceDE w:val="0"/>
      <w:autoSpaceDN w:val="0"/>
      <w:adjustRightInd w:val="0"/>
      <w:ind w:left="1080" w:hanging="180"/>
      <w:textAlignment w:val="baseline"/>
    </w:pPr>
    <w:rPr>
      <w:rFonts w:ascii="Arial" w:hAnsi="Arial"/>
      <w:sz w:val="18"/>
    </w:rPr>
  </w:style>
  <w:style w:type="paragraph" w:customStyle="1" w:styleId="4colTT">
    <w:name w:val="4colTT"/>
    <w:basedOn w:val="Normal"/>
    <w:next w:val="4col"/>
    <w:rsid w:val="003E72D7"/>
    <w:pPr>
      <w:pBdr>
        <w:top w:val="single" w:sz="6" w:space="0" w:color="auto"/>
      </w:pBdr>
      <w:tabs>
        <w:tab w:val="decimal" w:pos="4140"/>
        <w:tab w:val="decimal" w:pos="5760"/>
        <w:tab w:val="decimal" w:pos="7380"/>
        <w:tab w:val="decimal" w:pos="9000"/>
      </w:tabs>
      <w:overflowPunct w:val="0"/>
      <w:autoSpaceDE w:val="0"/>
      <w:autoSpaceDN w:val="0"/>
      <w:adjustRightInd w:val="0"/>
      <w:ind w:left="533"/>
      <w:textAlignment w:val="baseline"/>
    </w:pPr>
    <w:rPr>
      <w:rFonts w:ascii="Arial" w:hAnsi="Arial"/>
      <w:sz w:val="20"/>
      <w:lang w:val="en-CA"/>
    </w:rPr>
  </w:style>
  <w:style w:type="paragraph" w:customStyle="1" w:styleId="4col">
    <w:name w:val="4col"/>
    <w:basedOn w:val="NFS1"/>
    <w:rsid w:val="003E72D7"/>
    <w:pPr>
      <w:tabs>
        <w:tab w:val="clear" w:pos="7280"/>
        <w:tab w:val="decimal" w:pos="4140"/>
        <w:tab w:val="decimal" w:pos="5760"/>
        <w:tab w:val="decimal" w:pos="7380"/>
      </w:tabs>
    </w:pPr>
  </w:style>
  <w:style w:type="paragraph" w:customStyle="1" w:styleId="4colD">
    <w:name w:val="4colD"/>
    <w:basedOn w:val="4col"/>
    <w:next w:val="4col"/>
    <w:rsid w:val="003E72D7"/>
    <w:pPr>
      <w:tabs>
        <w:tab w:val="left" w:pos="2970"/>
        <w:tab w:val="left" w:pos="4590"/>
        <w:tab w:val="left" w:pos="6210"/>
        <w:tab w:val="left" w:pos="7830"/>
      </w:tabs>
    </w:pPr>
  </w:style>
  <w:style w:type="paragraph" w:customStyle="1" w:styleId="4colDTT">
    <w:name w:val="4colDTT"/>
    <w:basedOn w:val="4colD"/>
    <w:next w:val="4colTop"/>
    <w:rsid w:val="003E72D7"/>
    <w:pPr>
      <w:pBdr>
        <w:top w:val="single" w:sz="6" w:space="0" w:color="auto"/>
      </w:pBdr>
      <w:ind w:left="540" w:firstLine="0"/>
    </w:pPr>
  </w:style>
  <w:style w:type="paragraph" w:customStyle="1" w:styleId="4colTop">
    <w:name w:val="4colTop"/>
    <w:basedOn w:val="Normal"/>
    <w:next w:val="4colTT"/>
    <w:rsid w:val="003E72D7"/>
    <w:pPr>
      <w:pBdr>
        <w:top w:val="single" w:sz="12" w:space="0" w:color="auto"/>
      </w:pBdr>
      <w:tabs>
        <w:tab w:val="decimal" w:pos="7380"/>
        <w:tab w:val="decimal" w:pos="9000"/>
      </w:tabs>
      <w:overflowPunct w:val="0"/>
      <w:autoSpaceDE w:val="0"/>
      <w:autoSpaceDN w:val="0"/>
      <w:adjustRightInd w:val="0"/>
      <w:ind w:left="547"/>
      <w:textAlignment w:val="baseline"/>
    </w:pPr>
    <w:rPr>
      <w:rFonts w:ascii="Arial" w:hAnsi="Arial"/>
      <w:sz w:val="20"/>
      <w:lang w:val="en-CA"/>
    </w:rPr>
  </w:style>
  <w:style w:type="paragraph" w:customStyle="1" w:styleId="NDTT1">
    <w:name w:val="NDTT1"/>
    <w:basedOn w:val="Normal"/>
    <w:next w:val="NTop1"/>
    <w:rsid w:val="003E72D7"/>
    <w:pPr>
      <w:pBdr>
        <w:top w:val="single" w:sz="6" w:space="0" w:color="auto"/>
      </w:pBdr>
      <w:tabs>
        <w:tab w:val="left" w:pos="6120"/>
        <w:tab w:val="decimal" w:pos="7280"/>
        <w:tab w:val="left" w:pos="7830"/>
        <w:tab w:val="decimal" w:pos="9000"/>
      </w:tabs>
      <w:overflowPunct w:val="0"/>
      <w:autoSpaceDE w:val="0"/>
      <w:autoSpaceDN w:val="0"/>
      <w:adjustRightInd w:val="0"/>
      <w:ind w:left="720" w:hanging="180"/>
      <w:textAlignment w:val="baseline"/>
    </w:pPr>
    <w:rPr>
      <w:rFonts w:ascii="Arial" w:hAnsi="Arial"/>
      <w:sz w:val="20"/>
      <w:lang w:val="en-CA"/>
    </w:rPr>
  </w:style>
  <w:style w:type="paragraph" w:customStyle="1" w:styleId="bn2ul">
    <w:name w:val="bn2ul"/>
    <w:basedOn w:val="bn1ul"/>
    <w:next w:val="bn2"/>
    <w:rsid w:val="003E72D7"/>
    <w:pPr>
      <w:ind w:left="900"/>
    </w:pPr>
  </w:style>
  <w:style w:type="paragraph" w:customStyle="1" w:styleId="NFS25">
    <w:name w:val="NFS2(5)"/>
    <w:basedOn w:val="Normal"/>
    <w:rsid w:val="003E72D7"/>
    <w:pPr>
      <w:tabs>
        <w:tab w:val="decimal" w:pos="3960"/>
        <w:tab w:val="decimal" w:pos="5220"/>
        <w:tab w:val="decimal" w:pos="6480"/>
        <w:tab w:val="decimal" w:pos="7740"/>
        <w:tab w:val="decimal" w:pos="9000"/>
      </w:tabs>
      <w:overflowPunct w:val="0"/>
      <w:autoSpaceDE w:val="0"/>
      <w:autoSpaceDN w:val="0"/>
      <w:adjustRightInd w:val="0"/>
      <w:ind w:left="1080" w:hanging="180"/>
      <w:textAlignment w:val="baseline"/>
    </w:pPr>
    <w:rPr>
      <w:rFonts w:ascii="Arial" w:hAnsi="Arial"/>
      <w:sz w:val="17"/>
      <w:lang w:val="en-CA"/>
    </w:rPr>
  </w:style>
  <w:style w:type="paragraph" w:customStyle="1" w:styleId="NTop25">
    <w:name w:val="NTop2(5)"/>
    <w:basedOn w:val="Normal"/>
    <w:next w:val="NTT25"/>
    <w:rsid w:val="003E72D7"/>
    <w:pPr>
      <w:pBdr>
        <w:top w:val="single" w:sz="12" w:space="0" w:color="auto"/>
      </w:pBdr>
      <w:tabs>
        <w:tab w:val="right" w:pos="3960"/>
        <w:tab w:val="right" w:pos="5220"/>
        <w:tab w:val="right" w:pos="6480"/>
        <w:tab w:val="right" w:pos="7740"/>
        <w:tab w:val="right" w:pos="9000"/>
      </w:tabs>
      <w:overflowPunct w:val="0"/>
      <w:autoSpaceDE w:val="0"/>
      <w:autoSpaceDN w:val="0"/>
      <w:adjustRightInd w:val="0"/>
      <w:ind w:left="1094" w:hanging="187"/>
      <w:textAlignment w:val="baseline"/>
    </w:pPr>
    <w:rPr>
      <w:rFonts w:ascii="Arial" w:hAnsi="Arial"/>
      <w:sz w:val="17"/>
      <w:lang w:val="en-CA"/>
    </w:rPr>
  </w:style>
  <w:style w:type="paragraph" w:customStyle="1" w:styleId="NTT25">
    <w:name w:val="NTT2(5)"/>
    <w:basedOn w:val="Normal"/>
    <w:next w:val="NFS25"/>
    <w:rsid w:val="003E72D7"/>
    <w:pPr>
      <w:pBdr>
        <w:top w:val="single" w:sz="6" w:space="0" w:color="auto"/>
      </w:pBdr>
      <w:tabs>
        <w:tab w:val="decimal" w:pos="3960"/>
        <w:tab w:val="decimal" w:pos="5220"/>
        <w:tab w:val="decimal" w:pos="6480"/>
        <w:tab w:val="decimal" w:pos="7740"/>
        <w:tab w:val="decimal" w:pos="9000"/>
      </w:tabs>
      <w:overflowPunct w:val="0"/>
      <w:autoSpaceDE w:val="0"/>
      <w:autoSpaceDN w:val="0"/>
      <w:adjustRightInd w:val="0"/>
      <w:ind w:left="1080" w:hanging="180"/>
      <w:textAlignment w:val="baseline"/>
    </w:pPr>
    <w:rPr>
      <w:rFonts w:ascii="Arial" w:hAnsi="Arial"/>
      <w:sz w:val="17"/>
      <w:lang w:val="en-CA"/>
    </w:rPr>
  </w:style>
  <w:style w:type="paragraph" w:customStyle="1" w:styleId="ntop4">
    <w:name w:val="ntop4"/>
    <w:basedOn w:val="NTT24"/>
    <w:rsid w:val="003E72D7"/>
    <w:pPr>
      <w:tabs>
        <w:tab w:val="right" w:pos="6120"/>
      </w:tabs>
      <w:ind w:left="720"/>
    </w:pPr>
    <w:rPr>
      <w:lang w:val="en-CA"/>
    </w:rPr>
  </w:style>
  <w:style w:type="paragraph" w:customStyle="1" w:styleId="ntop294">
    <w:name w:val="ntop294)"/>
    <w:basedOn w:val="ntop4"/>
    <w:rsid w:val="003E72D7"/>
  </w:style>
  <w:style w:type="paragraph" w:customStyle="1" w:styleId="nfs194">
    <w:name w:val="nfs194)"/>
    <w:basedOn w:val="NTop24"/>
    <w:rsid w:val="003E72D7"/>
    <w:rPr>
      <w:lang w:val="en-CA"/>
    </w:rPr>
  </w:style>
  <w:style w:type="paragraph" w:customStyle="1" w:styleId="nfs14">
    <w:name w:val="nfs1(4)"/>
    <w:basedOn w:val="nfs194"/>
    <w:rsid w:val="003E72D7"/>
  </w:style>
  <w:style w:type="paragraph" w:customStyle="1" w:styleId="nfs294">
    <w:name w:val="nfs294)"/>
    <w:basedOn w:val="nfs14"/>
    <w:rsid w:val="003E72D7"/>
  </w:style>
  <w:style w:type="paragraph" w:customStyle="1" w:styleId="bn1aul">
    <w:name w:val="bn1aul"/>
    <w:basedOn w:val="bn1ul"/>
    <w:uiPriority w:val="99"/>
    <w:rsid w:val="003E72D7"/>
    <w:pPr>
      <w:ind w:left="900" w:hanging="353"/>
    </w:pPr>
  </w:style>
  <w:style w:type="paragraph" w:customStyle="1" w:styleId="NFS3">
    <w:name w:val="NFS3"/>
    <w:basedOn w:val="FS1"/>
    <w:rsid w:val="003E72D7"/>
    <w:pPr>
      <w:ind w:left="1440"/>
    </w:pPr>
  </w:style>
  <w:style w:type="paragraph" w:customStyle="1" w:styleId="NDTT2">
    <w:name w:val="NDTT2"/>
    <w:basedOn w:val="Normal"/>
    <w:next w:val="NTop2"/>
    <w:rsid w:val="003E72D7"/>
    <w:pPr>
      <w:pBdr>
        <w:top w:val="single" w:sz="6" w:space="0" w:color="auto"/>
      </w:pBdr>
      <w:tabs>
        <w:tab w:val="left" w:pos="6120"/>
        <w:tab w:val="decimal" w:pos="7280"/>
        <w:tab w:val="left" w:pos="7830"/>
        <w:tab w:val="decimal" w:pos="9000"/>
      </w:tabs>
      <w:overflowPunct w:val="0"/>
      <w:autoSpaceDE w:val="0"/>
      <w:autoSpaceDN w:val="0"/>
      <w:adjustRightInd w:val="0"/>
      <w:ind w:left="1094" w:hanging="187"/>
      <w:textAlignment w:val="baseline"/>
    </w:pPr>
    <w:rPr>
      <w:rFonts w:ascii="Arial" w:hAnsi="Arial"/>
      <w:sz w:val="20"/>
      <w:lang w:val="en-CA"/>
    </w:rPr>
  </w:style>
  <w:style w:type="paragraph" w:customStyle="1" w:styleId="NDFS3">
    <w:name w:val="NDFS3"/>
    <w:basedOn w:val="DFS1"/>
    <w:next w:val="NFS3"/>
    <w:rsid w:val="003E72D7"/>
    <w:pPr>
      <w:ind w:left="1440"/>
    </w:pPr>
  </w:style>
  <w:style w:type="paragraph" w:customStyle="1" w:styleId="NTT3">
    <w:name w:val="NTT3"/>
    <w:basedOn w:val="TT1"/>
    <w:next w:val="NFS2"/>
    <w:rsid w:val="003E72D7"/>
    <w:pPr>
      <w:ind w:left="1440"/>
    </w:pPr>
  </w:style>
  <w:style w:type="paragraph" w:customStyle="1" w:styleId="NDFS23">
    <w:name w:val="NDFS2(3)"/>
    <w:basedOn w:val="DFS23"/>
    <w:next w:val="NFS23"/>
    <w:rsid w:val="003E72D7"/>
    <w:pPr>
      <w:ind w:left="1080"/>
    </w:pPr>
  </w:style>
  <w:style w:type="paragraph" w:customStyle="1" w:styleId="NFS23">
    <w:name w:val="NFS2(3)"/>
    <w:basedOn w:val="FS23"/>
    <w:rsid w:val="003E72D7"/>
    <w:pPr>
      <w:ind w:left="1080"/>
    </w:pPr>
  </w:style>
  <w:style w:type="paragraph" w:customStyle="1" w:styleId="NDTT23">
    <w:name w:val="NDTT2(3)"/>
    <w:basedOn w:val="Normal"/>
    <w:next w:val="NTop23"/>
    <w:rsid w:val="003E72D7"/>
    <w:pPr>
      <w:pBdr>
        <w:top w:val="single" w:sz="6" w:space="0" w:color="auto"/>
      </w:pBdr>
      <w:tabs>
        <w:tab w:val="left" w:pos="4410"/>
        <w:tab w:val="decimal" w:pos="5580"/>
        <w:tab w:val="left" w:pos="6120"/>
        <w:tab w:val="decimal" w:pos="7280"/>
        <w:tab w:val="left" w:pos="7830"/>
        <w:tab w:val="decimal" w:pos="9000"/>
      </w:tabs>
      <w:overflowPunct w:val="0"/>
      <w:autoSpaceDE w:val="0"/>
      <w:autoSpaceDN w:val="0"/>
      <w:adjustRightInd w:val="0"/>
      <w:ind w:left="1080" w:hanging="187"/>
      <w:textAlignment w:val="baseline"/>
    </w:pPr>
    <w:rPr>
      <w:rFonts w:ascii="Arial" w:hAnsi="Arial"/>
      <w:sz w:val="20"/>
      <w:lang w:val="en-CA"/>
    </w:rPr>
  </w:style>
  <w:style w:type="paragraph" w:customStyle="1" w:styleId="NTop23">
    <w:name w:val="NTop2(3)"/>
    <w:basedOn w:val="Normal"/>
    <w:next w:val="Normal"/>
    <w:rsid w:val="003E72D7"/>
    <w:pPr>
      <w:pBdr>
        <w:top w:val="single" w:sz="12" w:space="0" w:color="auto"/>
      </w:pBdr>
      <w:tabs>
        <w:tab w:val="right" w:pos="5580"/>
        <w:tab w:val="right" w:pos="7280"/>
        <w:tab w:val="right" w:pos="9000"/>
      </w:tabs>
      <w:overflowPunct w:val="0"/>
      <w:autoSpaceDE w:val="0"/>
      <w:autoSpaceDN w:val="0"/>
      <w:adjustRightInd w:val="0"/>
      <w:ind w:left="1080" w:hanging="187"/>
      <w:textAlignment w:val="baseline"/>
    </w:pPr>
    <w:rPr>
      <w:rFonts w:ascii="Arial" w:hAnsi="Arial"/>
      <w:sz w:val="20"/>
      <w:lang w:val="en-CA"/>
    </w:rPr>
  </w:style>
  <w:style w:type="paragraph" w:styleId="BlockText">
    <w:name w:val="Block Text"/>
    <w:basedOn w:val="Normal"/>
    <w:rsid w:val="003E72D7"/>
    <w:pPr>
      <w:ind w:left="567" w:right="1984"/>
      <w:jc w:val="both"/>
    </w:pPr>
    <w:rPr>
      <w:lang w:val="en-CA"/>
    </w:rPr>
  </w:style>
  <w:style w:type="paragraph" w:styleId="FootnoteText">
    <w:name w:val="footnote text"/>
    <w:basedOn w:val="Normal"/>
    <w:semiHidden/>
    <w:rsid w:val="003E72D7"/>
    <w:rPr>
      <w:sz w:val="20"/>
    </w:rPr>
  </w:style>
  <w:style w:type="character" w:styleId="FootnoteReference">
    <w:name w:val="footnote reference"/>
    <w:basedOn w:val="DefaultParagraphFont"/>
    <w:semiHidden/>
    <w:rsid w:val="003E72D7"/>
    <w:rPr>
      <w:vertAlign w:val="superscript"/>
    </w:rPr>
  </w:style>
  <w:style w:type="paragraph" w:styleId="CommentText">
    <w:name w:val="annotation text"/>
    <w:basedOn w:val="Normal"/>
    <w:link w:val="CommentTextChar"/>
    <w:rsid w:val="003E72D7"/>
    <w:rPr>
      <w:sz w:val="20"/>
    </w:rPr>
  </w:style>
  <w:style w:type="paragraph" w:styleId="CommentSubject">
    <w:name w:val="annotation subject"/>
    <w:basedOn w:val="CommentText"/>
    <w:next w:val="CommentText"/>
    <w:semiHidden/>
    <w:rsid w:val="003E72D7"/>
    <w:rPr>
      <w:b/>
      <w:bCs/>
    </w:rPr>
  </w:style>
  <w:style w:type="character" w:styleId="CommentReference">
    <w:name w:val="annotation reference"/>
    <w:basedOn w:val="DefaultParagraphFont"/>
    <w:rsid w:val="003E72D7"/>
    <w:rPr>
      <w:sz w:val="16"/>
      <w:szCs w:val="16"/>
    </w:rPr>
  </w:style>
  <w:style w:type="character" w:styleId="FollowedHyperlink">
    <w:name w:val="FollowedHyperlink"/>
    <w:basedOn w:val="DefaultParagraphFont"/>
    <w:rsid w:val="003E72D7"/>
    <w:rPr>
      <w:color w:val="800080"/>
      <w:u w:val="single"/>
    </w:rPr>
  </w:style>
  <w:style w:type="paragraph" w:styleId="BalloonText">
    <w:name w:val="Balloon Text"/>
    <w:basedOn w:val="Normal"/>
    <w:semiHidden/>
    <w:rsid w:val="003E72D7"/>
    <w:rPr>
      <w:rFonts w:ascii="Tahoma" w:hAnsi="Tahoma" w:cs="Tahoma"/>
      <w:sz w:val="16"/>
      <w:szCs w:val="16"/>
    </w:rPr>
  </w:style>
  <w:style w:type="paragraph" w:customStyle="1" w:styleId="AuditBody">
    <w:name w:val="AuditBody"/>
    <w:aliases w:val="ab,Address Block,AudtiBody, ab"/>
    <w:basedOn w:val="Normal"/>
    <w:rsid w:val="003E72D7"/>
    <w:pPr>
      <w:overflowPunct w:val="0"/>
      <w:autoSpaceDE w:val="0"/>
      <w:autoSpaceDN w:val="0"/>
      <w:adjustRightInd w:val="0"/>
      <w:spacing w:before="120" w:line="280" w:lineRule="atLeast"/>
      <w:jc w:val="both"/>
      <w:textAlignment w:val="baseline"/>
    </w:pPr>
    <w:rPr>
      <w:rFonts w:ascii="Arial" w:hAnsi="Arial"/>
      <w:sz w:val="20"/>
    </w:rPr>
  </w:style>
  <w:style w:type="paragraph" w:customStyle="1" w:styleId="fstitle1">
    <w:name w:val="fstitle1"/>
    <w:basedOn w:val="Normal"/>
    <w:rsid w:val="003E72D7"/>
    <w:pPr>
      <w:overflowPunct w:val="0"/>
      <w:autoSpaceDE w:val="0"/>
      <w:autoSpaceDN w:val="0"/>
      <w:adjustRightInd w:val="0"/>
      <w:ind w:left="1800"/>
      <w:textAlignment w:val="baseline"/>
    </w:pPr>
    <w:rPr>
      <w:rFonts w:ascii="Arial" w:hAnsi="Arial"/>
      <w:sz w:val="20"/>
    </w:rPr>
  </w:style>
  <w:style w:type="paragraph" w:customStyle="1" w:styleId="fstitle2">
    <w:name w:val="fstitle2"/>
    <w:basedOn w:val="fstitle1"/>
    <w:next w:val="fstitle3"/>
    <w:rsid w:val="003E72D7"/>
    <w:pPr>
      <w:ind w:right="1440"/>
    </w:pPr>
    <w:rPr>
      <w:b/>
      <w:caps/>
      <w:sz w:val="36"/>
    </w:rPr>
  </w:style>
  <w:style w:type="paragraph" w:customStyle="1" w:styleId="fstitle3">
    <w:name w:val="fstitle3"/>
    <w:basedOn w:val="fstitle1"/>
    <w:next w:val="fstitle1"/>
    <w:rsid w:val="003E72D7"/>
    <w:pPr>
      <w:spacing w:line="480" w:lineRule="atLeast"/>
    </w:pPr>
  </w:style>
  <w:style w:type="paragraph" w:customStyle="1" w:styleId="headingnotes">
    <w:name w:val="heading/notes"/>
    <w:aliases w:val="HN,hn"/>
    <w:basedOn w:val="Normal"/>
    <w:rsid w:val="00202CAB"/>
    <w:pPr>
      <w:widowControl w:val="0"/>
      <w:tabs>
        <w:tab w:val="decimal" w:pos="6380"/>
        <w:tab w:val="decimal" w:pos="7920"/>
      </w:tabs>
    </w:pPr>
    <w:rPr>
      <w:b/>
      <w:sz w:val="24"/>
    </w:rPr>
  </w:style>
  <w:style w:type="paragraph" w:customStyle="1" w:styleId="Body">
    <w:name w:val="_Body"/>
    <w:basedOn w:val="Normal"/>
    <w:rsid w:val="005853CD"/>
    <w:pPr>
      <w:spacing w:after="200"/>
      <w:jc w:val="both"/>
    </w:pPr>
    <w:rPr>
      <w:rFonts w:ascii="Arial" w:eastAsia="SC STKaiti" w:hAnsi="Arial" w:cs="Arial"/>
      <w:sz w:val="20"/>
    </w:rPr>
  </w:style>
  <w:style w:type="character" w:customStyle="1" w:styleId="Prompt">
    <w:name w:val="Prompt"/>
    <w:aliases w:val="Pr"/>
    <w:basedOn w:val="DefaultParagraphFont"/>
    <w:rsid w:val="006846A7"/>
    <w:rPr>
      <w:color w:val="0000FF"/>
    </w:rPr>
  </w:style>
  <w:style w:type="paragraph" w:styleId="EndnoteText">
    <w:name w:val="endnote text"/>
    <w:basedOn w:val="Normal"/>
    <w:semiHidden/>
    <w:rsid w:val="00156819"/>
    <w:rPr>
      <w:rFonts w:ascii="Arial" w:hAnsi="Arial" w:cs="Arial"/>
      <w:sz w:val="20"/>
      <w:lang w:val="en-CA"/>
    </w:rPr>
  </w:style>
  <w:style w:type="character" w:customStyle="1" w:styleId="newsstorytitle1">
    <w:name w:val="news_story_title1"/>
    <w:basedOn w:val="DefaultParagraphFont"/>
    <w:rsid w:val="00156819"/>
    <w:rPr>
      <w:rFonts w:ascii="Verdana" w:hAnsi="Verdana" w:hint="default"/>
      <w:b/>
      <w:bCs/>
      <w:color w:val="000000"/>
      <w:sz w:val="24"/>
      <w:szCs w:val="24"/>
    </w:rPr>
  </w:style>
  <w:style w:type="paragraph" w:customStyle="1" w:styleId="Style13">
    <w:name w:val="Style 13"/>
    <w:basedOn w:val="Normal"/>
    <w:rsid w:val="00976CE6"/>
    <w:pPr>
      <w:widowControl w:val="0"/>
      <w:autoSpaceDE w:val="0"/>
      <w:autoSpaceDN w:val="0"/>
      <w:spacing w:line="264" w:lineRule="atLeast"/>
      <w:ind w:right="72"/>
      <w:jc w:val="both"/>
    </w:pPr>
    <w:rPr>
      <w:sz w:val="24"/>
      <w:szCs w:val="24"/>
    </w:rPr>
  </w:style>
  <w:style w:type="paragraph" w:customStyle="1" w:styleId="Style4">
    <w:name w:val="Style 4"/>
    <w:basedOn w:val="Normal"/>
    <w:rsid w:val="00976CE6"/>
    <w:pPr>
      <w:widowControl w:val="0"/>
      <w:autoSpaceDE w:val="0"/>
      <w:autoSpaceDN w:val="0"/>
      <w:spacing w:line="264" w:lineRule="atLeast"/>
      <w:jc w:val="both"/>
    </w:pPr>
    <w:rPr>
      <w:sz w:val="24"/>
      <w:szCs w:val="24"/>
    </w:rPr>
  </w:style>
  <w:style w:type="table" w:styleId="TableGrid">
    <w:name w:val="Table Grid"/>
    <w:basedOn w:val="TableNormal"/>
    <w:rsid w:val="0029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n2Char">
    <w:name w:val="bn2 Char"/>
    <w:basedOn w:val="DefaultParagraphFont"/>
    <w:link w:val="bn2"/>
    <w:rsid w:val="008F1E13"/>
    <w:rPr>
      <w:rFonts w:ascii="Arial" w:hAnsi="Arial"/>
      <w:lang w:val="en-CA" w:eastAsia="en-US" w:bidi="ar-SA"/>
    </w:rPr>
  </w:style>
  <w:style w:type="paragraph" w:customStyle="1" w:styleId="NDTT3">
    <w:name w:val="NDTT3"/>
    <w:basedOn w:val="Normal"/>
    <w:next w:val="NTop3"/>
    <w:rsid w:val="00C039AA"/>
    <w:pPr>
      <w:pBdr>
        <w:top w:val="single" w:sz="6" w:space="0" w:color="auto"/>
      </w:pBdr>
      <w:tabs>
        <w:tab w:val="left" w:pos="6120"/>
        <w:tab w:val="decimal" w:pos="7280"/>
        <w:tab w:val="left" w:pos="7830"/>
        <w:tab w:val="decimal" w:pos="9000"/>
      </w:tabs>
      <w:overflowPunct w:val="0"/>
      <w:autoSpaceDE w:val="0"/>
      <w:autoSpaceDN w:val="0"/>
      <w:adjustRightInd w:val="0"/>
      <w:ind w:left="1440" w:hanging="180"/>
      <w:textAlignment w:val="baseline"/>
    </w:pPr>
    <w:rPr>
      <w:rFonts w:ascii="Arial" w:hAnsi="Arial"/>
      <w:sz w:val="20"/>
      <w:lang w:val="en-CA"/>
    </w:rPr>
  </w:style>
  <w:style w:type="paragraph" w:customStyle="1" w:styleId="NTop3">
    <w:name w:val="NTop3"/>
    <w:basedOn w:val="Top1"/>
    <w:next w:val="NTT3"/>
    <w:rsid w:val="00C039AA"/>
    <w:pPr>
      <w:ind w:left="1454" w:hanging="187"/>
    </w:pPr>
  </w:style>
  <w:style w:type="paragraph" w:customStyle="1" w:styleId="bn3">
    <w:name w:val="bn3"/>
    <w:basedOn w:val="bn2"/>
    <w:link w:val="bn3Char"/>
    <w:rsid w:val="00C039AA"/>
    <w:pPr>
      <w:ind w:left="1260"/>
    </w:pPr>
  </w:style>
  <w:style w:type="paragraph" w:customStyle="1" w:styleId="bn3a">
    <w:name w:val="bn3a"/>
    <w:basedOn w:val="bn3"/>
    <w:link w:val="bn3aChar"/>
    <w:rsid w:val="00C039AA"/>
    <w:pPr>
      <w:ind w:left="1620" w:hanging="360"/>
    </w:pPr>
  </w:style>
  <w:style w:type="paragraph" w:customStyle="1" w:styleId="bn2a">
    <w:name w:val="bn2a"/>
    <w:basedOn w:val="bn3a"/>
    <w:next w:val="bn3"/>
    <w:link w:val="bn2aChar"/>
    <w:uiPriority w:val="99"/>
    <w:rsid w:val="00C039AA"/>
    <w:pPr>
      <w:ind w:left="1260"/>
    </w:pPr>
  </w:style>
  <w:style w:type="character" w:customStyle="1" w:styleId="bn3Char">
    <w:name w:val="bn3 Char"/>
    <w:basedOn w:val="bn2Char"/>
    <w:link w:val="bn3"/>
    <w:rsid w:val="00C039AA"/>
    <w:rPr>
      <w:rFonts w:ascii="Arial" w:hAnsi="Arial"/>
      <w:lang w:val="en-CA" w:eastAsia="en-US" w:bidi="ar-SA"/>
    </w:rPr>
  </w:style>
  <w:style w:type="character" w:customStyle="1" w:styleId="bn2aChar">
    <w:name w:val="bn2a Char"/>
    <w:basedOn w:val="DefaultParagraphFont"/>
    <w:link w:val="bn2a"/>
    <w:uiPriority w:val="99"/>
    <w:rsid w:val="00C039AA"/>
    <w:rPr>
      <w:rFonts w:ascii="Arial" w:hAnsi="Arial"/>
      <w:lang w:val="en-CA" w:eastAsia="en-US" w:bidi="ar-SA"/>
    </w:rPr>
  </w:style>
  <w:style w:type="character" w:customStyle="1" w:styleId="bnulChar">
    <w:name w:val="bn#ul Char"/>
    <w:basedOn w:val="DefaultParagraphFont"/>
    <w:link w:val="bnul"/>
    <w:rsid w:val="00C039AA"/>
    <w:rPr>
      <w:rFonts w:ascii="Arial" w:hAnsi="Arial"/>
      <w:b/>
      <w:lang w:val="en-CA" w:eastAsia="en-US" w:bidi="ar-SA"/>
    </w:rPr>
  </w:style>
  <w:style w:type="character" w:customStyle="1" w:styleId="DeltaViewInsertion">
    <w:name w:val="DeltaView Insertion"/>
    <w:rsid w:val="006B58CA"/>
    <w:rPr>
      <w:color w:val="0000FF"/>
      <w:spacing w:val="0"/>
      <w:u w:val="double"/>
    </w:rPr>
  </w:style>
  <w:style w:type="paragraph" w:customStyle="1" w:styleId="ntop20">
    <w:name w:val="ntop2"/>
    <w:basedOn w:val="Normal"/>
    <w:rsid w:val="006B58CA"/>
    <w:pPr>
      <w:pBdr>
        <w:top w:val="single" w:sz="12" w:space="0" w:color="auto"/>
      </w:pBdr>
      <w:tabs>
        <w:tab w:val="decimal" w:pos="7380"/>
        <w:tab w:val="decimal" w:pos="9000"/>
      </w:tabs>
      <w:overflowPunct w:val="0"/>
      <w:autoSpaceDE w:val="0"/>
      <w:autoSpaceDN w:val="0"/>
      <w:adjustRightInd w:val="0"/>
      <w:spacing w:before="20" w:after="20" w:line="220" w:lineRule="atLeast"/>
      <w:ind w:left="900"/>
      <w:textAlignment w:val="baseline"/>
    </w:pPr>
    <w:rPr>
      <w:rFonts w:ascii="Arial" w:hAnsi="Arial"/>
      <w:sz w:val="20"/>
    </w:rPr>
  </w:style>
  <w:style w:type="paragraph" w:customStyle="1" w:styleId="ntt20">
    <w:name w:val="ntt2"/>
    <w:basedOn w:val="Normal"/>
    <w:rsid w:val="006B58CA"/>
    <w:pPr>
      <w:pBdr>
        <w:top w:val="single" w:sz="6" w:space="0" w:color="auto"/>
      </w:pBdr>
      <w:tabs>
        <w:tab w:val="left" w:pos="810"/>
        <w:tab w:val="left" w:pos="6480"/>
        <w:tab w:val="decimal" w:pos="7380"/>
        <w:tab w:val="left" w:pos="8100"/>
        <w:tab w:val="decimal" w:pos="9000"/>
      </w:tabs>
      <w:overflowPunct w:val="0"/>
      <w:autoSpaceDE w:val="0"/>
      <w:autoSpaceDN w:val="0"/>
      <w:adjustRightInd w:val="0"/>
      <w:spacing w:before="20" w:line="220" w:lineRule="atLeast"/>
      <w:ind w:left="900"/>
      <w:textAlignment w:val="baseline"/>
    </w:pPr>
    <w:rPr>
      <w:rFonts w:ascii="Arial" w:hAnsi="Arial"/>
      <w:sz w:val="20"/>
    </w:rPr>
  </w:style>
  <w:style w:type="character" w:customStyle="1" w:styleId="bn1Char">
    <w:name w:val="bn1 Char"/>
    <w:basedOn w:val="DefaultParagraphFont"/>
    <w:link w:val="bn1"/>
    <w:uiPriority w:val="99"/>
    <w:rsid w:val="00430192"/>
    <w:rPr>
      <w:rFonts w:ascii="Arial" w:hAnsi="Arial"/>
      <w:lang w:val="en-CA" w:eastAsia="en-US" w:bidi="ar-SA"/>
    </w:rPr>
  </w:style>
  <w:style w:type="character" w:customStyle="1" w:styleId="bnChar0">
    <w:name w:val="bn# Char"/>
    <w:basedOn w:val="DefaultParagraphFont"/>
    <w:link w:val="bn0"/>
    <w:rsid w:val="008E20AB"/>
    <w:rPr>
      <w:rFonts w:ascii="Arial" w:hAnsi="Arial"/>
      <w:b/>
      <w:lang w:val="en-CA" w:eastAsia="en-US" w:bidi="ar-SA"/>
    </w:rPr>
  </w:style>
  <w:style w:type="paragraph" w:customStyle="1" w:styleId="NDTT25">
    <w:name w:val="NDTT2(5)"/>
    <w:basedOn w:val="Normal"/>
    <w:next w:val="NTop25"/>
    <w:rsid w:val="002A0851"/>
    <w:pPr>
      <w:pBdr>
        <w:top w:val="single" w:sz="6" w:space="0" w:color="auto"/>
      </w:pBdr>
      <w:tabs>
        <w:tab w:val="left" w:pos="2960"/>
        <w:tab w:val="decimal" w:pos="3960"/>
        <w:tab w:val="left" w:pos="4220"/>
        <w:tab w:val="decimal" w:pos="5220"/>
        <w:tab w:val="left" w:pos="5480"/>
        <w:tab w:val="decimal" w:pos="6480"/>
        <w:tab w:val="left" w:pos="6740"/>
        <w:tab w:val="decimal" w:pos="7740"/>
        <w:tab w:val="left" w:pos="8000"/>
        <w:tab w:val="decimal" w:pos="9000"/>
      </w:tabs>
      <w:overflowPunct w:val="0"/>
      <w:autoSpaceDE w:val="0"/>
      <w:autoSpaceDN w:val="0"/>
      <w:adjustRightInd w:val="0"/>
      <w:ind w:left="1094" w:hanging="187"/>
    </w:pPr>
    <w:rPr>
      <w:rFonts w:ascii="Arial" w:hAnsi="Arial"/>
      <w:sz w:val="17"/>
      <w:lang w:val="en-CA"/>
    </w:rPr>
  </w:style>
  <w:style w:type="paragraph" w:customStyle="1" w:styleId="IFDNumL1">
    <w:name w:val="IFDNum L1"/>
    <w:basedOn w:val="Normal"/>
    <w:rsid w:val="00CF0D3A"/>
    <w:pPr>
      <w:numPr>
        <w:numId w:val="2"/>
      </w:numPr>
      <w:spacing w:after="240" w:line="360" w:lineRule="auto"/>
      <w:jc w:val="both"/>
    </w:pPr>
    <w:rPr>
      <w:sz w:val="24"/>
      <w:szCs w:val="24"/>
      <w:lang w:val="en-CA"/>
    </w:rPr>
  </w:style>
  <w:style w:type="paragraph" w:customStyle="1" w:styleId="IFDNumL2">
    <w:name w:val="IFDNum L2"/>
    <w:basedOn w:val="Normal"/>
    <w:rsid w:val="00CF0D3A"/>
    <w:pPr>
      <w:numPr>
        <w:ilvl w:val="1"/>
        <w:numId w:val="2"/>
      </w:numPr>
      <w:spacing w:after="240" w:line="360" w:lineRule="auto"/>
      <w:jc w:val="both"/>
    </w:pPr>
    <w:rPr>
      <w:sz w:val="24"/>
      <w:szCs w:val="24"/>
      <w:lang w:val="en-CA"/>
    </w:rPr>
  </w:style>
  <w:style w:type="paragraph" w:customStyle="1" w:styleId="IFDNumL3">
    <w:name w:val="IFDNum L3"/>
    <w:basedOn w:val="Normal"/>
    <w:rsid w:val="00CF0D3A"/>
    <w:pPr>
      <w:numPr>
        <w:ilvl w:val="2"/>
        <w:numId w:val="2"/>
      </w:numPr>
      <w:spacing w:after="240" w:line="360" w:lineRule="auto"/>
      <w:jc w:val="both"/>
    </w:pPr>
    <w:rPr>
      <w:sz w:val="24"/>
      <w:szCs w:val="24"/>
      <w:lang w:val="en-CA"/>
    </w:rPr>
  </w:style>
  <w:style w:type="paragraph" w:customStyle="1" w:styleId="IFDNumL4">
    <w:name w:val="IFDNum L4"/>
    <w:basedOn w:val="Normal"/>
    <w:rsid w:val="00CF0D3A"/>
    <w:pPr>
      <w:numPr>
        <w:ilvl w:val="3"/>
        <w:numId w:val="2"/>
      </w:numPr>
      <w:spacing w:after="240" w:line="360" w:lineRule="auto"/>
      <w:jc w:val="both"/>
    </w:pPr>
    <w:rPr>
      <w:sz w:val="24"/>
      <w:szCs w:val="24"/>
      <w:lang w:val="en-CA"/>
    </w:rPr>
  </w:style>
  <w:style w:type="paragraph" w:customStyle="1" w:styleId="IFDNumL5">
    <w:name w:val="IFDNum L5"/>
    <w:basedOn w:val="Normal"/>
    <w:rsid w:val="00CF0D3A"/>
    <w:pPr>
      <w:numPr>
        <w:ilvl w:val="4"/>
        <w:numId w:val="2"/>
      </w:numPr>
      <w:spacing w:after="240" w:line="360" w:lineRule="auto"/>
      <w:jc w:val="both"/>
    </w:pPr>
    <w:rPr>
      <w:sz w:val="24"/>
      <w:szCs w:val="24"/>
      <w:lang w:val="en-CA"/>
    </w:rPr>
  </w:style>
  <w:style w:type="paragraph" w:customStyle="1" w:styleId="IFDNumL6">
    <w:name w:val="IFDNum L6"/>
    <w:basedOn w:val="Normal"/>
    <w:rsid w:val="00CF0D3A"/>
    <w:pPr>
      <w:numPr>
        <w:ilvl w:val="5"/>
        <w:numId w:val="2"/>
      </w:numPr>
      <w:spacing w:after="240" w:line="360" w:lineRule="auto"/>
      <w:jc w:val="both"/>
    </w:pPr>
    <w:rPr>
      <w:sz w:val="24"/>
      <w:szCs w:val="24"/>
      <w:lang w:val="en-CA"/>
    </w:rPr>
  </w:style>
  <w:style w:type="paragraph" w:customStyle="1" w:styleId="IFDNumL7">
    <w:name w:val="IFDNum L7"/>
    <w:basedOn w:val="Normal"/>
    <w:rsid w:val="00CF0D3A"/>
    <w:pPr>
      <w:numPr>
        <w:ilvl w:val="6"/>
        <w:numId w:val="2"/>
      </w:numPr>
      <w:spacing w:after="240" w:line="360" w:lineRule="auto"/>
      <w:jc w:val="both"/>
    </w:pPr>
    <w:rPr>
      <w:sz w:val="24"/>
      <w:szCs w:val="24"/>
      <w:lang w:val="en-CA"/>
    </w:rPr>
  </w:style>
  <w:style w:type="paragraph" w:customStyle="1" w:styleId="IFDNumL8">
    <w:name w:val="IFDNum L8"/>
    <w:basedOn w:val="Normal"/>
    <w:rsid w:val="00CF0D3A"/>
    <w:pPr>
      <w:numPr>
        <w:ilvl w:val="7"/>
        <w:numId w:val="2"/>
      </w:numPr>
      <w:spacing w:after="240" w:line="360" w:lineRule="auto"/>
      <w:jc w:val="both"/>
    </w:pPr>
    <w:rPr>
      <w:sz w:val="24"/>
      <w:szCs w:val="24"/>
      <w:lang w:val="en-CA"/>
    </w:rPr>
  </w:style>
  <w:style w:type="paragraph" w:customStyle="1" w:styleId="IFDNumL9">
    <w:name w:val="IFDNum L9"/>
    <w:basedOn w:val="Normal"/>
    <w:rsid w:val="00CF0D3A"/>
    <w:pPr>
      <w:numPr>
        <w:ilvl w:val="8"/>
        <w:numId w:val="2"/>
      </w:numPr>
      <w:spacing w:after="240" w:line="360" w:lineRule="auto"/>
      <w:jc w:val="both"/>
    </w:pPr>
    <w:rPr>
      <w:sz w:val="24"/>
      <w:szCs w:val="24"/>
      <w:lang w:val="en-CA"/>
    </w:rPr>
  </w:style>
  <w:style w:type="character" w:customStyle="1" w:styleId="FS1Char">
    <w:name w:val="FS1 Char"/>
    <w:basedOn w:val="DefaultParagraphFont"/>
    <w:link w:val="FS1"/>
    <w:rsid w:val="00103CC7"/>
    <w:rPr>
      <w:rFonts w:ascii="Arial" w:hAnsi="Arial"/>
      <w:lang w:val="en-CA" w:eastAsia="en-US" w:bidi="ar-SA"/>
    </w:rPr>
  </w:style>
  <w:style w:type="character" w:customStyle="1" w:styleId="bn3aChar">
    <w:name w:val="bn3a Char"/>
    <w:basedOn w:val="bn3Char"/>
    <w:link w:val="bn3a"/>
    <w:rsid w:val="008B2B7C"/>
    <w:rPr>
      <w:rFonts w:ascii="Arial" w:hAnsi="Arial"/>
      <w:lang w:val="en-CA" w:eastAsia="en-US" w:bidi="ar-SA"/>
    </w:rPr>
  </w:style>
  <w:style w:type="character" w:customStyle="1" w:styleId="bnChar">
    <w:name w:val="bn Char"/>
    <w:basedOn w:val="DefaultParagraphFont"/>
    <w:link w:val="bn"/>
    <w:uiPriority w:val="99"/>
    <w:rsid w:val="00A36FEA"/>
    <w:rPr>
      <w:rFonts w:ascii="Arial" w:hAnsi="Arial"/>
      <w:lang w:val="en-CA" w:eastAsia="en-US" w:bidi="ar-SA"/>
    </w:rPr>
  </w:style>
  <w:style w:type="paragraph" w:styleId="ListParagraph">
    <w:name w:val="List Paragraph"/>
    <w:basedOn w:val="Normal"/>
    <w:uiPriority w:val="99"/>
    <w:qFormat/>
    <w:rsid w:val="000E25B7"/>
    <w:pPr>
      <w:ind w:left="720"/>
    </w:pPr>
    <w:rPr>
      <w:sz w:val="24"/>
      <w:szCs w:val="24"/>
      <w:lang w:val="en-CA"/>
    </w:rPr>
  </w:style>
  <w:style w:type="paragraph" w:customStyle="1" w:styleId="ndfs30">
    <w:name w:val="ndfs3"/>
    <w:basedOn w:val="NFS3"/>
    <w:rsid w:val="00464F88"/>
    <w:pPr>
      <w:tabs>
        <w:tab w:val="clear" w:pos="7280"/>
        <w:tab w:val="decimal" w:pos="7380"/>
      </w:tabs>
    </w:pPr>
    <w:rPr>
      <w:lang w:val="en-US"/>
    </w:rPr>
  </w:style>
  <w:style w:type="paragraph" w:customStyle="1" w:styleId="NDFS13">
    <w:name w:val="NDFS1(3)"/>
    <w:basedOn w:val="Normal"/>
    <w:next w:val="NFS13"/>
    <w:rsid w:val="000819DA"/>
    <w:pPr>
      <w:tabs>
        <w:tab w:val="left" w:pos="4410"/>
        <w:tab w:val="decimal" w:pos="5580"/>
        <w:tab w:val="left" w:pos="6120"/>
        <w:tab w:val="decimal" w:pos="7280"/>
        <w:tab w:val="left" w:pos="7830"/>
        <w:tab w:val="decimal" w:pos="9000"/>
      </w:tabs>
      <w:overflowPunct w:val="0"/>
      <w:autoSpaceDE w:val="0"/>
      <w:autoSpaceDN w:val="0"/>
      <w:adjustRightInd w:val="0"/>
      <w:ind w:left="720" w:hanging="180"/>
      <w:textAlignment w:val="baseline"/>
    </w:pPr>
    <w:rPr>
      <w:rFonts w:ascii="Arial" w:hAnsi="Arial"/>
      <w:sz w:val="20"/>
      <w:lang w:val="en-CA"/>
    </w:rPr>
  </w:style>
  <w:style w:type="paragraph" w:customStyle="1" w:styleId="NFS13">
    <w:name w:val="NFS1(3)"/>
    <w:basedOn w:val="Normal"/>
    <w:rsid w:val="000819DA"/>
    <w:pPr>
      <w:tabs>
        <w:tab w:val="decimal" w:pos="5580"/>
        <w:tab w:val="decimal" w:pos="7280"/>
        <w:tab w:val="decimal" w:pos="9000"/>
      </w:tabs>
      <w:overflowPunct w:val="0"/>
      <w:autoSpaceDE w:val="0"/>
      <w:autoSpaceDN w:val="0"/>
      <w:adjustRightInd w:val="0"/>
      <w:ind w:left="720" w:hanging="180"/>
      <w:textAlignment w:val="baseline"/>
    </w:pPr>
    <w:rPr>
      <w:rFonts w:ascii="Arial" w:hAnsi="Arial"/>
      <w:sz w:val="20"/>
      <w:lang w:val="en-CA"/>
    </w:rPr>
  </w:style>
  <w:style w:type="paragraph" w:customStyle="1" w:styleId="NDTT13">
    <w:name w:val="NDTT1(3)"/>
    <w:basedOn w:val="Normal"/>
    <w:next w:val="Normal"/>
    <w:rsid w:val="000819DA"/>
    <w:pPr>
      <w:pBdr>
        <w:top w:val="single" w:sz="6" w:space="0" w:color="auto"/>
      </w:pBdr>
      <w:tabs>
        <w:tab w:val="left" w:pos="4410"/>
        <w:tab w:val="decimal" w:pos="5580"/>
        <w:tab w:val="left" w:pos="6120"/>
        <w:tab w:val="decimal" w:pos="7280"/>
        <w:tab w:val="left" w:pos="7830"/>
        <w:tab w:val="decimal" w:pos="9000"/>
      </w:tabs>
      <w:overflowPunct w:val="0"/>
      <w:autoSpaceDE w:val="0"/>
      <w:autoSpaceDN w:val="0"/>
      <w:adjustRightInd w:val="0"/>
      <w:ind w:left="720" w:hanging="187"/>
      <w:textAlignment w:val="baseline"/>
    </w:pPr>
    <w:rPr>
      <w:rFonts w:ascii="Arial" w:hAnsi="Arial"/>
      <w:sz w:val="20"/>
      <w:lang w:val="en-CA"/>
    </w:rPr>
  </w:style>
  <w:style w:type="paragraph" w:customStyle="1" w:styleId="NTop13">
    <w:name w:val="NTop1(3)"/>
    <w:basedOn w:val="Normal"/>
    <w:next w:val="Normal"/>
    <w:rsid w:val="000819DA"/>
    <w:pPr>
      <w:pBdr>
        <w:top w:val="single" w:sz="12" w:space="0" w:color="auto"/>
      </w:pBdr>
      <w:tabs>
        <w:tab w:val="right" w:pos="5580"/>
        <w:tab w:val="right" w:pos="7280"/>
        <w:tab w:val="right" w:pos="9000"/>
      </w:tabs>
      <w:overflowPunct w:val="0"/>
      <w:autoSpaceDE w:val="0"/>
      <w:autoSpaceDN w:val="0"/>
      <w:adjustRightInd w:val="0"/>
      <w:ind w:left="720" w:hanging="187"/>
      <w:textAlignment w:val="baseline"/>
    </w:pPr>
    <w:rPr>
      <w:rFonts w:ascii="Arial" w:hAnsi="Arial"/>
      <w:sz w:val="20"/>
      <w:lang w:val="en-CA"/>
    </w:rPr>
  </w:style>
  <w:style w:type="paragraph" w:customStyle="1" w:styleId="topandbottom">
    <w:name w:val="top and bottom"/>
    <w:aliases w:val="TB"/>
    <w:basedOn w:val="Normal"/>
    <w:rsid w:val="00F352D2"/>
    <w:pPr>
      <w:widowControl w:val="0"/>
      <w:pBdr>
        <w:top w:val="single" w:sz="6" w:space="1" w:color="auto"/>
        <w:bottom w:val="single" w:sz="6" w:space="1" w:color="auto"/>
      </w:pBdr>
      <w:tabs>
        <w:tab w:val="decimal" w:pos="6380"/>
        <w:tab w:val="decimal" w:pos="7920"/>
      </w:tabs>
      <w:ind w:right="43"/>
    </w:pPr>
    <w:rPr>
      <w:sz w:val="20"/>
      <w:szCs w:val="24"/>
      <w:lang w:val="en-CA"/>
    </w:rPr>
  </w:style>
  <w:style w:type="character" w:styleId="Emphasis">
    <w:name w:val="Emphasis"/>
    <w:basedOn w:val="DefaultParagraphFont"/>
    <w:uiPriority w:val="20"/>
    <w:qFormat/>
    <w:rsid w:val="00F93046"/>
    <w:rPr>
      <w:i/>
      <w:iCs/>
    </w:rPr>
  </w:style>
  <w:style w:type="character" w:styleId="Strong">
    <w:name w:val="Strong"/>
    <w:uiPriority w:val="22"/>
    <w:qFormat/>
    <w:rsid w:val="00D53EF1"/>
    <w:rPr>
      <w:b/>
      <w:bCs/>
    </w:rPr>
  </w:style>
  <w:style w:type="paragraph" w:customStyle="1" w:styleId="DFS33">
    <w:name w:val="DFS3(3)"/>
    <w:basedOn w:val="DFS23"/>
    <w:next w:val="FS33"/>
    <w:rsid w:val="00C107FD"/>
    <w:pPr>
      <w:ind w:left="900"/>
    </w:pPr>
  </w:style>
  <w:style w:type="character" w:customStyle="1" w:styleId="Heading1Char">
    <w:name w:val="Heading 1 Char"/>
    <w:aliases w:val="h1 Char,new page/chapter Char"/>
    <w:basedOn w:val="DefaultParagraphFont"/>
    <w:link w:val="Heading1"/>
    <w:rsid w:val="004E0942"/>
    <w:rPr>
      <w:b/>
      <w:bCs/>
      <w:i/>
      <w:iCs/>
      <w:sz w:val="28"/>
      <w:lang w:val="en-US" w:eastAsia="en-US"/>
    </w:rPr>
  </w:style>
  <w:style w:type="paragraph" w:customStyle="1" w:styleId="Default">
    <w:name w:val="Default"/>
    <w:rsid w:val="00145723"/>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rsid w:val="00590410"/>
    <w:rPr>
      <w:lang w:val="en-US" w:eastAsia="en-US"/>
    </w:rPr>
  </w:style>
  <w:style w:type="paragraph" w:styleId="Revision">
    <w:name w:val="Revision"/>
    <w:hidden/>
    <w:uiPriority w:val="99"/>
    <w:semiHidden/>
    <w:rsid w:val="00785362"/>
    <w:rPr>
      <w:sz w:val="22"/>
      <w:lang w:val="en-US" w:eastAsia="en-US"/>
    </w:rPr>
  </w:style>
  <w:style w:type="paragraph" w:customStyle="1" w:styleId="NoteText-2Levels">
    <w:name w:val="Note Text - 2 Levels"/>
    <w:uiPriority w:val="99"/>
    <w:rsid w:val="00785362"/>
    <w:pPr>
      <w:widowControl w:val="0"/>
      <w:tabs>
        <w:tab w:val="left" w:pos="720"/>
      </w:tabs>
      <w:autoSpaceDE w:val="0"/>
      <w:autoSpaceDN w:val="0"/>
      <w:adjustRightInd w:val="0"/>
      <w:spacing w:before="100"/>
      <w:ind w:left="432"/>
      <w:jc w:val="both"/>
    </w:pPr>
    <w:rPr>
      <w:color w:val="000000"/>
      <w:sz w:val="22"/>
      <w:szCs w:val="22"/>
    </w:rPr>
  </w:style>
  <w:style w:type="character" w:customStyle="1" w:styleId="CommentTextChar1">
    <w:name w:val="Comment Text Char1"/>
    <w:rsid w:val="00785362"/>
    <w:rPr>
      <w:rFonts w:ascii="Arial" w:eastAsia="Times New Roman" w:hAnsi="Arial" w:cs="Times New Roman"/>
      <w:sz w:val="20"/>
      <w:szCs w:val="20"/>
    </w:rPr>
  </w:style>
  <w:style w:type="paragraph" w:customStyle="1" w:styleId="FS2">
    <w:name w:val="FS2"/>
    <w:basedOn w:val="FS1"/>
    <w:link w:val="FS2Char"/>
    <w:rsid w:val="00544E9D"/>
    <w:pPr>
      <w:ind w:left="540"/>
    </w:pPr>
  </w:style>
  <w:style w:type="paragraph" w:customStyle="1" w:styleId="DTT1">
    <w:name w:val="DTT1"/>
    <w:basedOn w:val="DFS1"/>
    <w:next w:val="Top1"/>
    <w:rsid w:val="00544E9D"/>
    <w:pPr>
      <w:pBdr>
        <w:top w:val="single" w:sz="6" w:space="0" w:color="auto"/>
      </w:pBdr>
    </w:pPr>
  </w:style>
  <w:style w:type="character" w:customStyle="1" w:styleId="FS2Char">
    <w:name w:val="FS2 Char"/>
    <w:basedOn w:val="FS1Char"/>
    <w:link w:val="FS2"/>
    <w:rsid w:val="00544E9D"/>
    <w:rPr>
      <w:rFonts w:ascii="Arial" w:hAnsi="Arial"/>
      <w:lang w:val="en-CA" w:eastAsia="en-US" w:bidi="ar-SA"/>
    </w:rPr>
  </w:style>
  <w:style w:type="paragraph" w:customStyle="1" w:styleId="DFS3">
    <w:name w:val="DFS3"/>
    <w:basedOn w:val="DFS1"/>
    <w:next w:val="Normal"/>
    <w:rsid w:val="00C77977"/>
    <w:pPr>
      <w:ind w:left="900"/>
    </w:pPr>
  </w:style>
  <w:style w:type="paragraph" w:customStyle="1" w:styleId="Top2">
    <w:name w:val="Top2"/>
    <w:basedOn w:val="FS1"/>
    <w:next w:val="TT2"/>
    <w:rsid w:val="008B1F5B"/>
    <w:pPr>
      <w:pBdr>
        <w:top w:val="single" w:sz="12" w:space="0" w:color="auto"/>
      </w:pBdr>
      <w:ind w:left="540"/>
    </w:pPr>
  </w:style>
  <w:style w:type="paragraph" w:customStyle="1" w:styleId="NoteSub-Heading">
    <w:name w:val="Note Sub-Heading"/>
    <w:uiPriority w:val="99"/>
    <w:rsid w:val="00836299"/>
    <w:pPr>
      <w:widowControl w:val="0"/>
      <w:tabs>
        <w:tab w:val="left" w:pos="432"/>
        <w:tab w:val="left" w:pos="864"/>
        <w:tab w:val="right" w:pos="1584"/>
      </w:tabs>
      <w:autoSpaceDE w:val="0"/>
      <w:autoSpaceDN w:val="0"/>
      <w:adjustRightInd w:val="0"/>
      <w:spacing w:before="201"/>
    </w:pPr>
    <w:rPr>
      <w:b/>
      <w:bCs/>
      <w:color w:val="000000"/>
      <w:sz w:val="22"/>
      <w:szCs w:val="22"/>
    </w:rPr>
  </w:style>
  <w:style w:type="paragraph" w:customStyle="1" w:styleId="PartnerAddress">
    <w:name w:val="Partner Address"/>
    <w:semiHidden/>
    <w:rsid w:val="00642CA3"/>
    <w:rPr>
      <w:rFonts w:ascii="Arial Narrow" w:hAnsi="Arial Narrow" w:cs="Arial"/>
      <w:sz w:val="14"/>
      <w:lang w:val="en-GB" w:eastAsia="en-US"/>
    </w:rPr>
  </w:style>
  <w:style w:type="paragraph" w:customStyle="1" w:styleId="StyleTableTextBoldLeft013">
    <w:name w:val="Style Table Text + Bold Left:  0.13&quot;"/>
    <w:basedOn w:val="Normal"/>
    <w:rsid w:val="00FF3C62"/>
    <w:pPr>
      <w:spacing w:after="120"/>
      <w:ind w:left="187"/>
    </w:pPr>
    <w:rPr>
      <w:rFonts w:ascii="Arial" w:eastAsiaTheme="minorHAnsi" w:hAnsi="Arial" w:cs="Arial"/>
      <w:b/>
      <w:bCs/>
      <w:sz w:val="16"/>
      <w:szCs w:val="16"/>
    </w:rPr>
  </w:style>
  <w:style w:type="character" w:customStyle="1" w:styleId="HeaderChar">
    <w:name w:val="Header Char"/>
    <w:aliases w:val="header-odd Char,header-odd  Char"/>
    <w:basedOn w:val="DefaultParagraphFont"/>
    <w:link w:val="Header"/>
    <w:uiPriority w:val="99"/>
    <w:rsid w:val="00464248"/>
    <w:rPr>
      <w:rFonts w:ascii="Arial" w:hAnsi="Arial"/>
      <w:sz w:val="24"/>
      <w:lang w:eastAsia="en-US"/>
    </w:rPr>
  </w:style>
  <w:style w:type="paragraph" w:customStyle="1" w:styleId="drfinancialstatements">
    <w:name w:val="drfinancialstatements"/>
    <w:basedOn w:val="Normal"/>
    <w:rsid w:val="00464248"/>
    <w:pPr>
      <w:spacing w:line="252" w:lineRule="auto"/>
    </w:pPr>
    <w:rPr>
      <w:rFonts w:ascii="Arial" w:eastAsiaTheme="minorHAnsi" w:hAnsi="Arial" w:cs="Arial"/>
      <w:spacing w:val="-2"/>
      <w:sz w:val="20"/>
    </w:rPr>
  </w:style>
  <w:style w:type="paragraph" w:customStyle="1" w:styleId="Tabletext">
    <w:name w:val="Table text"/>
    <w:basedOn w:val="Normal"/>
    <w:rsid w:val="00854407"/>
    <w:pPr>
      <w:jc w:val="both"/>
    </w:pPr>
    <w:rPr>
      <w:sz w:val="20"/>
    </w:rPr>
  </w:style>
  <w:style w:type="paragraph" w:customStyle="1" w:styleId="p2">
    <w:name w:val="p2"/>
    <w:basedOn w:val="Normal"/>
    <w:rsid w:val="00B90AE0"/>
    <w:rPr>
      <w:sz w:val="17"/>
      <w:szCs w:val="17"/>
    </w:rPr>
  </w:style>
  <w:style w:type="paragraph" w:styleId="ListNumber2">
    <w:name w:val="List Number 2"/>
    <w:basedOn w:val="Normal"/>
    <w:rsid w:val="006C2FD7"/>
    <w:pPr>
      <w:numPr>
        <w:numId w:val="39"/>
      </w:numPr>
      <w:overflowPunct w:val="0"/>
      <w:autoSpaceDE w:val="0"/>
      <w:autoSpaceDN w:val="0"/>
      <w:adjustRightInd w:val="0"/>
      <w:textAlignment w:val="baseline"/>
    </w:pPr>
    <w:rPr>
      <w:rFonts w:ascii="Arial" w:hAnsi="Arial"/>
      <w:sz w:val="24"/>
      <w:lang w:val="en-CA"/>
    </w:rPr>
  </w:style>
  <w:style w:type="table" w:customStyle="1" w:styleId="TableGrid1">
    <w:name w:val="Table Grid1"/>
    <w:basedOn w:val="TableNormal"/>
    <w:next w:val="TableGrid"/>
    <w:uiPriority w:val="39"/>
    <w:rsid w:val="007243E4"/>
    <w:pPr>
      <w:overflowPunct w:val="0"/>
      <w:autoSpaceDE w:val="0"/>
      <w:autoSpaceDN w:val="0"/>
      <w:adjustRightInd w:val="0"/>
      <w:textAlignment w:val="baseline"/>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2A30"/>
    <w:pPr>
      <w:overflowPunct w:val="0"/>
      <w:autoSpaceDE w:val="0"/>
      <w:autoSpaceDN w:val="0"/>
      <w:adjustRightInd w:val="0"/>
      <w:textAlignment w:val="baseline"/>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042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4319D"/>
    <w:pPr>
      <w:overflowPunct w:val="0"/>
      <w:autoSpaceDE w:val="0"/>
      <w:autoSpaceDN w:val="0"/>
      <w:adjustRightInd w:val="0"/>
      <w:textAlignment w:val="baseline"/>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3416"/>
    <w:pPr>
      <w:overflowPunct w:val="0"/>
      <w:autoSpaceDE w:val="0"/>
      <w:autoSpaceDN w:val="0"/>
      <w:adjustRightInd w:val="0"/>
      <w:textAlignment w:val="baseline"/>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C7B8E"/>
    <w:pPr>
      <w:overflowPunct w:val="0"/>
      <w:autoSpaceDE w:val="0"/>
      <w:autoSpaceDN w:val="0"/>
      <w:adjustRightInd w:val="0"/>
      <w:textAlignment w:val="baseline"/>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0305">
      <w:bodyDiv w:val="1"/>
      <w:marLeft w:val="0"/>
      <w:marRight w:val="0"/>
      <w:marTop w:val="0"/>
      <w:marBottom w:val="0"/>
      <w:divBdr>
        <w:top w:val="none" w:sz="0" w:space="0" w:color="auto"/>
        <w:left w:val="none" w:sz="0" w:space="0" w:color="auto"/>
        <w:bottom w:val="none" w:sz="0" w:space="0" w:color="auto"/>
        <w:right w:val="none" w:sz="0" w:space="0" w:color="auto"/>
      </w:divBdr>
      <w:divsChild>
        <w:div w:id="54352024">
          <w:marLeft w:val="0"/>
          <w:marRight w:val="0"/>
          <w:marTop w:val="0"/>
          <w:marBottom w:val="0"/>
          <w:divBdr>
            <w:top w:val="none" w:sz="0" w:space="0" w:color="auto"/>
            <w:left w:val="none" w:sz="0" w:space="0" w:color="auto"/>
            <w:bottom w:val="none" w:sz="0" w:space="0" w:color="auto"/>
            <w:right w:val="none" w:sz="0" w:space="0" w:color="auto"/>
          </w:divBdr>
        </w:div>
        <w:div w:id="96365170">
          <w:marLeft w:val="0"/>
          <w:marRight w:val="0"/>
          <w:marTop w:val="0"/>
          <w:marBottom w:val="0"/>
          <w:divBdr>
            <w:top w:val="none" w:sz="0" w:space="0" w:color="auto"/>
            <w:left w:val="none" w:sz="0" w:space="0" w:color="auto"/>
            <w:bottom w:val="none" w:sz="0" w:space="0" w:color="auto"/>
            <w:right w:val="none" w:sz="0" w:space="0" w:color="auto"/>
          </w:divBdr>
        </w:div>
        <w:div w:id="128325164">
          <w:marLeft w:val="0"/>
          <w:marRight w:val="0"/>
          <w:marTop w:val="0"/>
          <w:marBottom w:val="0"/>
          <w:divBdr>
            <w:top w:val="none" w:sz="0" w:space="0" w:color="auto"/>
            <w:left w:val="none" w:sz="0" w:space="0" w:color="auto"/>
            <w:bottom w:val="none" w:sz="0" w:space="0" w:color="auto"/>
            <w:right w:val="none" w:sz="0" w:space="0" w:color="auto"/>
          </w:divBdr>
        </w:div>
        <w:div w:id="297033656">
          <w:marLeft w:val="0"/>
          <w:marRight w:val="0"/>
          <w:marTop w:val="0"/>
          <w:marBottom w:val="0"/>
          <w:divBdr>
            <w:top w:val="none" w:sz="0" w:space="0" w:color="auto"/>
            <w:left w:val="none" w:sz="0" w:space="0" w:color="auto"/>
            <w:bottom w:val="none" w:sz="0" w:space="0" w:color="auto"/>
            <w:right w:val="none" w:sz="0" w:space="0" w:color="auto"/>
          </w:divBdr>
        </w:div>
        <w:div w:id="427428293">
          <w:marLeft w:val="0"/>
          <w:marRight w:val="0"/>
          <w:marTop w:val="0"/>
          <w:marBottom w:val="0"/>
          <w:divBdr>
            <w:top w:val="none" w:sz="0" w:space="0" w:color="auto"/>
            <w:left w:val="none" w:sz="0" w:space="0" w:color="auto"/>
            <w:bottom w:val="none" w:sz="0" w:space="0" w:color="auto"/>
            <w:right w:val="none" w:sz="0" w:space="0" w:color="auto"/>
          </w:divBdr>
        </w:div>
        <w:div w:id="478618541">
          <w:marLeft w:val="0"/>
          <w:marRight w:val="0"/>
          <w:marTop w:val="0"/>
          <w:marBottom w:val="0"/>
          <w:divBdr>
            <w:top w:val="none" w:sz="0" w:space="0" w:color="auto"/>
            <w:left w:val="none" w:sz="0" w:space="0" w:color="auto"/>
            <w:bottom w:val="none" w:sz="0" w:space="0" w:color="auto"/>
            <w:right w:val="none" w:sz="0" w:space="0" w:color="auto"/>
          </w:divBdr>
        </w:div>
        <w:div w:id="538707684">
          <w:marLeft w:val="0"/>
          <w:marRight w:val="0"/>
          <w:marTop w:val="0"/>
          <w:marBottom w:val="0"/>
          <w:divBdr>
            <w:top w:val="none" w:sz="0" w:space="0" w:color="auto"/>
            <w:left w:val="none" w:sz="0" w:space="0" w:color="auto"/>
            <w:bottom w:val="none" w:sz="0" w:space="0" w:color="auto"/>
            <w:right w:val="none" w:sz="0" w:space="0" w:color="auto"/>
          </w:divBdr>
        </w:div>
        <w:div w:id="543981541">
          <w:marLeft w:val="0"/>
          <w:marRight w:val="0"/>
          <w:marTop w:val="0"/>
          <w:marBottom w:val="0"/>
          <w:divBdr>
            <w:top w:val="none" w:sz="0" w:space="0" w:color="auto"/>
            <w:left w:val="none" w:sz="0" w:space="0" w:color="auto"/>
            <w:bottom w:val="none" w:sz="0" w:space="0" w:color="auto"/>
            <w:right w:val="none" w:sz="0" w:space="0" w:color="auto"/>
          </w:divBdr>
        </w:div>
        <w:div w:id="596206771">
          <w:marLeft w:val="0"/>
          <w:marRight w:val="0"/>
          <w:marTop w:val="0"/>
          <w:marBottom w:val="0"/>
          <w:divBdr>
            <w:top w:val="none" w:sz="0" w:space="0" w:color="auto"/>
            <w:left w:val="none" w:sz="0" w:space="0" w:color="auto"/>
            <w:bottom w:val="none" w:sz="0" w:space="0" w:color="auto"/>
            <w:right w:val="none" w:sz="0" w:space="0" w:color="auto"/>
          </w:divBdr>
        </w:div>
        <w:div w:id="607857511">
          <w:marLeft w:val="0"/>
          <w:marRight w:val="0"/>
          <w:marTop w:val="0"/>
          <w:marBottom w:val="0"/>
          <w:divBdr>
            <w:top w:val="none" w:sz="0" w:space="0" w:color="auto"/>
            <w:left w:val="none" w:sz="0" w:space="0" w:color="auto"/>
            <w:bottom w:val="none" w:sz="0" w:space="0" w:color="auto"/>
            <w:right w:val="none" w:sz="0" w:space="0" w:color="auto"/>
          </w:divBdr>
        </w:div>
        <w:div w:id="674920632">
          <w:marLeft w:val="0"/>
          <w:marRight w:val="0"/>
          <w:marTop w:val="0"/>
          <w:marBottom w:val="0"/>
          <w:divBdr>
            <w:top w:val="none" w:sz="0" w:space="0" w:color="auto"/>
            <w:left w:val="none" w:sz="0" w:space="0" w:color="auto"/>
            <w:bottom w:val="none" w:sz="0" w:space="0" w:color="auto"/>
            <w:right w:val="none" w:sz="0" w:space="0" w:color="auto"/>
          </w:divBdr>
        </w:div>
        <w:div w:id="891768647">
          <w:marLeft w:val="0"/>
          <w:marRight w:val="0"/>
          <w:marTop w:val="0"/>
          <w:marBottom w:val="0"/>
          <w:divBdr>
            <w:top w:val="none" w:sz="0" w:space="0" w:color="auto"/>
            <w:left w:val="none" w:sz="0" w:space="0" w:color="auto"/>
            <w:bottom w:val="none" w:sz="0" w:space="0" w:color="auto"/>
            <w:right w:val="none" w:sz="0" w:space="0" w:color="auto"/>
          </w:divBdr>
        </w:div>
        <w:div w:id="992173900">
          <w:marLeft w:val="0"/>
          <w:marRight w:val="0"/>
          <w:marTop w:val="0"/>
          <w:marBottom w:val="0"/>
          <w:divBdr>
            <w:top w:val="none" w:sz="0" w:space="0" w:color="auto"/>
            <w:left w:val="none" w:sz="0" w:space="0" w:color="auto"/>
            <w:bottom w:val="none" w:sz="0" w:space="0" w:color="auto"/>
            <w:right w:val="none" w:sz="0" w:space="0" w:color="auto"/>
          </w:divBdr>
        </w:div>
        <w:div w:id="1027679122">
          <w:marLeft w:val="0"/>
          <w:marRight w:val="0"/>
          <w:marTop w:val="0"/>
          <w:marBottom w:val="0"/>
          <w:divBdr>
            <w:top w:val="none" w:sz="0" w:space="0" w:color="auto"/>
            <w:left w:val="none" w:sz="0" w:space="0" w:color="auto"/>
            <w:bottom w:val="none" w:sz="0" w:space="0" w:color="auto"/>
            <w:right w:val="none" w:sz="0" w:space="0" w:color="auto"/>
          </w:divBdr>
        </w:div>
        <w:div w:id="1037123929">
          <w:marLeft w:val="0"/>
          <w:marRight w:val="0"/>
          <w:marTop w:val="0"/>
          <w:marBottom w:val="0"/>
          <w:divBdr>
            <w:top w:val="none" w:sz="0" w:space="0" w:color="auto"/>
            <w:left w:val="none" w:sz="0" w:space="0" w:color="auto"/>
            <w:bottom w:val="none" w:sz="0" w:space="0" w:color="auto"/>
            <w:right w:val="none" w:sz="0" w:space="0" w:color="auto"/>
          </w:divBdr>
        </w:div>
        <w:div w:id="1070032403">
          <w:marLeft w:val="0"/>
          <w:marRight w:val="0"/>
          <w:marTop w:val="0"/>
          <w:marBottom w:val="0"/>
          <w:divBdr>
            <w:top w:val="none" w:sz="0" w:space="0" w:color="auto"/>
            <w:left w:val="none" w:sz="0" w:space="0" w:color="auto"/>
            <w:bottom w:val="none" w:sz="0" w:space="0" w:color="auto"/>
            <w:right w:val="none" w:sz="0" w:space="0" w:color="auto"/>
          </w:divBdr>
        </w:div>
        <w:div w:id="1235313560">
          <w:marLeft w:val="0"/>
          <w:marRight w:val="0"/>
          <w:marTop w:val="0"/>
          <w:marBottom w:val="0"/>
          <w:divBdr>
            <w:top w:val="none" w:sz="0" w:space="0" w:color="auto"/>
            <w:left w:val="none" w:sz="0" w:space="0" w:color="auto"/>
            <w:bottom w:val="none" w:sz="0" w:space="0" w:color="auto"/>
            <w:right w:val="none" w:sz="0" w:space="0" w:color="auto"/>
          </w:divBdr>
        </w:div>
        <w:div w:id="1308238790">
          <w:marLeft w:val="0"/>
          <w:marRight w:val="0"/>
          <w:marTop w:val="0"/>
          <w:marBottom w:val="0"/>
          <w:divBdr>
            <w:top w:val="none" w:sz="0" w:space="0" w:color="auto"/>
            <w:left w:val="none" w:sz="0" w:space="0" w:color="auto"/>
            <w:bottom w:val="none" w:sz="0" w:space="0" w:color="auto"/>
            <w:right w:val="none" w:sz="0" w:space="0" w:color="auto"/>
          </w:divBdr>
        </w:div>
        <w:div w:id="1419326281">
          <w:marLeft w:val="0"/>
          <w:marRight w:val="0"/>
          <w:marTop w:val="0"/>
          <w:marBottom w:val="0"/>
          <w:divBdr>
            <w:top w:val="none" w:sz="0" w:space="0" w:color="auto"/>
            <w:left w:val="none" w:sz="0" w:space="0" w:color="auto"/>
            <w:bottom w:val="none" w:sz="0" w:space="0" w:color="auto"/>
            <w:right w:val="none" w:sz="0" w:space="0" w:color="auto"/>
          </w:divBdr>
        </w:div>
        <w:div w:id="1652253249">
          <w:marLeft w:val="0"/>
          <w:marRight w:val="0"/>
          <w:marTop w:val="0"/>
          <w:marBottom w:val="0"/>
          <w:divBdr>
            <w:top w:val="none" w:sz="0" w:space="0" w:color="auto"/>
            <w:left w:val="none" w:sz="0" w:space="0" w:color="auto"/>
            <w:bottom w:val="none" w:sz="0" w:space="0" w:color="auto"/>
            <w:right w:val="none" w:sz="0" w:space="0" w:color="auto"/>
          </w:divBdr>
        </w:div>
        <w:div w:id="1824930194">
          <w:marLeft w:val="0"/>
          <w:marRight w:val="0"/>
          <w:marTop w:val="0"/>
          <w:marBottom w:val="0"/>
          <w:divBdr>
            <w:top w:val="none" w:sz="0" w:space="0" w:color="auto"/>
            <w:left w:val="none" w:sz="0" w:space="0" w:color="auto"/>
            <w:bottom w:val="none" w:sz="0" w:space="0" w:color="auto"/>
            <w:right w:val="none" w:sz="0" w:space="0" w:color="auto"/>
          </w:divBdr>
        </w:div>
        <w:div w:id="1846549526">
          <w:marLeft w:val="0"/>
          <w:marRight w:val="0"/>
          <w:marTop w:val="0"/>
          <w:marBottom w:val="0"/>
          <w:divBdr>
            <w:top w:val="none" w:sz="0" w:space="0" w:color="auto"/>
            <w:left w:val="none" w:sz="0" w:space="0" w:color="auto"/>
            <w:bottom w:val="none" w:sz="0" w:space="0" w:color="auto"/>
            <w:right w:val="none" w:sz="0" w:space="0" w:color="auto"/>
          </w:divBdr>
        </w:div>
        <w:div w:id="1860927003">
          <w:marLeft w:val="0"/>
          <w:marRight w:val="0"/>
          <w:marTop w:val="0"/>
          <w:marBottom w:val="0"/>
          <w:divBdr>
            <w:top w:val="none" w:sz="0" w:space="0" w:color="auto"/>
            <w:left w:val="none" w:sz="0" w:space="0" w:color="auto"/>
            <w:bottom w:val="none" w:sz="0" w:space="0" w:color="auto"/>
            <w:right w:val="none" w:sz="0" w:space="0" w:color="auto"/>
          </w:divBdr>
        </w:div>
        <w:div w:id="1959674265">
          <w:marLeft w:val="0"/>
          <w:marRight w:val="0"/>
          <w:marTop w:val="0"/>
          <w:marBottom w:val="0"/>
          <w:divBdr>
            <w:top w:val="none" w:sz="0" w:space="0" w:color="auto"/>
            <w:left w:val="none" w:sz="0" w:space="0" w:color="auto"/>
            <w:bottom w:val="none" w:sz="0" w:space="0" w:color="auto"/>
            <w:right w:val="none" w:sz="0" w:space="0" w:color="auto"/>
          </w:divBdr>
        </w:div>
        <w:div w:id="2039743300">
          <w:marLeft w:val="0"/>
          <w:marRight w:val="0"/>
          <w:marTop w:val="0"/>
          <w:marBottom w:val="0"/>
          <w:divBdr>
            <w:top w:val="none" w:sz="0" w:space="0" w:color="auto"/>
            <w:left w:val="none" w:sz="0" w:space="0" w:color="auto"/>
            <w:bottom w:val="none" w:sz="0" w:space="0" w:color="auto"/>
            <w:right w:val="none" w:sz="0" w:space="0" w:color="auto"/>
          </w:divBdr>
        </w:div>
      </w:divsChild>
    </w:div>
    <w:div w:id="1307783026">
      <w:bodyDiv w:val="1"/>
      <w:marLeft w:val="0"/>
      <w:marRight w:val="0"/>
      <w:marTop w:val="0"/>
      <w:marBottom w:val="0"/>
      <w:divBdr>
        <w:top w:val="none" w:sz="0" w:space="0" w:color="auto"/>
        <w:left w:val="none" w:sz="0" w:space="0" w:color="auto"/>
        <w:bottom w:val="none" w:sz="0" w:space="0" w:color="auto"/>
        <w:right w:val="none" w:sz="0" w:space="0" w:color="auto"/>
      </w:divBdr>
    </w:div>
    <w:div w:id="1333607720">
      <w:bodyDiv w:val="1"/>
      <w:marLeft w:val="0"/>
      <w:marRight w:val="0"/>
      <w:marTop w:val="0"/>
      <w:marBottom w:val="0"/>
      <w:divBdr>
        <w:top w:val="none" w:sz="0" w:space="0" w:color="auto"/>
        <w:left w:val="none" w:sz="0" w:space="0" w:color="auto"/>
        <w:bottom w:val="none" w:sz="0" w:space="0" w:color="auto"/>
        <w:right w:val="none" w:sz="0" w:space="0" w:color="auto"/>
      </w:divBdr>
      <w:divsChild>
        <w:div w:id="30154679">
          <w:marLeft w:val="0"/>
          <w:marRight w:val="0"/>
          <w:marTop w:val="0"/>
          <w:marBottom w:val="0"/>
          <w:divBdr>
            <w:top w:val="none" w:sz="0" w:space="0" w:color="auto"/>
            <w:left w:val="none" w:sz="0" w:space="0" w:color="auto"/>
            <w:bottom w:val="none" w:sz="0" w:space="0" w:color="auto"/>
            <w:right w:val="none" w:sz="0" w:space="0" w:color="auto"/>
          </w:divBdr>
        </w:div>
      </w:divsChild>
    </w:div>
    <w:div w:id="1524637348">
      <w:bodyDiv w:val="1"/>
      <w:marLeft w:val="0"/>
      <w:marRight w:val="0"/>
      <w:marTop w:val="0"/>
      <w:marBottom w:val="0"/>
      <w:divBdr>
        <w:top w:val="none" w:sz="0" w:space="0" w:color="auto"/>
        <w:left w:val="none" w:sz="0" w:space="0" w:color="auto"/>
        <w:bottom w:val="none" w:sz="0" w:space="0" w:color="auto"/>
        <w:right w:val="none" w:sz="0" w:space="0" w:color="auto"/>
      </w:divBdr>
    </w:div>
    <w:div w:id="1534685114">
      <w:bodyDiv w:val="1"/>
      <w:marLeft w:val="0"/>
      <w:marRight w:val="0"/>
      <w:marTop w:val="0"/>
      <w:marBottom w:val="0"/>
      <w:divBdr>
        <w:top w:val="none" w:sz="0" w:space="0" w:color="auto"/>
        <w:left w:val="none" w:sz="0" w:space="0" w:color="auto"/>
        <w:bottom w:val="none" w:sz="0" w:space="0" w:color="auto"/>
        <w:right w:val="none" w:sz="0" w:space="0" w:color="auto"/>
      </w:divBdr>
    </w:div>
    <w:div w:id="1921450842">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sChild>
        <w:div w:id="380206722">
          <w:marLeft w:val="0"/>
          <w:marRight w:val="0"/>
          <w:marTop w:val="0"/>
          <w:marBottom w:val="0"/>
          <w:divBdr>
            <w:top w:val="none" w:sz="0" w:space="0" w:color="auto"/>
            <w:left w:val="none" w:sz="0" w:space="0" w:color="auto"/>
            <w:bottom w:val="none" w:sz="0" w:space="0" w:color="auto"/>
            <w:right w:val="none" w:sz="0" w:space="0" w:color="auto"/>
          </w:divBdr>
        </w:div>
        <w:div w:id="664436707">
          <w:marLeft w:val="0"/>
          <w:marRight w:val="0"/>
          <w:marTop w:val="0"/>
          <w:marBottom w:val="0"/>
          <w:divBdr>
            <w:top w:val="none" w:sz="0" w:space="0" w:color="auto"/>
            <w:left w:val="none" w:sz="0" w:space="0" w:color="auto"/>
            <w:bottom w:val="none" w:sz="0" w:space="0" w:color="auto"/>
            <w:right w:val="none" w:sz="0" w:space="0" w:color="auto"/>
          </w:divBdr>
        </w:div>
        <w:div w:id="724330790">
          <w:marLeft w:val="0"/>
          <w:marRight w:val="0"/>
          <w:marTop w:val="0"/>
          <w:marBottom w:val="0"/>
          <w:divBdr>
            <w:top w:val="none" w:sz="0" w:space="0" w:color="auto"/>
            <w:left w:val="none" w:sz="0" w:space="0" w:color="auto"/>
            <w:bottom w:val="none" w:sz="0" w:space="0" w:color="auto"/>
            <w:right w:val="none" w:sz="0" w:space="0" w:color="auto"/>
          </w:divBdr>
        </w:div>
        <w:div w:id="981151656">
          <w:marLeft w:val="0"/>
          <w:marRight w:val="0"/>
          <w:marTop w:val="0"/>
          <w:marBottom w:val="0"/>
          <w:divBdr>
            <w:top w:val="none" w:sz="0" w:space="0" w:color="auto"/>
            <w:left w:val="none" w:sz="0" w:space="0" w:color="auto"/>
            <w:bottom w:val="none" w:sz="0" w:space="0" w:color="auto"/>
            <w:right w:val="none" w:sz="0" w:space="0" w:color="auto"/>
          </w:divBdr>
        </w:div>
        <w:div w:id="1074009303">
          <w:marLeft w:val="0"/>
          <w:marRight w:val="0"/>
          <w:marTop w:val="0"/>
          <w:marBottom w:val="0"/>
          <w:divBdr>
            <w:top w:val="none" w:sz="0" w:space="0" w:color="auto"/>
            <w:left w:val="none" w:sz="0" w:space="0" w:color="auto"/>
            <w:bottom w:val="none" w:sz="0" w:space="0" w:color="auto"/>
            <w:right w:val="none" w:sz="0" w:space="0" w:color="auto"/>
          </w:divBdr>
        </w:div>
        <w:div w:id="1169364738">
          <w:marLeft w:val="0"/>
          <w:marRight w:val="0"/>
          <w:marTop w:val="0"/>
          <w:marBottom w:val="0"/>
          <w:divBdr>
            <w:top w:val="none" w:sz="0" w:space="0" w:color="auto"/>
            <w:left w:val="none" w:sz="0" w:space="0" w:color="auto"/>
            <w:bottom w:val="none" w:sz="0" w:space="0" w:color="auto"/>
            <w:right w:val="none" w:sz="0" w:space="0" w:color="auto"/>
          </w:divBdr>
        </w:div>
        <w:div w:id="1703287446">
          <w:marLeft w:val="0"/>
          <w:marRight w:val="0"/>
          <w:marTop w:val="0"/>
          <w:marBottom w:val="0"/>
          <w:divBdr>
            <w:top w:val="none" w:sz="0" w:space="0" w:color="auto"/>
            <w:left w:val="none" w:sz="0" w:space="0" w:color="auto"/>
            <w:bottom w:val="none" w:sz="0" w:space="0" w:color="auto"/>
            <w:right w:val="none" w:sz="0" w:space="0" w:color="auto"/>
          </w:divBdr>
        </w:div>
        <w:div w:id="1881549527">
          <w:marLeft w:val="0"/>
          <w:marRight w:val="0"/>
          <w:marTop w:val="0"/>
          <w:marBottom w:val="0"/>
          <w:divBdr>
            <w:top w:val="none" w:sz="0" w:space="0" w:color="auto"/>
            <w:left w:val="none" w:sz="0" w:space="0" w:color="auto"/>
            <w:bottom w:val="none" w:sz="0" w:space="0" w:color="auto"/>
            <w:right w:val="none" w:sz="0" w:space="0" w:color="auto"/>
          </w:divBdr>
        </w:div>
        <w:div w:id="2079132260">
          <w:marLeft w:val="0"/>
          <w:marRight w:val="0"/>
          <w:marTop w:val="0"/>
          <w:marBottom w:val="0"/>
          <w:divBdr>
            <w:top w:val="none" w:sz="0" w:space="0" w:color="auto"/>
            <w:left w:val="none" w:sz="0" w:space="0" w:color="auto"/>
            <w:bottom w:val="none" w:sz="0" w:space="0" w:color="auto"/>
            <w:right w:val="none" w:sz="0" w:space="0" w:color="auto"/>
          </w:divBdr>
        </w:div>
        <w:div w:id="2119444094">
          <w:marLeft w:val="0"/>
          <w:marRight w:val="0"/>
          <w:marTop w:val="0"/>
          <w:marBottom w:val="0"/>
          <w:divBdr>
            <w:top w:val="none" w:sz="0" w:space="0" w:color="auto"/>
            <w:left w:val="none" w:sz="0" w:space="0" w:color="auto"/>
            <w:bottom w:val="none" w:sz="0" w:space="0" w:color="auto"/>
            <w:right w:val="none" w:sz="0" w:space="0" w:color="auto"/>
          </w:divBdr>
        </w:div>
      </w:divsChild>
    </w:div>
    <w:div w:id="2048606224">
      <w:bodyDiv w:val="1"/>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 w:id="96756240">
          <w:marLeft w:val="0"/>
          <w:marRight w:val="0"/>
          <w:marTop w:val="0"/>
          <w:marBottom w:val="0"/>
          <w:divBdr>
            <w:top w:val="none" w:sz="0" w:space="0" w:color="auto"/>
            <w:left w:val="none" w:sz="0" w:space="0" w:color="auto"/>
            <w:bottom w:val="none" w:sz="0" w:space="0" w:color="auto"/>
            <w:right w:val="none" w:sz="0" w:space="0" w:color="auto"/>
          </w:divBdr>
        </w:div>
        <w:div w:id="272323023">
          <w:marLeft w:val="0"/>
          <w:marRight w:val="0"/>
          <w:marTop w:val="0"/>
          <w:marBottom w:val="0"/>
          <w:divBdr>
            <w:top w:val="none" w:sz="0" w:space="0" w:color="auto"/>
            <w:left w:val="none" w:sz="0" w:space="0" w:color="auto"/>
            <w:bottom w:val="none" w:sz="0" w:space="0" w:color="auto"/>
            <w:right w:val="none" w:sz="0" w:space="0" w:color="auto"/>
          </w:divBdr>
        </w:div>
        <w:div w:id="275059745">
          <w:marLeft w:val="0"/>
          <w:marRight w:val="0"/>
          <w:marTop w:val="0"/>
          <w:marBottom w:val="0"/>
          <w:divBdr>
            <w:top w:val="none" w:sz="0" w:space="0" w:color="auto"/>
            <w:left w:val="none" w:sz="0" w:space="0" w:color="auto"/>
            <w:bottom w:val="none" w:sz="0" w:space="0" w:color="auto"/>
            <w:right w:val="none" w:sz="0" w:space="0" w:color="auto"/>
          </w:divBdr>
        </w:div>
        <w:div w:id="304237337">
          <w:marLeft w:val="0"/>
          <w:marRight w:val="0"/>
          <w:marTop w:val="0"/>
          <w:marBottom w:val="0"/>
          <w:divBdr>
            <w:top w:val="none" w:sz="0" w:space="0" w:color="auto"/>
            <w:left w:val="none" w:sz="0" w:space="0" w:color="auto"/>
            <w:bottom w:val="none" w:sz="0" w:space="0" w:color="auto"/>
            <w:right w:val="none" w:sz="0" w:space="0" w:color="auto"/>
          </w:divBdr>
        </w:div>
        <w:div w:id="304554176">
          <w:marLeft w:val="0"/>
          <w:marRight w:val="0"/>
          <w:marTop w:val="0"/>
          <w:marBottom w:val="0"/>
          <w:divBdr>
            <w:top w:val="none" w:sz="0" w:space="0" w:color="auto"/>
            <w:left w:val="none" w:sz="0" w:space="0" w:color="auto"/>
            <w:bottom w:val="none" w:sz="0" w:space="0" w:color="auto"/>
            <w:right w:val="none" w:sz="0" w:space="0" w:color="auto"/>
          </w:divBdr>
        </w:div>
        <w:div w:id="416631211">
          <w:marLeft w:val="0"/>
          <w:marRight w:val="0"/>
          <w:marTop w:val="0"/>
          <w:marBottom w:val="0"/>
          <w:divBdr>
            <w:top w:val="none" w:sz="0" w:space="0" w:color="auto"/>
            <w:left w:val="none" w:sz="0" w:space="0" w:color="auto"/>
            <w:bottom w:val="none" w:sz="0" w:space="0" w:color="auto"/>
            <w:right w:val="none" w:sz="0" w:space="0" w:color="auto"/>
          </w:divBdr>
        </w:div>
        <w:div w:id="618530242">
          <w:marLeft w:val="0"/>
          <w:marRight w:val="0"/>
          <w:marTop w:val="0"/>
          <w:marBottom w:val="0"/>
          <w:divBdr>
            <w:top w:val="none" w:sz="0" w:space="0" w:color="auto"/>
            <w:left w:val="none" w:sz="0" w:space="0" w:color="auto"/>
            <w:bottom w:val="none" w:sz="0" w:space="0" w:color="auto"/>
            <w:right w:val="none" w:sz="0" w:space="0" w:color="auto"/>
          </w:divBdr>
        </w:div>
        <w:div w:id="628364523">
          <w:marLeft w:val="0"/>
          <w:marRight w:val="0"/>
          <w:marTop w:val="0"/>
          <w:marBottom w:val="0"/>
          <w:divBdr>
            <w:top w:val="none" w:sz="0" w:space="0" w:color="auto"/>
            <w:left w:val="none" w:sz="0" w:space="0" w:color="auto"/>
            <w:bottom w:val="none" w:sz="0" w:space="0" w:color="auto"/>
            <w:right w:val="none" w:sz="0" w:space="0" w:color="auto"/>
          </w:divBdr>
        </w:div>
        <w:div w:id="840434535">
          <w:marLeft w:val="0"/>
          <w:marRight w:val="0"/>
          <w:marTop w:val="0"/>
          <w:marBottom w:val="0"/>
          <w:divBdr>
            <w:top w:val="none" w:sz="0" w:space="0" w:color="auto"/>
            <w:left w:val="none" w:sz="0" w:space="0" w:color="auto"/>
            <w:bottom w:val="none" w:sz="0" w:space="0" w:color="auto"/>
            <w:right w:val="none" w:sz="0" w:space="0" w:color="auto"/>
          </w:divBdr>
        </w:div>
        <w:div w:id="858351086">
          <w:marLeft w:val="0"/>
          <w:marRight w:val="0"/>
          <w:marTop w:val="0"/>
          <w:marBottom w:val="0"/>
          <w:divBdr>
            <w:top w:val="none" w:sz="0" w:space="0" w:color="auto"/>
            <w:left w:val="none" w:sz="0" w:space="0" w:color="auto"/>
            <w:bottom w:val="none" w:sz="0" w:space="0" w:color="auto"/>
            <w:right w:val="none" w:sz="0" w:space="0" w:color="auto"/>
          </w:divBdr>
        </w:div>
        <w:div w:id="1035960270">
          <w:marLeft w:val="0"/>
          <w:marRight w:val="0"/>
          <w:marTop w:val="0"/>
          <w:marBottom w:val="0"/>
          <w:divBdr>
            <w:top w:val="none" w:sz="0" w:space="0" w:color="auto"/>
            <w:left w:val="none" w:sz="0" w:space="0" w:color="auto"/>
            <w:bottom w:val="none" w:sz="0" w:space="0" w:color="auto"/>
            <w:right w:val="none" w:sz="0" w:space="0" w:color="auto"/>
          </w:divBdr>
        </w:div>
        <w:div w:id="1039161050">
          <w:marLeft w:val="0"/>
          <w:marRight w:val="0"/>
          <w:marTop w:val="0"/>
          <w:marBottom w:val="0"/>
          <w:divBdr>
            <w:top w:val="none" w:sz="0" w:space="0" w:color="auto"/>
            <w:left w:val="none" w:sz="0" w:space="0" w:color="auto"/>
            <w:bottom w:val="none" w:sz="0" w:space="0" w:color="auto"/>
            <w:right w:val="none" w:sz="0" w:space="0" w:color="auto"/>
          </w:divBdr>
        </w:div>
        <w:div w:id="1126583235">
          <w:marLeft w:val="0"/>
          <w:marRight w:val="0"/>
          <w:marTop w:val="0"/>
          <w:marBottom w:val="0"/>
          <w:divBdr>
            <w:top w:val="none" w:sz="0" w:space="0" w:color="auto"/>
            <w:left w:val="none" w:sz="0" w:space="0" w:color="auto"/>
            <w:bottom w:val="none" w:sz="0" w:space="0" w:color="auto"/>
            <w:right w:val="none" w:sz="0" w:space="0" w:color="auto"/>
          </w:divBdr>
        </w:div>
        <w:div w:id="1516378110">
          <w:marLeft w:val="0"/>
          <w:marRight w:val="0"/>
          <w:marTop w:val="0"/>
          <w:marBottom w:val="0"/>
          <w:divBdr>
            <w:top w:val="none" w:sz="0" w:space="0" w:color="auto"/>
            <w:left w:val="none" w:sz="0" w:space="0" w:color="auto"/>
            <w:bottom w:val="none" w:sz="0" w:space="0" w:color="auto"/>
            <w:right w:val="none" w:sz="0" w:space="0" w:color="auto"/>
          </w:divBdr>
        </w:div>
        <w:div w:id="186261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dar.com"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3005-354B-45BB-8D48-BE8DD6F52211}">
  <ds:schemaRefs>
    <ds:schemaRef ds:uri="http://schemas.openxmlformats.org/officeDocument/2006/bibliography"/>
  </ds:schemaRefs>
</ds:datastoreItem>
</file>

<file path=customXml/itemProps2.xml><?xml version="1.0" encoding="utf-8"?>
<ds:datastoreItem xmlns:ds="http://schemas.openxmlformats.org/officeDocument/2006/customXml" ds:itemID="{A01AE580-3D18-4575-8E91-2A6E7E48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3548</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Q3 Results</vt:lpstr>
    </vt:vector>
  </TitlesOfParts>
  <Company>Unique Broadband Systems Inc.</Company>
  <LinksUpToDate>false</LinksUpToDate>
  <CharactersWithSpaces>23736</CharactersWithSpaces>
  <SharedDoc>false</SharedDoc>
  <HLinks>
    <vt:vector size="18" baseType="variant">
      <vt:variant>
        <vt:i4>4194325</vt:i4>
      </vt:variant>
      <vt:variant>
        <vt:i4>6</vt:i4>
      </vt:variant>
      <vt:variant>
        <vt:i4>0</vt:i4>
      </vt:variant>
      <vt:variant>
        <vt:i4>5</vt:i4>
      </vt:variant>
      <vt:variant>
        <vt:lpwstr>http://www.sedar.com/</vt:lpwstr>
      </vt:variant>
      <vt:variant>
        <vt:lpwstr/>
      </vt:variant>
      <vt:variant>
        <vt:i4>4063290</vt:i4>
      </vt:variant>
      <vt:variant>
        <vt:i4>3</vt:i4>
      </vt:variant>
      <vt:variant>
        <vt:i4>0</vt:i4>
      </vt:variant>
      <vt:variant>
        <vt:i4>5</vt:i4>
      </vt:variant>
      <vt:variant>
        <vt:lpwstr>http://www.rsmrichter.com/</vt:lpwstr>
      </vt:variant>
      <vt:variant>
        <vt:lpwstr/>
      </vt:variant>
      <vt:variant>
        <vt:i4>4063290</vt:i4>
      </vt:variant>
      <vt:variant>
        <vt:i4>0</vt:i4>
      </vt:variant>
      <vt:variant>
        <vt:i4>0</vt:i4>
      </vt:variant>
      <vt:variant>
        <vt:i4>5</vt:i4>
      </vt:variant>
      <vt:variant>
        <vt:lpwstr>http://www.rsmrichter.com/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Q3 Results</dc:title>
  <dc:subject/>
  <dc:creator>JackieL</dc:creator>
  <cp:keywords/>
  <dc:description/>
  <cp:lastModifiedBy>Jaqi Logan</cp:lastModifiedBy>
  <cp:revision>41</cp:revision>
  <cp:lastPrinted>2023-01-31T22:22:00Z</cp:lastPrinted>
  <dcterms:created xsi:type="dcterms:W3CDTF">2023-01-31T21:44:00Z</dcterms:created>
  <dcterms:modified xsi:type="dcterms:W3CDTF">2023-01-31T22:22:00Z</dcterms:modified>
</cp:coreProperties>
</file>