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EDBF" w14:textId="626D401B" w:rsidR="00DB2291" w:rsidRPr="004C4032" w:rsidRDefault="00DB2291" w:rsidP="0024101C">
      <w:pPr>
        <w:spacing w:after="0" w:line="312" w:lineRule="auto"/>
        <w:rPr>
          <w:b/>
          <w:bCs/>
          <w:color w:val="0070C0"/>
          <w:sz w:val="24"/>
          <w:szCs w:val="32"/>
        </w:rPr>
      </w:pPr>
      <w:bookmarkStart w:id="0" w:name="OLE_LINK1"/>
      <w:bookmarkStart w:id="1" w:name="OLE_LINK2"/>
      <w:r w:rsidRPr="004C4032">
        <w:rPr>
          <w:b/>
          <w:bCs/>
          <w:color w:val="0070C0"/>
          <w:sz w:val="24"/>
          <w:szCs w:val="32"/>
        </w:rPr>
        <w:t>Atlas Vantage Capabilities Statement</w:t>
      </w:r>
    </w:p>
    <w:bookmarkEnd w:id="0"/>
    <w:bookmarkEnd w:id="1"/>
    <w:p w14:paraId="66251CCA" w14:textId="3A86D7EE" w:rsidR="0052400D" w:rsidRPr="0052400D" w:rsidRDefault="0052400D" w:rsidP="0052400D">
      <w:pPr>
        <w:spacing w:after="0" w:line="312" w:lineRule="auto"/>
        <w:rPr>
          <w:sz w:val="20"/>
          <w:szCs w:val="22"/>
        </w:rPr>
      </w:pPr>
      <w:r w:rsidRPr="0052400D">
        <w:rPr>
          <w:sz w:val="20"/>
          <w:szCs w:val="22"/>
        </w:rPr>
        <w:t>Atlas Vantage provides consulting services in AI strategy, program and project management, operational resilience, crisis management, and enterprise and operational risk. We help organizations strengthen oversight, improve preparedness, and manage complex business challenges with clarity and control.</w:t>
      </w:r>
      <w:r w:rsidRPr="0052400D">
        <w:rPr>
          <w:sz w:val="20"/>
          <w:szCs w:val="22"/>
        </w:rPr>
        <w:br/>
      </w:r>
      <w:r w:rsidRPr="0052400D">
        <w:rPr>
          <w:sz w:val="20"/>
          <w:szCs w:val="22"/>
        </w:rPr>
        <w:br/>
        <w:t>We support Financial Services, Healthcare, Life Sciences, Insurance, Manufacturing, Distribution, Technology, SaaS, and enterprise clients operating in demanding and regulated environments. Our work combines strategic advisory, hands-on execution, and standards-informed methods to help clients reduce risk, improve readiness, and deliver critical</w:t>
      </w:r>
      <w:r w:rsidR="00166494">
        <w:rPr>
          <w:sz w:val="20"/>
          <w:szCs w:val="22"/>
        </w:rPr>
        <w:t xml:space="preserve"> projects and</w:t>
      </w:r>
      <w:r w:rsidRPr="0052400D">
        <w:rPr>
          <w:sz w:val="20"/>
          <w:szCs w:val="22"/>
        </w:rPr>
        <w:t xml:space="preserve"> initiatives successfully.</w:t>
      </w:r>
    </w:p>
    <w:p w14:paraId="10369C57" w14:textId="1A41B763" w:rsidR="00EF55E8" w:rsidRDefault="00DB2291" w:rsidP="0024101C">
      <w:pPr>
        <w:spacing w:after="0" w:line="312" w:lineRule="auto"/>
        <w:jc w:val="center"/>
        <w:rPr>
          <w:sz w:val="32"/>
          <w:szCs w:val="40"/>
        </w:rPr>
      </w:pPr>
      <w:r w:rsidRPr="001C7C73">
        <w:rPr>
          <w:sz w:val="32"/>
          <w:szCs w:val="40"/>
        </w:rPr>
        <w:t>Our Core Services</w:t>
      </w:r>
    </w:p>
    <w:p w14:paraId="3405D901" w14:textId="77777777" w:rsidR="00EF55E8" w:rsidRPr="00EF55E8" w:rsidRDefault="00EF55E8" w:rsidP="0024101C">
      <w:pPr>
        <w:spacing w:after="0" w:line="312" w:lineRule="auto"/>
        <w:jc w:val="center"/>
        <w:rPr>
          <w:sz w:val="6"/>
          <w:szCs w:val="10"/>
        </w:rPr>
      </w:pPr>
    </w:p>
    <w:p w14:paraId="101CFCD7" w14:textId="2CA3E1EF" w:rsidR="00DB2291" w:rsidRPr="00DF0133" w:rsidRDefault="00DB2291" w:rsidP="003E12B5">
      <w:pPr>
        <w:spacing w:after="0" w:line="312" w:lineRule="auto"/>
        <w:rPr>
          <w:b/>
          <w:bCs/>
          <w:color w:val="0070C0"/>
          <w:sz w:val="24"/>
          <w:szCs w:val="32"/>
        </w:rPr>
      </w:pPr>
      <w:r w:rsidRPr="00DF0133">
        <w:rPr>
          <w:b/>
          <w:bCs/>
          <w:color w:val="0070C0"/>
          <w:sz w:val="24"/>
          <w:szCs w:val="32"/>
        </w:rPr>
        <w:t xml:space="preserve">Business Continuity &amp; </w:t>
      </w:r>
      <w:r w:rsidR="00121F9D" w:rsidRPr="00DF0133">
        <w:rPr>
          <w:b/>
          <w:bCs/>
          <w:color w:val="0070C0"/>
          <w:sz w:val="24"/>
          <w:szCs w:val="32"/>
        </w:rPr>
        <w:t xml:space="preserve">Operational </w:t>
      </w:r>
      <w:r w:rsidRPr="00DF0133">
        <w:rPr>
          <w:b/>
          <w:bCs/>
          <w:color w:val="0070C0"/>
          <w:sz w:val="24"/>
          <w:szCs w:val="32"/>
        </w:rPr>
        <w:t>Resilience</w:t>
      </w:r>
    </w:p>
    <w:p w14:paraId="1C53C41F" w14:textId="77777777" w:rsidR="00340776" w:rsidRPr="00DF0133" w:rsidRDefault="0031292E"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Strategy &amp; Governance</w:t>
      </w:r>
    </w:p>
    <w:p w14:paraId="5F9284B1" w14:textId="15063DEB" w:rsidR="00651376" w:rsidRPr="00651376" w:rsidRDefault="00651376" w:rsidP="00651376">
      <w:pPr>
        <w:pStyle w:val="ListParagraph"/>
        <w:numPr>
          <w:ilvl w:val="0"/>
          <w:numId w:val="15"/>
        </w:numPr>
        <w:spacing w:after="0" w:line="312" w:lineRule="auto"/>
        <w:rPr>
          <w:sz w:val="20"/>
        </w:rPr>
      </w:pPr>
      <w:r w:rsidRPr="00651376">
        <w:rPr>
          <w:sz w:val="20"/>
        </w:rPr>
        <w:t>Polycrisis strategy design aligned to evolving global and enterprise risk conditions</w:t>
      </w:r>
    </w:p>
    <w:p w14:paraId="12F95EC8" w14:textId="2B82132D" w:rsidR="00651376" w:rsidRPr="00651376" w:rsidRDefault="00651376" w:rsidP="00651376">
      <w:pPr>
        <w:pStyle w:val="ListParagraph"/>
        <w:numPr>
          <w:ilvl w:val="0"/>
          <w:numId w:val="15"/>
        </w:numPr>
        <w:spacing w:after="0" w:line="312" w:lineRule="auto"/>
        <w:rPr>
          <w:sz w:val="20"/>
        </w:rPr>
      </w:pPr>
      <w:r w:rsidRPr="00651376">
        <w:rPr>
          <w:sz w:val="20"/>
        </w:rPr>
        <w:t>ISO 22301 and ISO 27001 readiness, alignment, and compliance support</w:t>
      </w:r>
    </w:p>
    <w:p w14:paraId="03B5E864" w14:textId="38265EAB" w:rsidR="00651376" w:rsidRPr="00651376" w:rsidRDefault="00651376" w:rsidP="00651376">
      <w:pPr>
        <w:pStyle w:val="ListParagraph"/>
        <w:numPr>
          <w:ilvl w:val="0"/>
          <w:numId w:val="15"/>
        </w:numPr>
        <w:spacing w:after="0" w:line="312" w:lineRule="auto"/>
        <w:rPr>
          <w:sz w:val="20"/>
        </w:rPr>
      </w:pPr>
      <w:r w:rsidRPr="00651376">
        <w:rPr>
          <w:sz w:val="20"/>
        </w:rPr>
        <w:t>Business Impact Analysis (BIA) design, oversight, audit support, and program management</w:t>
      </w:r>
    </w:p>
    <w:p w14:paraId="74A0ED9C" w14:textId="330A9E3D" w:rsidR="00651376" w:rsidRPr="00651376" w:rsidRDefault="00651376" w:rsidP="00651376">
      <w:pPr>
        <w:pStyle w:val="ListParagraph"/>
        <w:numPr>
          <w:ilvl w:val="0"/>
          <w:numId w:val="15"/>
        </w:numPr>
        <w:spacing w:after="0" w:line="312" w:lineRule="auto"/>
        <w:rPr>
          <w:sz w:val="20"/>
        </w:rPr>
      </w:pPr>
      <w:r w:rsidRPr="00651376">
        <w:rPr>
          <w:sz w:val="20"/>
        </w:rPr>
        <w:t>Operational resilience frameworks for Financial Services and other regulated sectors</w:t>
      </w:r>
    </w:p>
    <w:p w14:paraId="5CC87D18" w14:textId="39655504" w:rsidR="00651376" w:rsidRPr="00651376" w:rsidRDefault="00651376" w:rsidP="00651376">
      <w:pPr>
        <w:pStyle w:val="ListParagraph"/>
        <w:numPr>
          <w:ilvl w:val="0"/>
          <w:numId w:val="15"/>
        </w:numPr>
        <w:spacing w:after="0" w:line="312" w:lineRule="auto"/>
        <w:rPr>
          <w:sz w:val="20"/>
        </w:rPr>
      </w:pPr>
      <w:r w:rsidRPr="00651376">
        <w:rPr>
          <w:sz w:val="20"/>
        </w:rPr>
        <w:t>Executive protection and duty-of-care program advisory services</w:t>
      </w:r>
    </w:p>
    <w:p w14:paraId="702820C9" w14:textId="25645187" w:rsidR="00C70792" w:rsidRPr="00DF0133" w:rsidRDefault="00A82D63"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Strategy</w:t>
      </w:r>
      <w:r w:rsidR="00632C8C">
        <w:rPr>
          <w:rFonts w:ascii="Arial" w:eastAsiaTheme="minorHAnsi" w:hAnsi="Arial" w:cs="Arial"/>
          <w:b/>
          <w:bCs/>
          <w:kern w:val="2"/>
          <w:sz w:val="20"/>
          <w:szCs w:val="20"/>
          <w14:ligatures w14:val="standardContextual"/>
        </w:rPr>
        <w:t xml:space="preserve"> &amp; </w:t>
      </w:r>
      <w:r w:rsidRPr="00DF0133">
        <w:rPr>
          <w:rFonts w:ascii="Arial" w:eastAsiaTheme="minorHAnsi" w:hAnsi="Arial" w:cs="Arial"/>
          <w:b/>
          <w:bCs/>
          <w:kern w:val="2"/>
          <w:sz w:val="20"/>
          <w:szCs w:val="20"/>
          <w14:ligatures w14:val="standardContextual"/>
        </w:rPr>
        <w:t xml:space="preserve">Plan </w:t>
      </w:r>
      <w:r w:rsidR="0031292E" w:rsidRPr="00DF0133">
        <w:rPr>
          <w:rFonts w:ascii="Arial" w:eastAsiaTheme="minorHAnsi" w:hAnsi="Arial" w:cs="Arial"/>
          <w:b/>
          <w:bCs/>
          <w:kern w:val="2"/>
          <w:sz w:val="20"/>
          <w:szCs w:val="20"/>
          <w14:ligatures w14:val="standardContextual"/>
        </w:rPr>
        <w:t>Development</w:t>
      </w:r>
    </w:p>
    <w:p w14:paraId="4A7B9A06" w14:textId="7F7B3F89" w:rsidR="00CF3835" w:rsidRPr="00CF3835" w:rsidRDefault="00CF3835" w:rsidP="00CF3835">
      <w:pPr>
        <w:pStyle w:val="ListParagraph"/>
        <w:numPr>
          <w:ilvl w:val="0"/>
          <w:numId w:val="15"/>
        </w:numPr>
        <w:spacing w:after="0" w:line="312" w:lineRule="auto"/>
        <w:rPr>
          <w:sz w:val="20"/>
        </w:rPr>
      </w:pPr>
      <w:r w:rsidRPr="00CF3835">
        <w:rPr>
          <w:sz w:val="20"/>
        </w:rPr>
        <w:t>Business Continuity, Crisis Management, Emergency Response, and Hazard Mitigation Plans</w:t>
      </w:r>
    </w:p>
    <w:p w14:paraId="02D0AE5A" w14:textId="364156BE" w:rsidR="00CF3835" w:rsidRPr="00CF3835" w:rsidRDefault="00CF3835" w:rsidP="00CF3835">
      <w:pPr>
        <w:pStyle w:val="ListParagraph"/>
        <w:numPr>
          <w:ilvl w:val="0"/>
          <w:numId w:val="15"/>
        </w:numPr>
        <w:spacing w:after="0" w:line="312" w:lineRule="auto"/>
        <w:rPr>
          <w:sz w:val="20"/>
        </w:rPr>
      </w:pPr>
      <w:r w:rsidRPr="00CF3835">
        <w:rPr>
          <w:sz w:val="20"/>
        </w:rPr>
        <w:t>Operational resilience policies, charters, and governance frameworks</w:t>
      </w:r>
    </w:p>
    <w:p w14:paraId="6509F7FD" w14:textId="1D36835E" w:rsidR="00CF3835" w:rsidRPr="00D56B43" w:rsidRDefault="00CF3835" w:rsidP="0024101C">
      <w:pPr>
        <w:pStyle w:val="ListParagraph"/>
        <w:numPr>
          <w:ilvl w:val="0"/>
          <w:numId w:val="15"/>
        </w:numPr>
        <w:spacing w:after="0" w:line="312" w:lineRule="auto"/>
        <w:rPr>
          <w:b/>
          <w:bCs/>
          <w:sz w:val="20"/>
          <w:szCs w:val="20"/>
        </w:rPr>
      </w:pPr>
      <w:r w:rsidRPr="00D56B43">
        <w:rPr>
          <w:sz w:val="20"/>
        </w:rPr>
        <w:t>Plan assessment, enhancement, remediation, and independent verification and validation (IV&amp;V)</w:t>
      </w:r>
    </w:p>
    <w:p w14:paraId="1EB25ADC" w14:textId="78FEE0FB" w:rsidR="008D6B60" w:rsidRPr="00DF0133" w:rsidRDefault="0031292E" w:rsidP="0024101C">
      <w:pPr>
        <w:pStyle w:val="NormalWeb"/>
        <w:spacing w:before="0" w:beforeAutospacing="0" w:after="0" w:afterAutospacing="0" w:line="312" w:lineRule="auto"/>
        <w:rPr>
          <w:rFonts w:ascii="Arial" w:eastAsiaTheme="minorHAnsi" w:hAnsi="Arial" w:cs="Arial"/>
          <w:b/>
          <w:bCs/>
          <w:kern w:val="2"/>
          <w:sz w:val="20"/>
          <w:szCs w:val="20"/>
          <w14:ligatures w14:val="standardContextual"/>
        </w:rPr>
      </w:pPr>
      <w:r w:rsidRPr="00DF0133">
        <w:rPr>
          <w:rFonts w:ascii="Arial" w:eastAsiaTheme="minorHAnsi" w:hAnsi="Arial" w:cs="Arial"/>
          <w:b/>
          <w:bCs/>
          <w:kern w:val="2"/>
          <w:sz w:val="20"/>
          <w:szCs w:val="20"/>
          <w14:ligatures w14:val="standardContextual"/>
        </w:rPr>
        <w:t>Exercises &amp; Readiness</w:t>
      </w:r>
    </w:p>
    <w:p w14:paraId="48BE3358" w14:textId="4C329210" w:rsidR="007772FD" w:rsidRPr="007772FD" w:rsidRDefault="007772FD" w:rsidP="007772FD">
      <w:pPr>
        <w:pStyle w:val="ListParagraph"/>
        <w:numPr>
          <w:ilvl w:val="0"/>
          <w:numId w:val="15"/>
        </w:numPr>
        <w:spacing w:after="0" w:line="312" w:lineRule="auto"/>
        <w:rPr>
          <w:sz w:val="20"/>
        </w:rPr>
      </w:pPr>
      <w:r w:rsidRPr="007772FD">
        <w:rPr>
          <w:sz w:val="20"/>
        </w:rPr>
        <w:t>Tabletop, functional, virtual, on-site, and full-scale exercise design and delivery</w:t>
      </w:r>
    </w:p>
    <w:p w14:paraId="43C49A06" w14:textId="4B1A3CC3" w:rsidR="007772FD" w:rsidRPr="007772FD" w:rsidRDefault="007772FD" w:rsidP="007772FD">
      <w:pPr>
        <w:pStyle w:val="ListParagraph"/>
        <w:numPr>
          <w:ilvl w:val="0"/>
          <w:numId w:val="15"/>
        </w:numPr>
        <w:spacing w:after="0" w:line="312" w:lineRule="auto"/>
        <w:rPr>
          <w:sz w:val="20"/>
        </w:rPr>
      </w:pPr>
      <w:r w:rsidRPr="007772FD">
        <w:rPr>
          <w:sz w:val="20"/>
        </w:rPr>
        <w:t>All-hazards scenario development for natural, technological, and human-caused events</w:t>
      </w:r>
    </w:p>
    <w:p w14:paraId="6855B6F6" w14:textId="4899F395" w:rsidR="007772FD" w:rsidRPr="007772FD" w:rsidRDefault="007772FD" w:rsidP="007772FD">
      <w:pPr>
        <w:pStyle w:val="ListParagraph"/>
        <w:numPr>
          <w:ilvl w:val="0"/>
          <w:numId w:val="15"/>
        </w:numPr>
        <w:spacing w:after="0" w:line="312" w:lineRule="auto"/>
        <w:rPr>
          <w:sz w:val="20"/>
        </w:rPr>
      </w:pPr>
      <w:r w:rsidRPr="007772FD">
        <w:rPr>
          <w:sz w:val="20"/>
        </w:rPr>
        <w:t>Workforce relocation, continuity activation, and operational recovery drills</w:t>
      </w:r>
    </w:p>
    <w:p w14:paraId="3B58F2F4" w14:textId="552286CD" w:rsidR="007772FD" w:rsidRPr="007772FD" w:rsidRDefault="007772FD" w:rsidP="007772FD">
      <w:pPr>
        <w:pStyle w:val="ListParagraph"/>
        <w:numPr>
          <w:ilvl w:val="0"/>
          <w:numId w:val="15"/>
        </w:numPr>
        <w:spacing w:after="0" w:line="312" w:lineRule="auto"/>
        <w:rPr>
          <w:sz w:val="20"/>
        </w:rPr>
      </w:pPr>
      <w:r w:rsidRPr="007772FD">
        <w:rPr>
          <w:sz w:val="20"/>
        </w:rPr>
        <w:t>Concurrent and cross-functional disruption scenario testing</w:t>
      </w:r>
    </w:p>
    <w:p w14:paraId="30625E08" w14:textId="289A40FD" w:rsidR="007772FD" w:rsidRPr="00D56B43" w:rsidRDefault="007772FD" w:rsidP="0024101C">
      <w:pPr>
        <w:pStyle w:val="ListParagraph"/>
        <w:numPr>
          <w:ilvl w:val="0"/>
          <w:numId w:val="15"/>
        </w:numPr>
        <w:spacing w:after="0" w:line="312" w:lineRule="auto"/>
        <w:rPr>
          <w:b/>
          <w:bCs/>
          <w:sz w:val="20"/>
          <w:szCs w:val="20"/>
        </w:rPr>
      </w:pPr>
      <w:r w:rsidRPr="00D56B43">
        <w:rPr>
          <w:sz w:val="20"/>
        </w:rPr>
        <w:t>After-action reporting, lessons learned, and corrective action planning</w:t>
      </w:r>
    </w:p>
    <w:p w14:paraId="5E69156E" w14:textId="6231ED1D" w:rsidR="0024101C" w:rsidRPr="0024101C" w:rsidRDefault="0031292E" w:rsidP="0024101C">
      <w:pPr>
        <w:pStyle w:val="NormalWeb"/>
        <w:spacing w:before="0" w:beforeAutospacing="0" w:after="0" w:afterAutospacing="0" w:line="312" w:lineRule="auto"/>
        <w:rPr>
          <w:rFonts w:ascii="Arial" w:hAnsi="Arial" w:cs="Arial"/>
          <w:sz w:val="20"/>
          <w:szCs w:val="20"/>
        </w:rPr>
      </w:pPr>
      <w:r w:rsidRPr="00DF0133">
        <w:rPr>
          <w:rFonts w:ascii="Arial" w:eastAsiaTheme="minorHAnsi" w:hAnsi="Arial" w:cs="Arial"/>
          <w:b/>
          <w:bCs/>
          <w:kern w:val="2"/>
          <w:sz w:val="20"/>
          <w:szCs w:val="20"/>
          <w14:ligatures w14:val="standardContextual"/>
        </w:rPr>
        <w:t>Command Centers &amp; Crisis Coordination</w:t>
      </w:r>
    </w:p>
    <w:p w14:paraId="11B6C77E" w14:textId="77777777" w:rsidR="0024101C" w:rsidRPr="0024101C" w:rsidRDefault="0031292E" w:rsidP="0024101C">
      <w:pPr>
        <w:pStyle w:val="NormalWeb"/>
        <w:numPr>
          <w:ilvl w:val="0"/>
          <w:numId w:val="15"/>
        </w:numPr>
        <w:spacing w:before="0" w:beforeAutospacing="0" w:after="0" w:afterAutospacing="0" w:line="312" w:lineRule="auto"/>
        <w:rPr>
          <w:rFonts w:ascii="Arial" w:hAnsi="Arial" w:cs="Arial"/>
          <w:sz w:val="20"/>
          <w:szCs w:val="20"/>
        </w:rPr>
      </w:pPr>
      <w:r w:rsidRPr="0024101C">
        <w:rPr>
          <w:rFonts w:ascii="Arial" w:eastAsiaTheme="minorHAnsi" w:hAnsi="Arial" w:cs="Arial"/>
          <w:kern w:val="2"/>
          <w:sz w:val="20"/>
          <w14:ligatures w14:val="standardContextual"/>
        </w:rPr>
        <w:t>Physical and virtual command center design and implementation</w:t>
      </w:r>
    </w:p>
    <w:p w14:paraId="28DCC4A8" w14:textId="34509026" w:rsidR="0031292E" w:rsidRPr="00DF0133" w:rsidRDefault="0031292E" w:rsidP="0024101C">
      <w:pPr>
        <w:pStyle w:val="NormalWeb"/>
        <w:numPr>
          <w:ilvl w:val="0"/>
          <w:numId w:val="15"/>
        </w:numPr>
        <w:spacing w:before="0" w:beforeAutospacing="0" w:after="0" w:afterAutospacing="0" w:line="312" w:lineRule="auto"/>
        <w:rPr>
          <w:rFonts w:ascii="Arial" w:hAnsi="Arial" w:cs="Arial"/>
          <w:sz w:val="20"/>
          <w:szCs w:val="20"/>
        </w:rPr>
      </w:pPr>
      <w:r w:rsidRPr="0024101C">
        <w:rPr>
          <w:rFonts w:ascii="Arial" w:eastAsiaTheme="minorHAnsi" w:hAnsi="Arial" w:cs="Arial"/>
          <w:kern w:val="2"/>
          <w:sz w:val="20"/>
          <w14:ligatures w14:val="standardContextual"/>
        </w:rPr>
        <w:t>Crisis communications workflows, escalation structures, and coordination support</w:t>
      </w:r>
    </w:p>
    <w:p w14:paraId="6A80F659" w14:textId="77777777" w:rsidR="00DF0AAC" w:rsidRPr="00DF0133" w:rsidRDefault="00DF0AAC" w:rsidP="0024101C">
      <w:pPr>
        <w:spacing w:after="0" w:line="312" w:lineRule="auto"/>
        <w:rPr>
          <w:b/>
          <w:bCs/>
          <w:color w:val="0070C0"/>
          <w:sz w:val="24"/>
          <w:szCs w:val="32"/>
        </w:rPr>
      </w:pPr>
      <w:r w:rsidRPr="00DF0133">
        <w:rPr>
          <w:b/>
          <w:bCs/>
          <w:color w:val="0070C0"/>
          <w:sz w:val="24"/>
          <w:szCs w:val="32"/>
        </w:rPr>
        <w:t>Risk Management Services</w:t>
      </w:r>
    </w:p>
    <w:p w14:paraId="7077AB51" w14:textId="77777777" w:rsidR="00DF0AAC" w:rsidRPr="007115B2" w:rsidRDefault="00DF0AAC" w:rsidP="0024101C">
      <w:pPr>
        <w:spacing w:after="0" w:line="312" w:lineRule="auto"/>
        <w:rPr>
          <w:b/>
          <w:bCs/>
          <w:sz w:val="20"/>
        </w:rPr>
      </w:pPr>
      <w:r w:rsidRPr="007115B2">
        <w:rPr>
          <w:b/>
          <w:bCs/>
          <w:sz w:val="20"/>
        </w:rPr>
        <w:t>Enterprise Risk Management (ERM)</w:t>
      </w:r>
    </w:p>
    <w:p w14:paraId="58954CE4" w14:textId="77777777" w:rsid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Enterprise risk assessments and prioritization</w:t>
      </w:r>
    </w:p>
    <w:p w14:paraId="200E82ED" w14:textId="77777777" w:rsid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Risk governance design and reporting structures</w:t>
      </w:r>
    </w:p>
    <w:p w14:paraId="74FF0D90" w14:textId="67C17518" w:rsidR="00E14AEA" w:rsidRPr="00E14AEA" w:rsidRDefault="00E14AEA" w:rsidP="00E14AEA">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E14AEA">
        <w:rPr>
          <w:rFonts w:ascii="Arial" w:eastAsiaTheme="minorHAnsi" w:hAnsi="Arial" w:cs="Arial"/>
          <w:kern w:val="2"/>
          <w:sz w:val="20"/>
          <w14:ligatures w14:val="standardContextual"/>
        </w:rPr>
        <w:t xml:space="preserve">Executive risk dashboards and escalation protocols </w:t>
      </w:r>
    </w:p>
    <w:p w14:paraId="677C90F6" w14:textId="6E7AB859" w:rsidR="00DF0AAC" w:rsidRPr="007115B2" w:rsidRDefault="00DF0AAC" w:rsidP="007115B2">
      <w:pPr>
        <w:spacing w:after="0" w:line="312" w:lineRule="auto"/>
        <w:rPr>
          <w:b/>
          <w:bCs/>
          <w:sz w:val="20"/>
        </w:rPr>
      </w:pPr>
      <w:r w:rsidRPr="007115B2">
        <w:rPr>
          <w:b/>
          <w:bCs/>
          <w:sz w:val="20"/>
        </w:rPr>
        <w:t>Operational Risk Management (ORM)</w:t>
      </w:r>
    </w:p>
    <w:p w14:paraId="33F83910" w14:textId="77777777" w:rsid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Process-level risk identification and mitigation planning</w:t>
      </w:r>
    </w:p>
    <w:p w14:paraId="49EA81A5" w14:textId="77777777" w:rsid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Control design, gap analysis, and remediation support</w:t>
      </w:r>
    </w:p>
    <w:p w14:paraId="0B140867" w14:textId="48824DAB" w:rsidR="00BF3460" w:rsidRPr="00BF3460" w:rsidRDefault="00BF3460" w:rsidP="00BF3460">
      <w:pPr>
        <w:pStyle w:val="NormalWeb"/>
        <w:numPr>
          <w:ilvl w:val="0"/>
          <w:numId w:val="15"/>
        </w:numPr>
        <w:spacing w:before="0" w:beforeAutospacing="0" w:after="0" w:afterAutospacing="0" w:line="312" w:lineRule="auto"/>
        <w:rPr>
          <w:rFonts w:ascii="Arial" w:eastAsiaTheme="minorHAnsi" w:hAnsi="Arial" w:cs="Arial"/>
          <w:kern w:val="2"/>
          <w:sz w:val="20"/>
          <w14:ligatures w14:val="standardContextual"/>
        </w:rPr>
      </w:pPr>
      <w:r w:rsidRPr="00BF3460">
        <w:rPr>
          <w:rFonts w:ascii="Arial" w:eastAsiaTheme="minorHAnsi" w:hAnsi="Arial" w:cs="Arial"/>
          <w:kern w:val="2"/>
          <w:sz w:val="20"/>
          <w14:ligatures w14:val="standardContextual"/>
        </w:rPr>
        <w:t xml:space="preserve">Operational risk reporting and issue management </w:t>
      </w:r>
    </w:p>
    <w:p w14:paraId="0850C10E" w14:textId="6D98697E" w:rsidR="00DF0AAC" w:rsidRPr="00DF0133" w:rsidRDefault="00DF0AAC" w:rsidP="0024101C">
      <w:pPr>
        <w:spacing w:after="0" w:line="312" w:lineRule="auto"/>
        <w:rPr>
          <w:b/>
          <w:bCs/>
          <w:sz w:val="20"/>
        </w:rPr>
      </w:pPr>
      <w:r w:rsidRPr="00DF0133">
        <w:rPr>
          <w:b/>
          <w:bCs/>
          <w:sz w:val="20"/>
        </w:rPr>
        <w:t>Risk Assessment &amp; Compliance</w:t>
      </w:r>
    </w:p>
    <w:p w14:paraId="1D0ADE8D" w14:textId="77777777" w:rsidR="00DF0AAC" w:rsidRPr="00DF0133" w:rsidRDefault="00DF0AAC" w:rsidP="0024101C">
      <w:pPr>
        <w:pStyle w:val="ListParagraph"/>
        <w:numPr>
          <w:ilvl w:val="0"/>
          <w:numId w:val="15"/>
        </w:numPr>
        <w:spacing w:after="0" w:line="312" w:lineRule="auto"/>
        <w:rPr>
          <w:sz w:val="20"/>
        </w:rPr>
      </w:pPr>
      <w:r w:rsidRPr="00DF0133">
        <w:rPr>
          <w:sz w:val="20"/>
        </w:rPr>
        <w:t>Site risk assessments with threat modeling (all-hazards approach)</w:t>
      </w:r>
    </w:p>
    <w:p w14:paraId="5ECB6AD8"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Risk register development, review, and audit support</w:t>
      </w:r>
    </w:p>
    <w:p w14:paraId="3CCEBCEE"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Business continuity, GRC, and Legal alignment assessments and gap analysis</w:t>
      </w:r>
    </w:p>
    <w:p w14:paraId="6232D5D8" w14:textId="77777777" w:rsidR="00CA0B6C" w:rsidRPr="002414D7" w:rsidRDefault="00CA0B6C" w:rsidP="00CA0B6C">
      <w:pPr>
        <w:pStyle w:val="ListBullet"/>
        <w:numPr>
          <w:ilvl w:val="0"/>
          <w:numId w:val="15"/>
        </w:numPr>
        <w:rPr>
          <w:rFonts w:cs="Arial"/>
          <w:sz w:val="20"/>
          <w:szCs w:val="20"/>
        </w:rPr>
      </w:pPr>
      <w:r w:rsidRPr="002414D7">
        <w:rPr>
          <w:rFonts w:cs="Arial"/>
          <w:sz w:val="20"/>
          <w:szCs w:val="20"/>
        </w:rPr>
        <w:t>Analytical Risk Management (ARM) software implementation, optimization, and reporting support</w:t>
      </w:r>
    </w:p>
    <w:p w14:paraId="7CF1CD41" w14:textId="7798D44C" w:rsidR="00DF0AAC" w:rsidRPr="00DF0133" w:rsidRDefault="00DF0AAC" w:rsidP="0024101C">
      <w:pPr>
        <w:pStyle w:val="ListParagraph"/>
        <w:numPr>
          <w:ilvl w:val="0"/>
          <w:numId w:val="15"/>
        </w:numPr>
        <w:spacing w:after="0" w:line="312" w:lineRule="auto"/>
        <w:rPr>
          <w:sz w:val="20"/>
        </w:rPr>
      </w:pPr>
      <w:r w:rsidRPr="00DF0133">
        <w:rPr>
          <w:sz w:val="20"/>
        </w:rPr>
        <w:lastRenderedPageBreak/>
        <w:t>Analytical Risk Management (ARM) software for consistency and precision</w:t>
      </w:r>
    </w:p>
    <w:p w14:paraId="591C9587" w14:textId="15ADBC59" w:rsidR="00C70227" w:rsidRDefault="00EB24A3" w:rsidP="0024101C">
      <w:pPr>
        <w:spacing w:after="0" w:line="312" w:lineRule="auto"/>
        <w:rPr>
          <w:b/>
          <w:bCs/>
          <w:color w:val="0070C0"/>
          <w:sz w:val="24"/>
          <w:szCs w:val="32"/>
        </w:rPr>
      </w:pPr>
      <w:r w:rsidRPr="00DF0133">
        <w:rPr>
          <w:b/>
          <w:bCs/>
          <w:color w:val="0070C0"/>
          <w:sz w:val="24"/>
          <w:szCs w:val="32"/>
        </w:rPr>
        <w:t>AI Strategy Consulting</w:t>
      </w:r>
    </w:p>
    <w:p w14:paraId="1B491AB4" w14:textId="07CBCE70" w:rsidR="004B7FA6" w:rsidRPr="00DF0133" w:rsidRDefault="004B7FA6" w:rsidP="0024101C">
      <w:pPr>
        <w:spacing w:after="0" w:line="312" w:lineRule="auto"/>
        <w:rPr>
          <w:b/>
          <w:bCs/>
          <w:color w:val="0070C0"/>
          <w:sz w:val="24"/>
          <w:szCs w:val="32"/>
        </w:rPr>
      </w:pPr>
      <w:r w:rsidRPr="002414D7">
        <w:rPr>
          <w:sz w:val="20"/>
          <w:szCs w:val="20"/>
        </w:rPr>
        <w:t>Atlas Vantage helps organizations adopt AI responsibly by aligning strategy, governance, workflow design, and change readiness to measurable business goals</w:t>
      </w:r>
      <w:r w:rsidR="00D26417">
        <w:rPr>
          <w:sz w:val="20"/>
          <w:szCs w:val="20"/>
        </w:rPr>
        <w:t>.</w:t>
      </w:r>
    </w:p>
    <w:p w14:paraId="705A0C3F" w14:textId="78327FED" w:rsidR="001B511A" w:rsidRPr="001B511A" w:rsidRDefault="001B511A" w:rsidP="001B511A">
      <w:pPr>
        <w:pStyle w:val="ListParagraph"/>
        <w:numPr>
          <w:ilvl w:val="0"/>
          <w:numId w:val="15"/>
        </w:numPr>
        <w:spacing w:after="0" w:line="312" w:lineRule="auto"/>
        <w:rPr>
          <w:sz w:val="20"/>
        </w:rPr>
      </w:pPr>
      <w:bookmarkStart w:id="2" w:name="OLE_LINK3"/>
      <w:r w:rsidRPr="001B511A">
        <w:rPr>
          <w:sz w:val="20"/>
        </w:rPr>
        <w:t>AI strategy and implementation roadmaps</w:t>
      </w:r>
    </w:p>
    <w:p w14:paraId="4994B470" w14:textId="44629A43" w:rsidR="001B511A" w:rsidRPr="001B511A" w:rsidRDefault="001B511A" w:rsidP="001B511A">
      <w:pPr>
        <w:pStyle w:val="ListParagraph"/>
        <w:numPr>
          <w:ilvl w:val="0"/>
          <w:numId w:val="15"/>
        </w:numPr>
        <w:spacing w:after="0" w:line="312" w:lineRule="auto"/>
        <w:rPr>
          <w:sz w:val="20"/>
        </w:rPr>
      </w:pPr>
      <w:r w:rsidRPr="001B511A">
        <w:rPr>
          <w:sz w:val="20"/>
        </w:rPr>
        <w:t>AI readiness and capability assessments</w:t>
      </w:r>
    </w:p>
    <w:p w14:paraId="68DB07B9" w14:textId="15C4DD3A" w:rsidR="001B511A" w:rsidRPr="001B511A" w:rsidRDefault="001B511A" w:rsidP="001B511A">
      <w:pPr>
        <w:pStyle w:val="ListParagraph"/>
        <w:numPr>
          <w:ilvl w:val="0"/>
          <w:numId w:val="15"/>
        </w:numPr>
        <w:spacing w:after="0" w:line="312" w:lineRule="auto"/>
        <w:rPr>
          <w:sz w:val="20"/>
        </w:rPr>
      </w:pPr>
      <w:r w:rsidRPr="001B511A">
        <w:rPr>
          <w:sz w:val="20"/>
        </w:rPr>
        <w:t>AI governance, risk, and responsible-use frameworks</w:t>
      </w:r>
    </w:p>
    <w:p w14:paraId="35C438A6" w14:textId="3C67A83A" w:rsidR="001B511A" w:rsidRPr="001B511A" w:rsidRDefault="001B511A" w:rsidP="001B511A">
      <w:pPr>
        <w:pStyle w:val="ListParagraph"/>
        <w:numPr>
          <w:ilvl w:val="0"/>
          <w:numId w:val="15"/>
        </w:numPr>
        <w:spacing w:after="0" w:line="312" w:lineRule="auto"/>
        <w:rPr>
          <w:sz w:val="20"/>
        </w:rPr>
      </w:pPr>
      <w:r w:rsidRPr="001B511A">
        <w:rPr>
          <w:sz w:val="20"/>
        </w:rPr>
        <w:t>AI use case prioritization and workflow automation design</w:t>
      </w:r>
    </w:p>
    <w:p w14:paraId="43BDF61F" w14:textId="6FAD8EB6" w:rsidR="001B511A" w:rsidRPr="00476931" w:rsidRDefault="001B511A" w:rsidP="001B511A">
      <w:pPr>
        <w:pStyle w:val="ListParagraph"/>
        <w:numPr>
          <w:ilvl w:val="0"/>
          <w:numId w:val="15"/>
        </w:numPr>
        <w:spacing w:after="0" w:line="312" w:lineRule="auto"/>
        <w:rPr>
          <w:sz w:val="20"/>
        </w:rPr>
      </w:pPr>
      <w:r w:rsidRPr="001B511A">
        <w:rPr>
          <w:sz w:val="20"/>
        </w:rPr>
        <w:t xml:space="preserve">AI tool selection and solution </w:t>
      </w:r>
      <w:r w:rsidRPr="00476931">
        <w:rPr>
          <w:sz w:val="20"/>
        </w:rPr>
        <w:t>evaluation</w:t>
      </w:r>
    </w:p>
    <w:p w14:paraId="68A3D61D" w14:textId="4E5B0791" w:rsidR="001B511A" w:rsidRPr="00476931" w:rsidRDefault="001B511A" w:rsidP="0024101C">
      <w:pPr>
        <w:pStyle w:val="ListParagraph"/>
        <w:numPr>
          <w:ilvl w:val="0"/>
          <w:numId w:val="15"/>
        </w:numPr>
        <w:spacing w:after="0" w:line="312" w:lineRule="auto"/>
        <w:rPr>
          <w:sz w:val="20"/>
        </w:rPr>
      </w:pPr>
      <w:r w:rsidRPr="00476931">
        <w:rPr>
          <w:sz w:val="20"/>
        </w:rPr>
        <w:t>AI training, adoption, and change management support</w:t>
      </w:r>
    </w:p>
    <w:p w14:paraId="56C106CE" w14:textId="73719D13" w:rsidR="00DB2291" w:rsidRPr="00DF0133" w:rsidRDefault="00DB2291" w:rsidP="0024101C">
      <w:pPr>
        <w:spacing w:after="0" w:line="312" w:lineRule="auto"/>
        <w:rPr>
          <w:b/>
          <w:bCs/>
          <w:color w:val="0070C0"/>
          <w:sz w:val="24"/>
          <w:szCs w:val="32"/>
        </w:rPr>
      </w:pPr>
      <w:r w:rsidRPr="00DF0133">
        <w:rPr>
          <w:b/>
          <w:bCs/>
          <w:color w:val="0070C0"/>
          <w:sz w:val="24"/>
          <w:szCs w:val="32"/>
        </w:rPr>
        <w:t>Special Projects</w:t>
      </w:r>
    </w:p>
    <w:bookmarkEnd w:id="2"/>
    <w:p w14:paraId="071A4B9A" w14:textId="77777777" w:rsidR="000C2CFB" w:rsidRPr="002414D7" w:rsidRDefault="000C2CFB" w:rsidP="000C2CFB">
      <w:pPr>
        <w:pStyle w:val="ListBullet"/>
        <w:numPr>
          <w:ilvl w:val="0"/>
          <w:numId w:val="15"/>
        </w:numPr>
        <w:rPr>
          <w:rFonts w:cs="Arial"/>
          <w:sz w:val="20"/>
          <w:szCs w:val="20"/>
        </w:rPr>
      </w:pPr>
      <w:r w:rsidRPr="002414D7">
        <w:rPr>
          <w:rFonts w:cs="Arial"/>
          <w:sz w:val="20"/>
          <w:szCs w:val="20"/>
        </w:rPr>
        <w:t>Staff Augmentation – Interim VP-, Director-, and program-level leadership support for strategy, M&amp;A, organizational restructuring, and resizing initiatives</w:t>
      </w:r>
    </w:p>
    <w:p w14:paraId="5722FC1F" w14:textId="50841EA7" w:rsidR="00AB3D75" w:rsidRPr="005A3E58" w:rsidRDefault="00AB3D75" w:rsidP="00AB3D75">
      <w:pPr>
        <w:pStyle w:val="ListParagraph"/>
        <w:numPr>
          <w:ilvl w:val="0"/>
          <w:numId w:val="15"/>
        </w:numPr>
        <w:spacing w:after="0" w:line="312" w:lineRule="auto"/>
        <w:rPr>
          <w:b/>
          <w:bCs/>
          <w:color w:val="000000" w:themeColor="text1"/>
          <w:sz w:val="20"/>
        </w:rPr>
      </w:pPr>
      <w:r w:rsidRPr="005A3E58">
        <w:rPr>
          <w:sz w:val="20"/>
          <w:szCs w:val="20"/>
        </w:rPr>
        <w:t>Audit remediation planning and targeted corrective action support</w:t>
      </w:r>
    </w:p>
    <w:p w14:paraId="04FB8AF4" w14:textId="7ECBAF12" w:rsidR="00DB2291" w:rsidRPr="00DF0133" w:rsidRDefault="00DB2291" w:rsidP="0024101C">
      <w:pPr>
        <w:spacing w:after="0" w:line="312" w:lineRule="auto"/>
        <w:rPr>
          <w:b/>
          <w:bCs/>
          <w:color w:val="0070C0"/>
          <w:sz w:val="24"/>
          <w:szCs w:val="32"/>
        </w:rPr>
      </w:pPr>
      <w:r w:rsidRPr="00DF0133">
        <w:rPr>
          <w:b/>
          <w:bCs/>
          <w:color w:val="0070C0"/>
          <w:sz w:val="24"/>
          <w:szCs w:val="32"/>
        </w:rPr>
        <w:t>Project &amp; Program Management</w:t>
      </w:r>
    </w:p>
    <w:p w14:paraId="62859339" w14:textId="77777777" w:rsidR="00E922CE" w:rsidRPr="00E922CE" w:rsidRDefault="00E922CE" w:rsidP="00E922CE">
      <w:pPr>
        <w:pStyle w:val="ListParagraph"/>
        <w:numPr>
          <w:ilvl w:val="0"/>
          <w:numId w:val="15"/>
        </w:numPr>
        <w:spacing w:after="0" w:line="312" w:lineRule="auto"/>
        <w:rPr>
          <w:sz w:val="20"/>
        </w:rPr>
      </w:pPr>
      <w:bookmarkStart w:id="3" w:name="OLE_LINK6"/>
      <w:r w:rsidRPr="00E922CE">
        <w:rPr>
          <w:sz w:val="20"/>
        </w:rPr>
        <w:t>Complex project and program delivery oversight with disciplined scope, schedule, cost, and governance control</w:t>
      </w:r>
    </w:p>
    <w:p w14:paraId="396DCA59" w14:textId="77777777" w:rsidR="00E922CE" w:rsidRPr="00E922CE" w:rsidRDefault="00E922CE" w:rsidP="00E922CE">
      <w:pPr>
        <w:pStyle w:val="ListParagraph"/>
        <w:numPr>
          <w:ilvl w:val="0"/>
          <w:numId w:val="15"/>
        </w:numPr>
        <w:spacing w:after="0" w:line="312" w:lineRule="auto"/>
        <w:rPr>
          <w:sz w:val="20"/>
        </w:rPr>
      </w:pPr>
      <w:r w:rsidRPr="00E922CE">
        <w:rPr>
          <w:sz w:val="20"/>
        </w:rPr>
        <w:t>PMO design, stand-up, governance, and operational management</w:t>
      </w:r>
    </w:p>
    <w:p w14:paraId="43F88D9A" w14:textId="77777777" w:rsidR="00E922CE" w:rsidRPr="00E922CE" w:rsidRDefault="00E922CE" w:rsidP="00E922CE">
      <w:pPr>
        <w:pStyle w:val="ListParagraph"/>
        <w:numPr>
          <w:ilvl w:val="0"/>
          <w:numId w:val="15"/>
        </w:numPr>
        <w:spacing w:after="0" w:line="312" w:lineRule="auto"/>
        <w:rPr>
          <w:sz w:val="20"/>
        </w:rPr>
      </w:pPr>
      <w:r w:rsidRPr="00E922CE">
        <w:rPr>
          <w:sz w:val="20"/>
        </w:rPr>
        <w:t>Project recovery, stabilization, and corrective-action support for challenged initiatives</w:t>
      </w:r>
    </w:p>
    <w:p w14:paraId="315D1B8C" w14:textId="77777777" w:rsidR="00E922CE" w:rsidRPr="00E922CE" w:rsidRDefault="00E922CE" w:rsidP="00E922CE">
      <w:pPr>
        <w:pStyle w:val="ListParagraph"/>
        <w:numPr>
          <w:ilvl w:val="0"/>
          <w:numId w:val="15"/>
        </w:numPr>
        <w:spacing w:after="0" w:line="312" w:lineRule="auto"/>
        <w:rPr>
          <w:sz w:val="20"/>
        </w:rPr>
      </w:pPr>
      <w:r w:rsidRPr="00E922CE">
        <w:rPr>
          <w:sz w:val="20"/>
        </w:rPr>
        <w:t>Project and program optimization aligned to governance standards and delivery best practices</w:t>
      </w:r>
    </w:p>
    <w:p w14:paraId="5BF69217" w14:textId="77777777" w:rsidR="00E922CE" w:rsidRPr="00E922CE" w:rsidRDefault="00E922CE" w:rsidP="00E922CE">
      <w:pPr>
        <w:pStyle w:val="ListParagraph"/>
        <w:numPr>
          <w:ilvl w:val="0"/>
          <w:numId w:val="15"/>
        </w:numPr>
        <w:spacing w:after="0" w:line="312" w:lineRule="auto"/>
        <w:rPr>
          <w:sz w:val="20"/>
        </w:rPr>
      </w:pPr>
      <w:r w:rsidRPr="00E922CE">
        <w:rPr>
          <w:sz w:val="20"/>
        </w:rPr>
        <w:t>Project risk management, dependency oversight, and portfolio-level reporting</w:t>
      </w:r>
    </w:p>
    <w:p w14:paraId="1D4F5A18" w14:textId="77777777" w:rsidR="00E922CE" w:rsidRPr="00E922CE" w:rsidRDefault="00E922CE" w:rsidP="00E922CE">
      <w:pPr>
        <w:pStyle w:val="ListParagraph"/>
        <w:numPr>
          <w:ilvl w:val="0"/>
          <w:numId w:val="15"/>
        </w:numPr>
        <w:spacing w:after="0" w:line="312" w:lineRule="auto"/>
        <w:rPr>
          <w:sz w:val="20"/>
        </w:rPr>
      </w:pPr>
      <w:r w:rsidRPr="00E922CE">
        <w:rPr>
          <w:sz w:val="20"/>
        </w:rPr>
        <w:t>Interim project and program leadership support</w:t>
      </w:r>
    </w:p>
    <w:p w14:paraId="57999BE6" w14:textId="2D794A9C" w:rsidR="00DB2291" w:rsidRDefault="00DB2291" w:rsidP="0024101C">
      <w:pPr>
        <w:spacing w:after="0" w:line="312" w:lineRule="auto"/>
        <w:rPr>
          <w:b/>
          <w:bCs/>
          <w:color w:val="0070C0"/>
          <w:sz w:val="24"/>
          <w:szCs w:val="32"/>
        </w:rPr>
      </w:pPr>
      <w:r w:rsidRPr="00DF0133">
        <w:rPr>
          <w:b/>
          <w:bCs/>
          <w:color w:val="0070C0"/>
          <w:sz w:val="24"/>
          <w:szCs w:val="32"/>
        </w:rPr>
        <w:t>Educational Solutions</w:t>
      </w:r>
    </w:p>
    <w:bookmarkEnd w:id="3"/>
    <w:p w14:paraId="3C665CDD" w14:textId="7952BE3F" w:rsidR="0045761A" w:rsidRPr="005156B5" w:rsidRDefault="005237B8" w:rsidP="0024101C">
      <w:pPr>
        <w:pStyle w:val="NormalWeb"/>
        <w:spacing w:before="0" w:beforeAutospacing="0" w:after="0" w:afterAutospacing="0" w:line="312" w:lineRule="auto"/>
        <w:rPr>
          <w:rFonts w:ascii="Arial" w:hAnsi="Arial" w:cs="Arial"/>
          <w:sz w:val="8"/>
          <w:szCs w:val="8"/>
        </w:rPr>
      </w:pPr>
      <w:r w:rsidRPr="005237B8">
        <w:rPr>
          <w:rFonts w:ascii="Arial" w:hAnsi="Arial" w:cs="Arial"/>
          <w:sz w:val="20"/>
          <w:szCs w:val="20"/>
        </w:rPr>
        <w:t>Atlas Vantage provides practical, executive-ready training designed to strengthen organizational capability in operational resilience, crisis management, risk management, AI strategy, and program leadership. Our education solutions are tailored to your operating environment, regulatory context, and audience needs.</w:t>
      </w:r>
    </w:p>
    <w:p w14:paraId="4E2CD186" w14:textId="77777777" w:rsidR="002A1A4B" w:rsidRPr="002A1A4B" w:rsidRDefault="002A1A4B" w:rsidP="002A1A4B">
      <w:pPr>
        <w:pStyle w:val="ListParagraph"/>
        <w:numPr>
          <w:ilvl w:val="0"/>
          <w:numId w:val="15"/>
        </w:numPr>
        <w:spacing w:after="0" w:line="312" w:lineRule="auto"/>
        <w:rPr>
          <w:sz w:val="20"/>
        </w:rPr>
      </w:pPr>
      <w:r w:rsidRPr="002A1A4B">
        <w:rPr>
          <w:sz w:val="20"/>
        </w:rPr>
        <w:t>Topics Covered - Operational resilience, business continuity, crisis management, emergency management, enterprise and operational risk, AI strategy, governance, PMO leadership, and related disciplines</w:t>
      </w:r>
    </w:p>
    <w:p w14:paraId="286EE051" w14:textId="77777777" w:rsidR="002A1A4B" w:rsidRPr="002A1A4B" w:rsidRDefault="002A1A4B" w:rsidP="002A1A4B">
      <w:pPr>
        <w:pStyle w:val="ListParagraph"/>
        <w:numPr>
          <w:ilvl w:val="0"/>
          <w:numId w:val="15"/>
        </w:numPr>
        <w:spacing w:after="0" w:line="312" w:lineRule="auto"/>
        <w:rPr>
          <w:sz w:val="20"/>
        </w:rPr>
      </w:pPr>
      <w:r w:rsidRPr="002A1A4B">
        <w:rPr>
          <w:sz w:val="20"/>
        </w:rPr>
        <w:t>Target Audience - Executive leaders, resilience and continuity leaders, risk and compliance executives, IT and cybersecurity leaders, PMO and transformation leaders, operations executives, and AI and innovation decision-makers</w:t>
      </w:r>
    </w:p>
    <w:p w14:paraId="40A046B6" w14:textId="77777777" w:rsidR="002A1A4B" w:rsidRPr="002A1A4B" w:rsidRDefault="002A1A4B" w:rsidP="002A1A4B">
      <w:pPr>
        <w:pStyle w:val="ListParagraph"/>
        <w:numPr>
          <w:ilvl w:val="0"/>
          <w:numId w:val="15"/>
        </w:numPr>
        <w:spacing w:after="0" w:line="312" w:lineRule="auto"/>
        <w:rPr>
          <w:sz w:val="20"/>
        </w:rPr>
      </w:pPr>
      <w:r w:rsidRPr="002A1A4B">
        <w:rPr>
          <w:sz w:val="20"/>
        </w:rPr>
        <w:t>Delivery Options - On-site, virtual, and hybrid delivery models</w:t>
      </w:r>
    </w:p>
    <w:p w14:paraId="5FC5924D" w14:textId="77777777" w:rsidR="002A1A4B" w:rsidRPr="002A1A4B" w:rsidRDefault="002A1A4B" w:rsidP="002A1A4B">
      <w:pPr>
        <w:pStyle w:val="ListParagraph"/>
        <w:numPr>
          <w:ilvl w:val="0"/>
          <w:numId w:val="15"/>
        </w:numPr>
        <w:spacing w:after="0" w:line="312" w:lineRule="auto"/>
        <w:rPr>
          <w:sz w:val="20"/>
        </w:rPr>
      </w:pPr>
      <w:r w:rsidRPr="002A1A4B">
        <w:rPr>
          <w:sz w:val="20"/>
        </w:rPr>
        <w:t>Session Formats - Half-day, full-day, and multi-day workshops, briefings, and training programs</w:t>
      </w:r>
    </w:p>
    <w:p w14:paraId="398A7A2D" w14:textId="77777777" w:rsidR="002A1A4B" w:rsidRPr="002A1A4B" w:rsidRDefault="002A1A4B" w:rsidP="002A1A4B">
      <w:pPr>
        <w:pStyle w:val="ListParagraph"/>
        <w:numPr>
          <w:ilvl w:val="0"/>
          <w:numId w:val="15"/>
        </w:numPr>
        <w:spacing w:after="0" w:line="312" w:lineRule="auto"/>
        <w:rPr>
          <w:sz w:val="20"/>
        </w:rPr>
      </w:pPr>
      <w:r w:rsidRPr="002A1A4B">
        <w:rPr>
          <w:sz w:val="20"/>
        </w:rPr>
        <w:t>Curriculum Design - Tailored to your organization's objectives, industry, regulatory environment, and maturity level</w:t>
      </w:r>
    </w:p>
    <w:p w14:paraId="107DE0E6" w14:textId="77777777" w:rsidR="002A1A4B" w:rsidRPr="002A1A4B" w:rsidRDefault="002A1A4B" w:rsidP="002A1A4B">
      <w:pPr>
        <w:pStyle w:val="ListParagraph"/>
        <w:numPr>
          <w:ilvl w:val="0"/>
          <w:numId w:val="15"/>
        </w:numPr>
        <w:spacing w:after="0" w:line="312" w:lineRule="auto"/>
        <w:rPr>
          <w:sz w:val="20"/>
        </w:rPr>
      </w:pPr>
      <w:r w:rsidRPr="002A1A4B">
        <w:rPr>
          <w:sz w:val="20"/>
        </w:rPr>
        <w:t>Instructors - Certified practitioners with deep real-world leadership, advisory, and implementation experience</w:t>
      </w:r>
    </w:p>
    <w:p w14:paraId="07F2654B" w14:textId="77777777" w:rsidR="00355119" w:rsidRDefault="008C59D1" w:rsidP="0004418C">
      <w:pPr>
        <w:spacing w:before="80" w:after="80" w:line="312" w:lineRule="auto"/>
        <w:rPr>
          <w:rStyle w:val="Strong"/>
        </w:rPr>
      </w:pPr>
      <w:r w:rsidRPr="00DF0133">
        <w:rPr>
          <w:b/>
          <w:bCs/>
          <w:color w:val="0070C0"/>
          <w:sz w:val="24"/>
          <w:szCs w:val="32"/>
        </w:rPr>
        <w:t>Selected Client Outcomes</w:t>
      </w:r>
    </w:p>
    <w:p w14:paraId="248891A3" w14:textId="6CDA260B" w:rsidR="00635080" w:rsidRPr="00355119" w:rsidRDefault="00B415A5" w:rsidP="0004418C">
      <w:pPr>
        <w:spacing w:before="80" w:after="80" w:line="312" w:lineRule="auto"/>
        <w:rPr>
          <w:rStyle w:val="Strong"/>
          <w:b w:val="0"/>
          <w:bCs w:val="0"/>
        </w:rPr>
      </w:pPr>
      <w:r w:rsidRPr="00355119">
        <w:rPr>
          <w:sz w:val="20"/>
          <w:szCs w:val="20"/>
        </w:rPr>
        <w:t>Representative client outcomes are anonymized due to confidentiality obligations</w:t>
      </w:r>
    </w:p>
    <w:p w14:paraId="4F9F0FE9" w14:textId="526FAEB4" w:rsidR="00B70C5E" w:rsidRPr="00633232" w:rsidRDefault="00103F90" w:rsidP="00A55141">
      <w:pPr>
        <w:spacing w:before="120" w:after="0" w:line="312" w:lineRule="auto"/>
        <w:ind w:left="187"/>
        <w:rPr>
          <w:b/>
          <w:bCs/>
          <w:sz w:val="20"/>
        </w:rPr>
      </w:pPr>
      <w:r w:rsidRPr="00633232">
        <w:rPr>
          <w:b/>
          <w:bCs/>
          <w:sz w:val="20"/>
        </w:rPr>
        <w:t>Fortune 23</w:t>
      </w:r>
      <w:r w:rsidR="00382571" w:rsidRPr="00633232">
        <w:rPr>
          <w:b/>
          <w:bCs/>
          <w:sz w:val="20"/>
        </w:rPr>
        <w:t xml:space="preserve"> </w:t>
      </w:r>
      <w:r w:rsidR="003C70DF">
        <w:rPr>
          <w:b/>
          <w:bCs/>
          <w:sz w:val="20"/>
        </w:rPr>
        <w:t>Health Insurer</w:t>
      </w:r>
    </w:p>
    <w:p w14:paraId="067003F3" w14:textId="16A11C92" w:rsidR="00245A6B" w:rsidRDefault="00245A6B" w:rsidP="0024101C">
      <w:pPr>
        <w:pStyle w:val="ListParagraph"/>
        <w:numPr>
          <w:ilvl w:val="0"/>
          <w:numId w:val="15"/>
        </w:numPr>
        <w:spacing w:after="0" w:line="312" w:lineRule="auto"/>
        <w:rPr>
          <w:sz w:val="20"/>
        </w:rPr>
      </w:pPr>
      <w:r w:rsidRPr="00DF0133">
        <w:rPr>
          <w:sz w:val="20"/>
        </w:rPr>
        <w:t>Improved rapid response capability by 40% through integration of continuity, security, legal, GRC, and IT</w:t>
      </w:r>
    </w:p>
    <w:p w14:paraId="1247684E" w14:textId="77777777" w:rsidR="00FB515A" w:rsidRPr="00FB515A" w:rsidRDefault="00FB515A" w:rsidP="00A55141">
      <w:pPr>
        <w:spacing w:before="120" w:after="0" w:line="312" w:lineRule="auto"/>
        <w:ind w:left="187"/>
        <w:rPr>
          <w:b/>
          <w:bCs/>
          <w:sz w:val="20"/>
        </w:rPr>
      </w:pPr>
      <w:r w:rsidRPr="00FB515A">
        <w:rPr>
          <w:b/>
          <w:bCs/>
          <w:sz w:val="20"/>
        </w:rPr>
        <w:t>Fortune 39 Health Insurer</w:t>
      </w:r>
    </w:p>
    <w:p w14:paraId="58793DDE" w14:textId="1E3FD8CD" w:rsidR="00FB515A" w:rsidRPr="00DB3348" w:rsidRDefault="00FB515A" w:rsidP="00DB3348">
      <w:pPr>
        <w:pStyle w:val="ListParagraph"/>
        <w:numPr>
          <w:ilvl w:val="0"/>
          <w:numId w:val="15"/>
        </w:numPr>
        <w:spacing w:after="0" w:line="312" w:lineRule="auto"/>
        <w:rPr>
          <w:sz w:val="20"/>
        </w:rPr>
      </w:pPr>
      <w:r w:rsidRPr="00DB3348">
        <w:rPr>
          <w:sz w:val="20"/>
        </w:rPr>
        <w:t>Reduced manual effort by 70% and recovery time by 50% through enterprise continuity and risk program leadership</w:t>
      </w:r>
    </w:p>
    <w:p w14:paraId="3E475D11" w14:textId="78A7F978" w:rsidR="00FB515A" w:rsidRPr="00DB3348" w:rsidRDefault="00FB515A" w:rsidP="00DB3348">
      <w:pPr>
        <w:pStyle w:val="ListParagraph"/>
        <w:numPr>
          <w:ilvl w:val="0"/>
          <w:numId w:val="15"/>
        </w:numPr>
        <w:spacing w:after="0" w:line="312" w:lineRule="auto"/>
        <w:rPr>
          <w:sz w:val="20"/>
        </w:rPr>
      </w:pPr>
      <w:r w:rsidRPr="00DB3348">
        <w:rPr>
          <w:sz w:val="20"/>
        </w:rPr>
        <w:t>Delivered more than $250,000 in first-year savings through business continuity automation</w:t>
      </w:r>
    </w:p>
    <w:p w14:paraId="52CA32D6" w14:textId="13663F72" w:rsidR="00FB515A" w:rsidRPr="00DB3348" w:rsidRDefault="00FB515A" w:rsidP="00DB3348">
      <w:pPr>
        <w:pStyle w:val="ListParagraph"/>
        <w:numPr>
          <w:ilvl w:val="0"/>
          <w:numId w:val="15"/>
        </w:numPr>
        <w:spacing w:after="0" w:line="312" w:lineRule="auto"/>
        <w:rPr>
          <w:sz w:val="20"/>
        </w:rPr>
      </w:pPr>
      <w:r w:rsidRPr="00DB3348">
        <w:rPr>
          <w:sz w:val="20"/>
        </w:rPr>
        <w:t>Contributed to 100% HITRUST certification alignment through continuity integration with IT and cybersecurity</w:t>
      </w:r>
    </w:p>
    <w:p w14:paraId="3B4C8370" w14:textId="77777777" w:rsidR="00FB515A" w:rsidRPr="00A55141" w:rsidRDefault="00FB515A" w:rsidP="00A55141">
      <w:pPr>
        <w:spacing w:before="120" w:after="0" w:line="312" w:lineRule="auto"/>
        <w:ind w:left="187"/>
        <w:rPr>
          <w:b/>
          <w:bCs/>
          <w:sz w:val="20"/>
        </w:rPr>
      </w:pPr>
      <w:r w:rsidRPr="00A55141">
        <w:rPr>
          <w:b/>
          <w:bCs/>
          <w:sz w:val="20"/>
        </w:rPr>
        <w:t>$3.7B SaaS Company</w:t>
      </w:r>
    </w:p>
    <w:p w14:paraId="015B4106" w14:textId="40BBED92" w:rsidR="00FB515A" w:rsidRPr="005E0A74" w:rsidRDefault="00FB515A" w:rsidP="005E0A74">
      <w:pPr>
        <w:pStyle w:val="ListParagraph"/>
        <w:numPr>
          <w:ilvl w:val="0"/>
          <w:numId w:val="15"/>
        </w:numPr>
        <w:spacing w:after="0" w:line="312" w:lineRule="auto"/>
        <w:rPr>
          <w:sz w:val="20"/>
        </w:rPr>
      </w:pPr>
      <w:r w:rsidRPr="005E0A74">
        <w:rPr>
          <w:sz w:val="20"/>
        </w:rPr>
        <w:lastRenderedPageBreak/>
        <w:t>Achieved 100% compliance with GRC and audit expectations through ISO 22301 and COSO alignment</w:t>
      </w:r>
    </w:p>
    <w:p w14:paraId="59BE1CD1" w14:textId="0495D4B5" w:rsidR="005E0A74" w:rsidRPr="00410BA3" w:rsidRDefault="00FB515A" w:rsidP="00410BA3">
      <w:pPr>
        <w:pStyle w:val="ListParagraph"/>
        <w:numPr>
          <w:ilvl w:val="0"/>
          <w:numId w:val="15"/>
        </w:numPr>
        <w:spacing w:after="0" w:line="312" w:lineRule="auto"/>
        <w:rPr>
          <w:sz w:val="20"/>
        </w:rPr>
      </w:pPr>
      <w:r w:rsidRPr="005E0A74">
        <w:rPr>
          <w:sz w:val="20"/>
        </w:rPr>
        <w:t>Reduced paperwork by 90% through continuity platform centralization and automation</w:t>
      </w:r>
    </w:p>
    <w:p w14:paraId="29FB3304" w14:textId="337EC8E1" w:rsidR="00FB515A" w:rsidRPr="00A55141" w:rsidRDefault="00410BA3" w:rsidP="00A55141">
      <w:pPr>
        <w:spacing w:before="120" w:after="0" w:line="312" w:lineRule="auto"/>
        <w:ind w:left="187"/>
        <w:rPr>
          <w:b/>
          <w:bCs/>
          <w:sz w:val="20"/>
        </w:rPr>
      </w:pPr>
      <w:bookmarkStart w:id="4" w:name="OLE_LINK11"/>
      <w:r>
        <w:rPr>
          <w:b/>
          <w:bCs/>
          <w:sz w:val="20"/>
        </w:rPr>
        <w:t>Nat</w:t>
      </w:r>
      <w:r w:rsidR="00FB515A" w:rsidRPr="00A55141">
        <w:rPr>
          <w:b/>
          <w:bCs/>
          <w:sz w:val="20"/>
        </w:rPr>
        <w:t>ional Financial Services Organization</w:t>
      </w:r>
    </w:p>
    <w:p w14:paraId="4A719507" w14:textId="0757BFC5" w:rsidR="00B13350" w:rsidRPr="00B13350" w:rsidRDefault="00B13350" w:rsidP="00B13350">
      <w:pPr>
        <w:pStyle w:val="ListParagraph"/>
        <w:numPr>
          <w:ilvl w:val="0"/>
          <w:numId w:val="15"/>
        </w:numPr>
        <w:spacing w:after="0" w:line="312" w:lineRule="auto"/>
        <w:rPr>
          <w:sz w:val="20"/>
        </w:rPr>
      </w:pPr>
      <w:bookmarkStart w:id="5" w:name="ready_to_get_started"/>
      <w:bookmarkStart w:id="6" w:name="OLE_LINK8"/>
      <w:bookmarkEnd w:id="4"/>
      <w:r w:rsidRPr="00B13350">
        <w:rPr>
          <w:sz w:val="20"/>
        </w:rPr>
        <w:t>Created a 3-phase AI adoption roadmap covering training, workflow support, reporting, and knowledge sharing across core business functions</w:t>
      </w:r>
    </w:p>
    <w:p w14:paraId="792A6462" w14:textId="642E460F" w:rsidR="00B13350" w:rsidRPr="00B13350" w:rsidRDefault="00B13350" w:rsidP="00B13350">
      <w:pPr>
        <w:pStyle w:val="ListParagraph"/>
        <w:numPr>
          <w:ilvl w:val="0"/>
          <w:numId w:val="15"/>
        </w:numPr>
        <w:spacing w:after="0" w:line="312" w:lineRule="auto"/>
        <w:rPr>
          <w:sz w:val="20"/>
        </w:rPr>
      </w:pPr>
      <w:r w:rsidRPr="00B13350">
        <w:rPr>
          <w:sz w:val="20"/>
        </w:rPr>
        <w:t>Built an AI adoption roadmap with short-, mid-, and long-term milestones, aligning stakeholder groups around governance, enablement, and implementation priorities</w:t>
      </w:r>
    </w:p>
    <w:p w14:paraId="19679781" w14:textId="6B35B115" w:rsidR="006951DE" w:rsidRDefault="00F13A39" w:rsidP="00B13350">
      <w:pPr>
        <w:spacing w:before="80" w:after="80" w:line="312" w:lineRule="auto"/>
        <w:ind w:left="187"/>
        <w:rPr>
          <w:b/>
          <w:bCs/>
          <w:color w:val="0070C0"/>
          <w:sz w:val="24"/>
          <w:szCs w:val="32"/>
        </w:rPr>
      </w:pPr>
      <w:r w:rsidRPr="00F13A39">
        <w:rPr>
          <w:b/>
          <w:bCs/>
          <w:color w:val="0070C0"/>
          <w:sz w:val="24"/>
          <w:szCs w:val="32"/>
        </w:rPr>
        <w:t>Who We Serve</w:t>
      </w:r>
    </w:p>
    <w:p w14:paraId="111E7DBA" w14:textId="77777777" w:rsidR="00D123E2" w:rsidRPr="00D123E2" w:rsidRDefault="00D123E2" w:rsidP="00D123E2">
      <w:pPr>
        <w:pStyle w:val="ListParagraph"/>
        <w:numPr>
          <w:ilvl w:val="0"/>
          <w:numId w:val="15"/>
        </w:numPr>
        <w:spacing w:after="0" w:line="312" w:lineRule="auto"/>
        <w:rPr>
          <w:sz w:val="20"/>
        </w:rPr>
      </w:pPr>
      <w:r w:rsidRPr="00D123E2">
        <w:rPr>
          <w:sz w:val="20"/>
        </w:rPr>
        <w:t>Atlas Vantage supports organizations operating in regulated, complex, and mission-critical environments.</w:t>
      </w:r>
    </w:p>
    <w:p w14:paraId="66A14E61" w14:textId="77777777" w:rsidR="006951DE" w:rsidRDefault="00F13A39" w:rsidP="0004418C">
      <w:pPr>
        <w:spacing w:before="80" w:after="80" w:line="312" w:lineRule="auto"/>
        <w:ind w:left="187"/>
        <w:rPr>
          <w:b/>
          <w:bCs/>
          <w:color w:val="0070C0"/>
          <w:sz w:val="24"/>
          <w:szCs w:val="32"/>
        </w:rPr>
      </w:pPr>
      <w:r w:rsidRPr="006951DE">
        <w:rPr>
          <w:b/>
          <w:bCs/>
          <w:color w:val="0070C0"/>
          <w:sz w:val="24"/>
          <w:szCs w:val="32"/>
        </w:rPr>
        <w:t>How We Engage</w:t>
      </w:r>
    </w:p>
    <w:p w14:paraId="0BCE6CED" w14:textId="77777777" w:rsidR="00331208" w:rsidRPr="00331208" w:rsidRDefault="00331208" w:rsidP="00331208">
      <w:pPr>
        <w:pStyle w:val="ListParagraph"/>
        <w:numPr>
          <w:ilvl w:val="0"/>
          <w:numId w:val="15"/>
        </w:numPr>
        <w:spacing w:after="0" w:line="312" w:lineRule="auto"/>
        <w:rPr>
          <w:sz w:val="20"/>
        </w:rPr>
      </w:pPr>
      <w:bookmarkStart w:id="7" w:name="OLE_LINK4"/>
      <w:r w:rsidRPr="00331208">
        <w:rPr>
          <w:sz w:val="20"/>
        </w:rPr>
        <w:t>We support clients through flexible advisory, execution, and capability-building engagement models.</w:t>
      </w:r>
    </w:p>
    <w:p w14:paraId="70FD550F" w14:textId="6F3502B5" w:rsidR="005E0821" w:rsidRPr="00DF0133" w:rsidRDefault="006557E3" w:rsidP="0004418C">
      <w:pPr>
        <w:spacing w:before="80" w:after="80" w:line="312" w:lineRule="auto"/>
        <w:ind w:left="187"/>
        <w:rPr>
          <w:b/>
          <w:bCs/>
          <w:color w:val="0070C0"/>
          <w:sz w:val="24"/>
          <w:szCs w:val="32"/>
        </w:rPr>
      </w:pPr>
      <w:r w:rsidRPr="00DF0133">
        <w:rPr>
          <w:b/>
          <w:bCs/>
          <w:color w:val="0070C0"/>
          <w:sz w:val="24"/>
          <w:szCs w:val="32"/>
        </w:rPr>
        <w:t>Ready to Get Started?</w:t>
      </w:r>
      <w:bookmarkEnd w:id="5"/>
    </w:p>
    <w:p w14:paraId="7C127FD6" w14:textId="03B6BC9F" w:rsidR="00A949DB" w:rsidRPr="007C52A9" w:rsidRDefault="007458BB" w:rsidP="00371DFA">
      <w:pPr>
        <w:spacing w:after="0" w:line="312" w:lineRule="auto"/>
        <w:ind w:left="180" w:hanging="209"/>
        <w:rPr>
          <w:szCs w:val="22"/>
        </w:rPr>
      </w:pPr>
      <w:r w:rsidRPr="007C52A9">
        <w:rPr>
          <w:color w:val="000000" w:themeColor="text1"/>
          <w:sz w:val="20"/>
        </w:rPr>
        <w:tab/>
      </w:r>
      <w:r w:rsidR="00EF090B" w:rsidRPr="007C52A9">
        <w:rPr>
          <w:color w:val="000000" w:themeColor="text1"/>
          <w:sz w:val="20"/>
        </w:rPr>
        <w:t xml:space="preserve">Explore how Atlas Vantage can support your goals </w:t>
      </w:r>
    </w:p>
    <w:p w14:paraId="784CC978" w14:textId="77777777" w:rsidR="00612972" w:rsidRPr="00D806BF" w:rsidRDefault="00612972" w:rsidP="00612972">
      <w:pPr>
        <w:spacing w:after="0" w:line="312" w:lineRule="auto"/>
        <w:ind w:left="-29" w:firstLine="119"/>
        <w:rPr>
          <w:sz w:val="20"/>
          <w:szCs w:val="20"/>
        </w:rPr>
      </w:pPr>
      <w:r w:rsidRPr="004E0FE7">
        <w:rPr>
          <w:rFonts w:ascii="Segoe UI Emoji" w:hAnsi="Segoe UI Emoji" w:cs="Segoe UI Emoji"/>
          <w:szCs w:val="22"/>
        </w:rPr>
        <w:t>🌐</w:t>
      </w:r>
      <w:r>
        <w:rPr>
          <w:sz w:val="20"/>
          <w:szCs w:val="20"/>
        </w:rPr>
        <w:t xml:space="preserve"> </w:t>
      </w:r>
      <w:r>
        <w:rPr>
          <w:sz w:val="20"/>
          <w:szCs w:val="20"/>
        </w:rPr>
        <w:tab/>
      </w:r>
      <w:r w:rsidRPr="00992A48">
        <w:rPr>
          <w:b/>
          <w:bCs/>
          <w:sz w:val="20"/>
          <w:szCs w:val="20"/>
        </w:rPr>
        <w:t>Website:</w:t>
      </w:r>
      <w:r w:rsidRPr="00D806BF">
        <w:rPr>
          <w:rStyle w:val="Hyperlink"/>
          <w:rFonts w:eastAsia="helvetica neue"/>
          <w:color w:val="0070C0"/>
        </w:rPr>
        <w:t xml:space="preserve"> </w:t>
      </w:r>
      <w:hyperlink r:id="rId7" w:history="1">
        <w:r w:rsidRPr="00D806BF">
          <w:rPr>
            <w:rStyle w:val="Hyperlink"/>
            <w:rFonts w:eastAsia="helvetica neue"/>
            <w:color w:val="0070C0"/>
            <w:sz w:val="20"/>
            <w:szCs w:val="20"/>
          </w:rPr>
          <w:t>www.AtlasVantage.com</w:t>
        </w:r>
      </w:hyperlink>
    </w:p>
    <w:p w14:paraId="564EA62C" w14:textId="1C40F2C4" w:rsidR="008A03D3" w:rsidRDefault="008A03D3" w:rsidP="009A0BBE">
      <w:pPr>
        <w:spacing w:after="0" w:line="312" w:lineRule="auto"/>
        <w:ind w:left="-29" w:firstLine="119"/>
      </w:pPr>
      <w:r w:rsidRPr="009C354A">
        <w:rPr>
          <w:rFonts w:ascii="Segoe UI Emoji" w:hAnsi="Segoe UI Emoji" w:cs="Segoe UI Emoji"/>
          <w:sz w:val="28"/>
          <w:szCs w:val="32"/>
        </w:rPr>
        <w:t>📧</w:t>
      </w:r>
      <w:r w:rsidR="006E28BD">
        <w:rPr>
          <w:rFonts w:ascii="Segoe UI Emoji" w:hAnsi="Segoe UI Emoji" w:cs="Segoe UI Emoji"/>
          <w:sz w:val="28"/>
          <w:szCs w:val="32"/>
        </w:rPr>
        <w:t xml:space="preserve"> </w:t>
      </w:r>
      <w:r w:rsidRPr="00DF0133">
        <w:tab/>
      </w:r>
      <w:r w:rsidRPr="00455B2C">
        <w:rPr>
          <w:rFonts w:eastAsia="Georgia"/>
          <w:b/>
          <w:color w:val="000000"/>
          <w:sz w:val="20"/>
          <w:szCs w:val="20"/>
        </w:rPr>
        <w:t xml:space="preserve">Email: </w:t>
      </w:r>
      <w:hyperlink r:id="rId8" w:history="1">
        <w:r w:rsidRPr="00455B2C">
          <w:rPr>
            <w:rStyle w:val="Hyperlink"/>
            <w:rFonts w:eastAsia="helvetica neue"/>
            <w:color w:val="0070C0"/>
            <w:sz w:val="20"/>
            <w:szCs w:val="20"/>
          </w:rPr>
          <w:t>Info@AtlasVantage.com</w:t>
        </w:r>
      </w:hyperlink>
    </w:p>
    <w:p w14:paraId="3D4AABBF" w14:textId="63CABF86" w:rsidR="008654F8" w:rsidRDefault="00547F0E" w:rsidP="009C354A">
      <w:pPr>
        <w:pStyle w:val="ListBullet"/>
        <w:numPr>
          <w:ilvl w:val="0"/>
          <w:numId w:val="0"/>
        </w:numPr>
        <w:ind w:firstLine="90"/>
        <w:rPr>
          <w:rFonts w:cs="Arial"/>
          <w:color w:val="0070C0"/>
          <w:sz w:val="20"/>
          <w:szCs w:val="20"/>
        </w:rPr>
      </w:pPr>
      <w:r w:rsidRPr="00DF0133">
        <w:rPr>
          <w:bCs/>
          <w:noProof/>
        </w:rPr>
        <w:drawing>
          <wp:anchor distT="0" distB="0" distL="114300" distR="114300" simplePos="0" relativeHeight="251659264" behindDoc="0" locked="0" layoutInCell="1" allowOverlap="1" wp14:anchorId="0804B857" wp14:editId="30D8AFA6">
            <wp:simplePos x="0" y="0"/>
            <wp:positionH relativeFrom="page">
              <wp:posOffset>3368658</wp:posOffset>
            </wp:positionH>
            <wp:positionV relativeFrom="page">
              <wp:posOffset>5582639</wp:posOffset>
            </wp:positionV>
            <wp:extent cx="708025" cy="932180"/>
            <wp:effectExtent l="0" t="0" r="0" b="0"/>
            <wp:wrapSquare wrapText="bothSides"/>
            <wp:docPr id="1858484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84549" name="Picture 18584845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025" cy="932180"/>
                    </a:xfrm>
                    <a:prstGeom prst="rect">
                      <a:avLst/>
                    </a:prstGeom>
                  </pic:spPr>
                </pic:pic>
              </a:graphicData>
            </a:graphic>
            <wp14:sizeRelH relativeFrom="margin">
              <wp14:pctWidth>0</wp14:pctWidth>
            </wp14:sizeRelH>
            <wp14:sizeRelV relativeFrom="margin">
              <wp14:pctHeight>0</wp14:pctHeight>
            </wp14:sizeRelV>
          </wp:anchor>
        </w:drawing>
      </w:r>
      <w:r w:rsidR="003C6DDA" w:rsidRPr="004E0FE7">
        <w:rPr>
          <w:rFonts w:ascii="Segoe UI Emoji" w:eastAsiaTheme="minorHAnsi" w:hAnsi="Segoe UI Emoji" w:cs="Segoe UI Emoji"/>
          <w:kern w:val="2"/>
          <w14:ligatures w14:val="standardContextual"/>
        </w:rPr>
        <w:t>📞</w:t>
      </w:r>
      <w:r w:rsidR="004E0FE7" w:rsidRPr="004E0FE7">
        <w:rPr>
          <w:rFonts w:ascii="Segoe UI Emoji" w:eastAsiaTheme="minorHAnsi" w:hAnsi="Segoe UI Emoji" w:cs="Segoe UI Emoji"/>
          <w:kern w:val="2"/>
          <w14:ligatures w14:val="standardContextual"/>
        </w:rPr>
        <w:t xml:space="preserve"> </w:t>
      </w:r>
      <w:r w:rsidR="006C1BB8" w:rsidRPr="004E0FE7">
        <w:rPr>
          <w:rFonts w:ascii="Segoe UI Emoji" w:eastAsiaTheme="minorHAnsi" w:hAnsi="Segoe UI Emoji" w:cs="Segoe UI Emoji"/>
          <w:kern w:val="2"/>
          <w14:ligatures w14:val="standardContextual"/>
        </w:rPr>
        <w:tab/>
      </w:r>
      <w:bookmarkEnd w:id="6"/>
      <w:bookmarkEnd w:id="7"/>
      <w:r w:rsidR="008654F8" w:rsidRPr="006E28BD">
        <w:rPr>
          <w:rFonts w:eastAsiaTheme="minorHAnsi" w:cs="Arial"/>
          <w:b/>
          <w:bCs/>
          <w:kern w:val="2"/>
          <w:sz w:val="20"/>
          <w:szCs w:val="20"/>
          <w14:ligatures w14:val="standardContextual"/>
        </w:rPr>
        <w:t>Discovery Call</w:t>
      </w:r>
      <w:r w:rsidR="008654F8" w:rsidRPr="006E28BD">
        <w:rPr>
          <w:rFonts w:eastAsiaTheme="minorHAnsi" w:cs="Arial"/>
          <w:kern w:val="2"/>
          <w:sz w:val="20"/>
          <w:szCs w:val="20"/>
          <w14:ligatures w14:val="standardContextual"/>
        </w:rPr>
        <w:t>:</w:t>
      </w:r>
      <w:r w:rsidR="008654F8" w:rsidRPr="006E28BD">
        <w:rPr>
          <w:rFonts w:cs="Arial"/>
          <w:sz w:val="20"/>
          <w:szCs w:val="20"/>
        </w:rPr>
        <w:t xml:space="preserve"> Schedule a complimentary 30-minute conversation at </w:t>
      </w:r>
      <w:r w:rsidR="008654F8" w:rsidRPr="006E28BD">
        <w:rPr>
          <w:rFonts w:cs="Arial"/>
          <w:color w:val="0070C0"/>
          <w:sz w:val="20"/>
          <w:szCs w:val="20"/>
        </w:rPr>
        <w:t>+1 954-654-8372</w:t>
      </w:r>
    </w:p>
    <w:p w14:paraId="5B4BB052" w14:textId="505C323D" w:rsidR="002B599D" w:rsidRPr="002414D7" w:rsidRDefault="002B599D" w:rsidP="002B599D">
      <w:pPr>
        <w:pStyle w:val="ListBullet"/>
        <w:numPr>
          <w:ilvl w:val="0"/>
          <w:numId w:val="0"/>
        </w:numPr>
        <w:ind w:left="-144"/>
        <w:rPr>
          <w:rFonts w:cs="Arial"/>
          <w:sz w:val="20"/>
          <w:szCs w:val="20"/>
        </w:rPr>
      </w:pPr>
      <w:r>
        <w:rPr>
          <w:rFonts w:ascii="Segoe UI Emoji" w:hAnsi="Segoe UI Emoji" w:cs="Segoe UI Emoji"/>
        </w:rPr>
        <w:tab/>
      </w:r>
      <w:r w:rsidRPr="002B599D">
        <w:rPr>
          <w:rFonts w:ascii="Segoe UI Emoji" w:eastAsiaTheme="minorHAnsi" w:hAnsi="Segoe UI Emoji" w:cs="Segoe UI Emoji"/>
          <w:kern w:val="2"/>
          <w14:ligatures w14:val="standardContextual"/>
        </w:rPr>
        <w:t xml:space="preserve">  </w:t>
      </w:r>
      <w:r w:rsidRPr="002B599D">
        <w:rPr>
          <w:rFonts w:ascii="Segoe UI Emoji" w:eastAsiaTheme="minorHAnsi" w:hAnsi="Segoe UI Emoji" w:cs="Segoe UI Emoji"/>
          <w:kern w:val="2"/>
          <w14:ligatures w14:val="standardContextual"/>
        </w:rPr>
        <w:t xml:space="preserve">📅 </w:t>
      </w:r>
      <w:r>
        <w:rPr>
          <w:rFonts w:ascii="Segoe UI Emoji" w:eastAsiaTheme="minorHAnsi" w:hAnsi="Segoe UI Emoji" w:cs="Segoe UI Emoji"/>
          <w:kern w:val="2"/>
          <w14:ligatures w14:val="standardContextual"/>
        </w:rPr>
        <w:tab/>
      </w:r>
      <w:r w:rsidRPr="002B599D">
        <w:rPr>
          <w:rFonts w:ascii="Segoe UI Emoji" w:eastAsiaTheme="minorHAnsi" w:hAnsi="Segoe UI Emoji" w:cs="Segoe UI Emoji"/>
          <w:b/>
          <w:bCs/>
          <w:kern w:val="2"/>
          <w:sz w:val="20"/>
          <w:szCs w:val="20"/>
          <w14:ligatures w14:val="standardContextual"/>
        </w:rPr>
        <w:t>Optional Assessment:</w:t>
      </w:r>
      <w:r w:rsidRPr="002B599D">
        <w:rPr>
          <w:rFonts w:cs="Arial"/>
          <w:sz w:val="18"/>
          <w:szCs w:val="18"/>
        </w:rPr>
        <w:t xml:space="preserve"> </w:t>
      </w:r>
      <w:r w:rsidRPr="002414D7">
        <w:rPr>
          <w:rFonts w:cs="Arial"/>
          <w:sz w:val="20"/>
          <w:szCs w:val="20"/>
        </w:rPr>
        <w:t>Request a complimentary gap assessment to explore current-state priorities</w:t>
      </w:r>
    </w:p>
    <w:p w14:paraId="752D05FD" w14:textId="77777777" w:rsidR="002B599D" w:rsidRPr="006E28BD" w:rsidRDefault="002B599D" w:rsidP="009C354A">
      <w:pPr>
        <w:pStyle w:val="ListBullet"/>
        <w:numPr>
          <w:ilvl w:val="0"/>
          <w:numId w:val="0"/>
        </w:numPr>
        <w:ind w:firstLine="90"/>
        <w:rPr>
          <w:rFonts w:cs="Arial"/>
          <w:sz w:val="20"/>
          <w:szCs w:val="20"/>
        </w:rPr>
      </w:pPr>
    </w:p>
    <w:p w14:paraId="7487158A" w14:textId="6C5E8B83" w:rsidR="005E0821" w:rsidRPr="00DF0133" w:rsidRDefault="0057577E" w:rsidP="009A0BBE">
      <w:pPr>
        <w:spacing w:after="0" w:line="312" w:lineRule="auto"/>
        <w:ind w:left="-29" w:firstLine="119"/>
        <w:rPr>
          <w:b/>
          <w:bCs/>
          <w:color w:val="0070C0"/>
          <w:sz w:val="24"/>
          <w:szCs w:val="32"/>
        </w:rPr>
      </w:pPr>
      <w:r>
        <w:rPr>
          <w:b/>
          <w:bCs/>
          <w:color w:val="0070C0"/>
          <w:sz w:val="24"/>
          <w:szCs w:val="32"/>
        </w:rPr>
        <w:t xml:space="preserve">     </w:t>
      </w:r>
    </w:p>
    <w:sectPr w:rsidR="005E0821" w:rsidRPr="00DF0133" w:rsidSect="0084451A">
      <w:headerReference w:type="default" r:id="rId10"/>
      <w:footerReference w:type="default" r:id="rId11"/>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289D" w14:textId="77777777" w:rsidR="00AD417D" w:rsidRDefault="00AD417D" w:rsidP="00707775">
      <w:pPr>
        <w:spacing w:after="0" w:line="240" w:lineRule="auto"/>
      </w:pPr>
      <w:r>
        <w:separator/>
      </w:r>
    </w:p>
  </w:endnote>
  <w:endnote w:type="continuationSeparator" w:id="0">
    <w:p w14:paraId="257331A9" w14:textId="77777777" w:rsidR="00AD417D" w:rsidRDefault="00AD417D" w:rsidP="0070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helvetica 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1FFA" w14:textId="6D742776" w:rsidR="002D3153" w:rsidRPr="008B4245" w:rsidRDefault="00382E0F" w:rsidP="005834B8">
    <w:pPr>
      <w:spacing w:before="120" w:after="0" w:line="240" w:lineRule="auto"/>
      <w:ind w:left="634"/>
      <w:jc w:val="center"/>
    </w:pPr>
    <w:r>
      <w:rPr>
        <w:i/>
        <w:iCs/>
        <w:noProof/>
        <w:color w:val="000000" w:themeColor="text1"/>
        <w:sz w:val="18"/>
        <w:szCs w:val="20"/>
      </w:rPr>
      <mc:AlternateContent>
        <mc:Choice Requires="wps">
          <w:drawing>
            <wp:anchor distT="0" distB="0" distL="114300" distR="114300" simplePos="0" relativeHeight="251659265" behindDoc="0" locked="0" layoutInCell="1" allowOverlap="1" wp14:anchorId="277C661F" wp14:editId="789E05F8">
              <wp:simplePos x="0" y="0"/>
              <wp:positionH relativeFrom="page">
                <wp:posOffset>476250</wp:posOffset>
              </wp:positionH>
              <wp:positionV relativeFrom="page">
                <wp:posOffset>9613900</wp:posOffset>
              </wp:positionV>
              <wp:extent cx="6286500" cy="0"/>
              <wp:effectExtent l="0" t="0" r="0" b="0"/>
              <wp:wrapNone/>
              <wp:docPr id="2015066283" name="Straight Connector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5836E" id="Straight Connector 3" o:spid="_x0000_s1026" style="position:absolute;z-index:251659265;visibility:visible;mso-wrap-style:square;mso-wrap-distance-left:9pt;mso-wrap-distance-top:0;mso-wrap-distance-right:9pt;mso-wrap-distance-bottom:0;mso-position-horizontal:absolute;mso-position-horizontal-relative:page;mso-position-vertical:absolute;mso-position-vertical-relative:page" from="37.5pt,757pt" to="532.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" strokecolor="#156082 [3204]" strokeweight=".5pt">
              <v:stroke joinstyle="miter"/>
              <w10:wrap anchorx="page" anchory="page"/>
            </v:line>
          </w:pict>
        </mc:Fallback>
      </mc:AlternateContent>
    </w:r>
    <w:r w:rsidR="008B4245" w:rsidRPr="008B4245">
      <w:rPr>
        <w:i/>
        <w:iCs/>
        <w:color w:val="000000" w:themeColor="text1"/>
        <w:sz w:val="18"/>
        <w:szCs w:val="20"/>
      </w:rPr>
      <w:t>© 2026 Atlas Vantage</w:t>
    </w:r>
    <w:r w:rsidR="00D6547D">
      <w:rPr>
        <w:i/>
        <w:iCs/>
        <w:color w:val="000000" w:themeColor="text1"/>
        <w:sz w:val="18"/>
        <w:szCs w:val="20"/>
      </w:rPr>
      <w:t xml:space="preserve"> LLC</w:t>
    </w:r>
    <w:r w:rsidR="008B4245" w:rsidRPr="008B4245">
      <w:rPr>
        <w:i/>
        <w:iCs/>
        <w:color w:val="000000" w:themeColor="text1"/>
        <w:sz w:val="18"/>
        <w:szCs w:val="20"/>
      </w:rPr>
      <w:t xml:space="preserve"> | Version</w:t>
    </w:r>
    <w:r w:rsidR="00AB00CA">
      <w:rPr>
        <w:i/>
        <w:iCs/>
        <w:color w:val="000000" w:themeColor="text1"/>
        <w:sz w:val="18"/>
        <w:szCs w:val="20"/>
      </w:rPr>
      <w:t xml:space="preserve"> 1</w:t>
    </w:r>
    <w:r w:rsidR="008B4245" w:rsidRPr="008B4245">
      <w:rPr>
        <w:i/>
        <w:iCs/>
        <w:color w:val="000000" w:themeColor="text1"/>
        <w:sz w:val="18"/>
        <w:szCs w:val="20"/>
      </w:rPr>
      <w:t>2.1 | April 2026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5B95" w14:textId="77777777" w:rsidR="00AD417D" w:rsidRDefault="00AD417D" w:rsidP="00707775">
      <w:pPr>
        <w:spacing w:after="0" w:line="240" w:lineRule="auto"/>
      </w:pPr>
      <w:r>
        <w:separator/>
      </w:r>
    </w:p>
  </w:footnote>
  <w:footnote w:type="continuationSeparator" w:id="0">
    <w:p w14:paraId="4C1BC8BE" w14:textId="77777777" w:rsidR="00AD417D" w:rsidRDefault="00AD417D" w:rsidP="0070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C595" w14:textId="53ED0BF1" w:rsidR="00707775" w:rsidRPr="002179C8" w:rsidRDefault="007B2DD4" w:rsidP="00707775">
    <w:pPr>
      <w:pStyle w:val="Header"/>
      <w:rPr>
        <w:rFonts w:ascii="Arial Nova" w:hAnsi="Arial Nova"/>
        <w:b/>
        <w:bCs/>
        <w:color w:val="000000" w:themeColor="text1"/>
        <w:sz w:val="28"/>
        <w:szCs w:val="28"/>
      </w:rPr>
    </w:pPr>
    <w:r w:rsidRPr="002179C8">
      <w:rPr>
        <w:rFonts w:ascii="Arial Nova" w:hAnsi="Arial Nova"/>
        <w:b/>
        <w:bCs/>
        <w:noProof/>
        <w:color w:val="000000" w:themeColor="text1"/>
        <w:sz w:val="28"/>
        <w:szCs w:val="28"/>
      </w:rPr>
      <mc:AlternateContent>
        <mc:Choice Requires="wps">
          <w:drawing>
            <wp:anchor distT="0" distB="0" distL="114300" distR="114300" simplePos="0" relativeHeight="251658241" behindDoc="0" locked="0" layoutInCell="1" allowOverlap="1" wp14:anchorId="65658C97" wp14:editId="66353F02">
              <wp:simplePos x="0" y="0"/>
              <wp:positionH relativeFrom="page">
                <wp:posOffset>5191829</wp:posOffset>
              </wp:positionH>
              <wp:positionV relativeFrom="paragraph">
                <wp:posOffset>-236885</wp:posOffset>
              </wp:positionV>
              <wp:extent cx="2504376" cy="3200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04376" cy="320040"/>
                      </a:xfrm>
                      <a:prstGeom prst="rect">
                        <a:avLst/>
                      </a:prstGeom>
                      <a:solidFill>
                        <a:schemeClr val="lt1"/>
                      </a:solidFill>
                      <a:ln w="6350">
                        <a:noFill/>
                      </a:ln>
                    </wps:spPr>
                    <wps:txbx>
                      <w:txbxContent>
                        <w:p w14:paraId="0258EE65" w14:textId="3B88E3C6" w:rsidR="00707775" w:rsidRPr="007E6725" w:rsidRDefault="00D25C29" w:rsidP="0074000B">
                          <w:pPr>
                            <w:shd w:val="clear" w:color="auto" w:fill="FFFFFF" w:themeFill="background1"/>
                            <w:spacing w:line="240" w:lineRule="auto"/>
                            <w:ind w:left="630"/>
                            <w:rPr>
                              <w:i/>
                              <w:iCs/>
                              <w:color w:val="002060"/>
                            </w:rPr>
                          </w:pPr>
                          <w:r w:rsidRPr="00D32ADB">
                            <w:rPr>
                              <w:i/>
                              <w:iCs/>
                              <w:color w:val="000000" w:themeColor="text1"/>
                              <w:sz w:val="18"/>
                              <w:szCs w:val="18"/>
                            </w:rPr>
                            <w:t>Atlas Vantage</w:t>
                          </w:r>
                          <w:r w:rsidR="0074000B">
                            <w:rPr>
                              <w:i/>
                              <w:iCs/>
                              <w:color w:val="000000" w:themeColor="text1"/>
                              <w:sz w:val="18"/>
                              <w:szCs w:val="18"/>
                            </w:rPr>
                            <w:t xml:space="preserve"> LLC</w:t>
                          </w:r>
                          <w:r w:rsidRPr="00D32ADB">
                            <w:rPr>
                              <w:i/>
                              <w:iCs/>
                              <w:color w:val="000000" w:themeColor="text1"/>
                              <w:sz w:val="18"/>
                              <w:szCs w:val="18"/>
                            </w:rPr>
                            <w:t xml:space="preserve"> | Service Catalog</w:t>
                          </w:r>
                        </w:p>
                        <w:p w14:paraId="28BE4E44" w14:textId="77777777" w:rsidR="00707775" w:rsidRDefault="00707775" w:rsidP="00707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58C97" id="_x0000_t202" coordsize="21600,21600" o:spt="202" path="m,l,21600r21600,l21600,xe">
              <v:stroke joinstyle="miter"/>
              <v:path gradientshapeok="t" o:connecttype="rect"/>
            </v:shapetype>
            <v:shape id="Text Box 2" o:spid="_x0000_s1026" type="#_x0000_t202" style="position:absolute;margin-left:408.8pt;margin-top:-18.65pt;width:197.2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jA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" fillcolor="white [3201]" stroked="f" strokeweight=".5pt">
              <v:textbox>
                <w:txbxContent>
                  <w:p w14:paraId="0258EE65" w14:textId="3B88E3C6" w:rsidR="00707775" w:rsidRPr="007E6725" w:rsidRDefault="00D25C29" w:rsidP="0074000B">
                    <w:pPr>
                      <w:shd w:val="clear" w:color="auto" w:fill="FFFFFF" w:themeFill="background1"/>
                      <w:spacing w:line="240" w:lineRule="auto"/>
                      <w:ind w:left="630"/>
                      <w:rPr>
                        <w:i/>
                        <w:iCs/>
                        <w:color w:val="002060"/>
                      </w:rPr>
                    </w:pPr>
                    <w:r w:rsidRPr="00D32ADB">
                      <w:rPr>
                        <w:i/>
                        <w:iCs/>
                        <w:color w:val="000000" w:themeColor="text1"/>
                        <w:sz w:val="18"/>
                        <w:szCs w:val="18"/>
                      </w:rPr>
                      <w:t>Atlas Vantage</w:t>
                    </w:r>
                    <w:r w:rsidR="0074000B">
                      <w:rPr>
                        <w:i/>
                        <w:iCs/>
                        <w:color w:val="000000" w:themeColor="text1"/>
                        <w:sz w:val="18"/>
                        <w:szCs w:val="18"/>
                      </w:rPr>
                      <w:t xml:space="preserve"> LLC</w:t>
                    </w:r>
                    <w:r w:rsidRPr="00D32ADB">
                      <w:rPr>
                        <w:i/>
                        <w:iCs/>
                        <w:color w:val="000000" w:themeColor="text1"/>
                        <w:sz w:val="18"/>
                        <w:szCs w:val="18"/>
                      </w:rPr>
                      <w:t xml:space="preserve"> | Service Catalog</w:t>
                    </w:r>
                  </w:p>
                  <w:p w14:paraId="28BE4E44" w14:textId="77777777" w:rsidR="00707775" w:rsidRDefault="00707775" w:rsidP="00707775"/>
                </w:txbxContent>
              </v:textbox>
              <w10:wrap anchorx="page"/>
            </v:shape>
          </w:pict>
        </mc:Fallback>
      </mc:AlternateContent>
    </w:r>
    <w:r w:rsidRPr="002179C8">
      <w:rPr>
        <w:rFonts w:ascii="Arial Nova" w:hAnsi="Arial Nova"/>
        <w:b/>
        <w:bCs/>
        <w:noProof/>
        <w:color w:val="000000" w:themeColor="text1"/>
        <w:sz w:val="28"/>
        <w:szCs w:val="28"/>
      </w:rPr>
      <w:drawing>
        <wp:anchor distT="0" distB="0" distL="114300" distR="114300" simplePos="0" relativeHeight="251658240" behindDoc="0" locked="0" layoutInCell="1" allowOverlap="1" wp14:anchorId="4873ABD7" wp14:editId="5B3C7277">
          <wp:simplePos x="0" y="0"/>
          <wp:positionH relativeFrom="column">
            <wp:posOffset>-370205</wp:posOffset>
          </wp:positionH>
          <wp:positionV relativeFrom="paragraph">
            <wp:posOffset>-177800</wp:posOffset>
          </wp:positionV>
          <wp:extent cx="424180" cy="549275"/>
          <wp:effectExtent l="0" t="0" r="0" b="3175"/>
          <wp:wrapSquare wrapText="bothSides"/>
          <wp:docPr id="951386661" name="Picture 951386661" descr="A blue and white globe with a black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globe with a black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4180" cy="549275"/>
                  </a:xfrm>
                  <a:prstGeom prst="rect">
                    <a:avLst/>
                  </a:prstGeom>
                </pic:spPr>
              </pic:pic>
            </a:graphicData>
          </a:graphic>
          <wp14:sizeRelH relativeFrom="margin">
            <wp14:pctWidth>0</wp14:pctWidth>
          </wp14:sizeRelH>
          <wp14:sizeRelV relativeFrom="margin">
            <wp14:pctHeight>0</wp14:pctHeight>
          </wp14:sizeRelV>
        </wp:anchor>
      </w:drawing>
    </w:r>
    <w:r w:rsidR="00707775" w:rsidRPr="002179C8">
      <w:rPr>
        <w:rFonts w:ascii="Arial Nova" w:hAnsi="Arial Nova"/>
        <w:b/>
        <w:bCs/>
        <w:color w:val="000000" w:themeColor="text1"/>
        <w:sz w:val="28"/>
        <w:szCs w:val="28"/>
      </w:rPr>
      <w:t>Atlas Vantage, LLC</w:t>
    </w:r>
  </w:p>
  <w:p w14:paraId="11C11E38" w14:textId="6F242189" w:rsidR="00707775" w:rsidRPr="002179C8" w:rsidRDefault="00097A7D">
    <w:pPr>
      <w:pStyle w:val="Header"/>
      <w:rPr>
        <w:color w:val="000000" w:themeColor="text1"/>
        <w:sz w:val="18"/>
        <w:szCs w:val="18"/>
      </w:rPr>
    </w:pPr>
    <w:hyperlink r:id="rId2" w:history="1">
      <w:r w:rsidRPr="002179C8">
        <w:rPr>
          <w:rStyle w:val="Hyperlink"/>
          <w:color w:val="000000" w:themeColor="text1"/>
          <w:sz w:val="18"/>
          <w:szCs w:val="18"/>
        </w:rPr>
        <w:t>www.AtlasVantage.com</w:t>
      </w:r>
    </w:hyperlink>
    <w:r w:rsidRPr="002179C8">
      <w:rPr>
        <w:color w:val="000000" w:themeColor="text1"/>
        <w:sz w:val="18"/>
        <w:szCs w:val="18"/>
      </w:rPr>
      <w:t xml:space="preserve"> | </w:t>
    </w:r>
    <w:hyperlink r:id="rId3" w:history="1">
      <w:r w:rsidRPr="002179C8">
        <w:rPr>
          <w:rStyle w:val="Hyperlink"/>
          <w:color w:val="000000" w:themeColor="text1"/>
          <w:sz w:val="18"/>
          <w:szCs w:val="18"/>
        </w:rPr>
        <w:t>Info@AtlasVantage.com</w:t>
      </w:r>
    </w:hyperlink>
    <w:r w:rsidRPr="002179C8">
      <w:rPr>
        <w:color w:val="000000" w:themeColor="text1"/>
        <w:sz w:val="18"/>
        <w:szCs w:val="18"/>
      </w:rPr>
      <w:t xml:space="preserve"> </w:t>
    </w:r>
    <w:r w:rsidR="006942F1" w:rsidRPr="002179C8">
      <w:rPr>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166D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87272"/>
    <w:multiLevelType w:val="hybridMultilevel"/>
    <w:tmpl w:val="AB6E4C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7C3D98"/>
    <w:multiLevelType w:val="hybridMultilevel"/>
    <w:tmpl w:val="6886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B5ECF"/>
    <w:multiLevelType w:val="hybridMultilevel"/>
    <w:tmpl w:val="0ABE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C09DD"/>
    <w:multiLevelType w:val="hybridMultilevel"/>
    <w:tmpl w:val="463E29EC"/>
    <w:lvl w:ilvl="0" w:tplc="FFFFFFFF">
      <w:numFmt w:val="bullet"/>
      <w:lvlText w:val="•"/>
      <w:lvlJc w:val="left"/>
      <w:pPr>
        <w:ind w:left="540" w:hanging="360"/>
      </w:pPr>
      <w:rPr>
        <w:rFonts w:ascii="Arial" w:eastAsiaTheme="minorHAnsi" w:hAnsi="Arial" w:cs="Arial" w:hint="default"/>
      </w:rPr>
    </w:lvl>
    <w:lvl w:ilvl="1" w:tplc="F0E88000">
      <w:start w:val="1"/>
      <w:numFmt w:val="bullet"/>
      <w:lvlText w:val=""/>
      <w:lvlJc w:val="left"/>
      <w:pPr>
        <w:ind w:left="1260" w:hanging="360"/>
      </w:pPr>
      <w:rPr>
        <w:rFonts w:ascii="Symbol" w:hAnsi="Symbol"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5" w15:restartNumberingAfterBreak="0">
    <w:nsid w:val="155C13ED"/>
    <w:multiLevelType w:val="multilevel"/>
    <w:tmpl w:val="184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319D3"/>
    <w:multiLevelType w:val="hybridMultilevel"/>
    <w:tmpl w:val="D9682566"/>
    <w:lvl w:ilvl="0" w:tplc="9DBA8F6A">
      <w:numFmt w:val="bullet"/>
      <w:lvlText w:val="•"/>
      <w:lvlJc w:val="left"/>
      <w:pPr>
        <w:ind w:left="1080" w:hanging="54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FE2"/>
    <w:multiLevelType w:val="hybridMultilevel"/>
    <w:tmpl w:val="565ED2F2"/>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5CC2"/>
    <w:multiLevelType w:val="multilevel"/>
    <w:tmpl w:val="9E5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520B95"/>
    <w:multiLevelType w:val="multilevel"/>
    <w:tmpl w:val="F4A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D6225"/>
    <w:multiLevelType w:val="hybridMultilevel"/>
    <w:tmpl w:val="BC3E4AA6"/>
    <w:lvl w:ilvl="0" w:tplc="9E360C72">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90B47C8"/>
    <w:multiLevelType w:val="hybridMultilevel"/>
    <w:tmpl w:val="6F686C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B370CCC"/>
    <w:multiLevelType w:val="multilevel"/>
    <w:tmpl w:val="4E9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944D5D"/>
    <w:multiLevelType w:val="hybridMultilevel"/>
    <w:tmpl w:val="5F687E52"/>
    <w:lvl w:ilvl="0" w:tplc="9DBA8F6A">
      <w:numFmt w:val="bullet"/>
      <w:lvlText w:val="•"/>
      <w:lvlJc w:val="left"/>
      <w:pPr>
        <w:ind w:left="90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435D3"/>
    <w:multiLevelType w:val="hybridMultilevel"/>
    <w:tmpl w:val="6158CF70"/>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81931"/>
    <w:multiLevelType w:val="hybridMultilevel"/>
    <w:tmpl w:val="50D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5E25"/>
    <w:multiLevelType w:val="hybridMultilevel"/>
    <w:tmpl w:val="6CA6A4C0"/>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CA5413A"/>
    <w:multiLevelType w:val="hybridMultilevel"/>
    <w:tmpl w:val="110A1F18"/>
    <w:lvl w:ilvl="0" w:tplc="9DBA8F6A">
      <w:numFmt w:val="bullet"/>
      <w:lvlText w:val="•"/>
      <w:lvlJc w:val="left"/>
      <w:pPr>
        <w:ind w:left="54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CE44A6A"/>
    <w:multiLevelType w:val="multilevel"/>
    <w:tmpl w:val="1E0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726EB"/>
    <w:multiLevelType w:val="multilevel"/>
    <w:tmpl w:val="77B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95C3D"/>
    <w:multiLevelType w:val="hybridMultilevel"/>
    <w:tmpl w:val="B42A519A"/>
    <w:lvl w:ilvl="0" w:tplc="9DBA8F6A">
      <w:numFmt w:val="bullet"/>
      <w:lvlText w:val="•"/>
      <w:lvlJc w:val="left"/>
      <w:pPr>
        <w:ind w:left="900" w:hanging="54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786239C"/>
    <w:multiLevelType w:val="hybridMultilevel"/>
    <w:tmpl w:val="CEFE84F2"/>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CDB3EB4"/>
    <w:multiLevelType w:val="multilevel"/>
    <w:tmpl w:val="6DF0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C56EDB"/>
    <w:multiLevelType w:val="multilevel"/>
    <w:tmpl w:val="0E6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764BB3"/>
    <w:multiLevelType w:val="multilevel"/>
    <w:tmpl w:val="B33E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351B9F"/>
    <w:multiLevelType w:val="hybridMultilevel"/>
    <w:tmpl w:val="C58C13BA"/>
    <w:lvl w:ilvl="0" w:tplc="BC86E26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FC5BC9"/>
    <w:multiLevelType w:val="hybridMultilevel"/>
    <w:tmpl w:val="639CF118"/>
    <w:lvl w:ilvl="0" w:tplc="9DBA8F6A">
      <w:numFmt w:val="bullet"/>
      <w:lvlText w:val="•"/>
      <w:lvlJc w:val="left"/>
      <w:pPr>
        <w:ind w:left="72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ACB635D"/>
    <w:multiLevelType w:val="hybridMultilevel"/>
    <w:tmpl w:val="883282BA"/>
    <w:lvl w:ilvl="0" w:tplc="0FA0E78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5745B"/>
    <w:multiLevelType w:val="multilevel"/>
    <w:tmpl w:val="36E0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D35A9"/>
    <w:multiLevelType w:val="hybridMultilevel"/>
    <w:tmpl w:val="187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61434"/>
    <w:multiLevelType w:val="hybridMultilevel"/>
    <w:tmpl w:val="8506B3D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1" w15:restartNumberingAfterBreak="0">
    <w:nsid w:val="626D3AD0"/>
    <w:multiLevelType w:val="hybridMultilevel"/>
    <w:tmpl w:val="002AC974"/>
    <w:lvl w:ilvl="0" w:tplc="9E360C72">
      <w:numFmt w:val="bullet"/>
      <w:lvlText w:val="•"/>
      <w:lvlJc w:val="left"/>
      <w:pPr>
        <w:ind w:left="540" w:hanging="54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38529EA"/>
    <w:multiLevelType w:val="hybridMultilevel"/>
    <w:tmpl w:val="5660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82DB7"/>
    <w:multiLevelType w:val="multilevel"/>
    <w:tmpl w:val="203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AA1A8B"/>
    <w:multiLevelType w:val="multilevel"/>
    <w:tmpl w:val="19F8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DE09BD"/>
    <w:multiLevelType w:val="hybridMultilevel"/>
    <w:tmpl w:val="7E1C85CC"/>
    <w:lvl w:ilvl="0" w:tplc="BC86E262">
      <w:numFmt w:val="bullet"/>
      <w:lvlText w:val="•"/>
      <w:lvlJc w:val="left"/>
      <w:pPr>
        <w:ind w:left="540" w:hanging="360"/>
      </w:pPr>
      <w:rPr>
        <w:rFonts w:ascii="Arial" w:eastAsiaTheme="minorHAnsi" w:hAnsi="Arial" w:cs="Aria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70000D9C"/>
    <w:multiLevelType w:val="hybridMultilevel"/>
    <w:tmpl w:val="87C8A8B8"/>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45B2A3C"/>
    <w:multiLevelType w:val="hybridMultilevel"/>
    <w:tmpl w:val="0F0C84D4"/>
    <w:lvl w:ilvl="0" w:tplc="BC86E2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0359">
    <w:abstractNumId w:val="24"/>
  </w:num>
  <w:num w:numId="2" w16cid:durableId="859466931">
    <w:abstractNumId w:val="23"/>
  </w:num>
  <w:num w:numId="3" w16cid:durableId="314265656">
    <w:abstractNumId w:val="28"/>
  </w:num>
  <w:num w:numId="4" w16cid:durableId="27610796">
    <w:abstractNumId w:val="22"/>
  </w:num>
  <w:num w:numId="5" w16cid:durableId="370225063">
    <w:abstractNumId w:val="34"/>
  </w:num>
  <w:num w:numId="6" w16cid:durableId="1646854794">
    <w:abstractNumId w:val="33"/>
  </w:num>
  <w:num w:numId="7" w16cid:durableId="486240180">
    <w:abstractNumId w:val="5"/>
  </w:num>
  <w:num w:numId="8" w16cid:durableId="264657309">
    <w:abstractNumId w:val="12"/>
  </w:num>
  <w:num w:numId="9" w16cid:durableId="981353404">
    <w:abstractNumId w:val="9"/>
  </w:num>
  <w:num w:numId="10" w16cid:durableId="1997880610">
    <w:abstractNumId w:val="2"/>
  </w:num>
  <w:num w:numId="11" w16cid:durableId="467355444">
    <w:abstractNumId w:val="32"/>
  </w:num>
  <w:num w:numId="12" w16cid:durableId="1724328901">
    <w:abstractNumId w:val="29"/>
  </w:num>
  <w:num w:numId="13" w16cid:durableId="342125004">
    <w:abstractNumId w:val="1"/>
  </w:num>
  <w:num w:numId="14" w16cid:durableId="1038698081">
    <w:abstractNumId w:val="11"/>
  </w:num>
  <w:num w:numId="15" w16cid:durableId="1842308648">
    <w:abstractNumId w:val="35"/>
  </w:num>
  <w:num w:numId="16" w16cid:durableId="290213545">
    <w:abstractNumId w:val="36"/>
  </w:num>
  <w:num w:numId="17" w16cid:durableId="1342511333">
    <w:abstractNumId w:val="10"/>
  </w:num>
  <w:num w:numId="18" w16cid:durableId="1455171141">
    <w:abstractNumId w:val="31"/>
  </w:num>
  <w:num w:numId="19" w16cid:durableId="1631939402">
    <w:abstractNumId w:val="26"/>
  </w:num>
  <w:num w:numId="20" w16cid:durableId="1199973808">
    <w:abstractNumId w:val="6"/>
  </w:num>
  <w:num w:numId="21" w16cid:durableId="100997792">
    <w:abstractNumId w:val="13"/>
  </w:num>
  <w:num w:numId="22" w16cid:durableId="2047362668">
    <w:abstractNumId w:val="21"/>
  </w:num>
  <w:num w:numId="23" w16cid:durableId="1175925287">
    <w:abstractNumId w:val="20"/>
  </w:num>
  <w:num w:numId="24" w16cid:durableId="538053706">
    <w:abstractNumId w:val="16"/>
  </w:num>
  <w:num w:numId="25" w16cid:durableId="1355762800">
    <w:abstractNumId w:val="17"/>
  </w:num>
  <w:num w:numId="26" w16cid:durableId="1528251906">
    <w:abstractNumId w:val="19"/>
  </w:num>
  <w:num w:numId="27" w16cid:durableId="657152767">
    <w:abstractNumId w:val="4"/>
  </w:num>
  <w:num w:numId="28" w16cid:durableId="27146723">
    <w:abstractNumId w:val="8"/>
  </w:num>
  <w:num w:numId="29" w16cid:durableId="1733042616">
    <w:abstractNumId w:val="25"/>
  </w:num>
  <w:num w:numId="30" w16cid:durableId="1029447652">
    <w:abstractNumId w:val="14"/>
  </w:num>
  <w:num w:numId="31" w16cid:durableId="127941818">
    <w:abstractNumId w:val="37"/>
  </w:num>
  <w:num w:numId="32" w16cid:durableId="1016273374">
    <w:abstractNumId w:val="7"/>
  </w:num>
  <w:num w:numId="33" w16cid:durableId="1124227190">
    <w:abstractNumId w:val="18"/>
  </w:num>
  <w:num w:numId="34" w16cid:durableId="252130318">
    <w:abstractNumId w:val="15"/>
  </w:num>
  <w:num w:numId="35" w16cid:durableId="276763821">
    <w:abstractNumId w:val="27"/>
  </w:num>
  <w:num w:numId="36" w16cid:durableId="201941504">
    <w:abstractNumId w:val="30"/>
  </w:num>
  <w:num w:numId="37" w16cid:durableId="347369145">
    <w:abstractNumId w:val="3"/>
  </w:num>
  <w:num w:numId="38" w16cid:durableId="2360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91"/>
    <w:rsid w:val="0000382C"/>
    <w:rsid w:val="00006A13"/>
    <w:rsid w:val="0003355E"/>
    <w:rsid w:val="00042554"/>
    <w:rsid w:val="0004418C"/>
    <w:rsid w:val="0006004B"/>
    <w:rsid w:val="00063422"/>
    <w:rsid w:val="00093B51"/>
    <w:rsid w:val="000967F0"/>
    <w:rsid w:val="00097A7D"/>
    <w:rsid w:val="000A46BC"/>
    <w:rsid w:val="000C2CFB"/>
    <w:rsid w:val="000F57DE"/>
    <w:rsid w:val="0010291C"/>
    <w:rsid w:val="00103F90"/>
    <w:rsid w:val="00106FBB"/>
    <w:rsid w:val="00107477"/>
    <w:rsid w:val="00121F9D"/>
    <w:rsid w:val="00126C6F"/>
    <w:rsid w:val="00127079"/>
    <w:rsid w:val="0013174E"/>
    <w:rsid w:val="001339C1"/>
    <w:rsid w:val="00134A80"/>
    <w:rsid w:val="00140292"/>
    <w:rsid w:val="00143F44"/>
    <w:rsid w:val="0016502D"/>
    <w:rsid w:val="00166494"/>
    <w:rsid w:val="00171F22"/>
    <w:rsid w:val="0017339C"/>
    <w:rsid w:val="00180325"/>
    <w:rsid w:val="00180BCD"/>
    <w:rsid w:val="001A26E1"/>
    <w:rsid w:val="001B0324"/>
    <w:rsid w:val="001B511A"/>
    <w:rsid w:val="001B653A"/>
    <w:rsid w:val="001C393A"/>
    <w:rsid w:val="001C7C73"/>
    <w:rsid w:val="001E2ED4"/>
    <w:rsid w:val="001F4A4C"/>
    <w:rsid w:val="00205F45"/>
    <w:rsid w:val="0021322A"/>
    <w:rsid w:val="002179C8"/>
    <w:rsid w:val="0024101C"/>
    <w:rsid w:val="00242227"/>
    <w:rsid w:val="00245A6B"/>
    <w:rsid w:val="00257A83"/>
    <w:rsid w:val="00261173"/>
    <w:rsid w:val="00262518"/>
    <w:rsid w:val="002637BA"/>
    <w:rsid w:val="00273841"/>
    <w:rsid w:val="00294B28"/>
    <w:rsid w:val="002A1A4B"/>
    <w:rsid w:val="002A5BB9"/>
    <w:rsid w:val="002B1952"/>
    <w:rsid w:val="002B599D"/>
    <w:rsid w:val="002B7734"/>
    <w:rsid w:val="002C400D"/>
    <w:rsid w:val="002D2763"/>
    <w:rsid w:val="002D30BD"/>
    <w:rsid w:val="002D3153"/>
    <w:rsid w:val="002E664D"/>
    <w:rsid w:val="00301F05"/>
    <w:rsid w:val="003073F0"/>
    <w:rsid w:val="0031292E"/>
    <w:rsid w:val="00331208"/>
    <w:rsid w:val="003313D8"/>
    <w:rsid w:val="00340776"/>
    <w:rsid w:val="00344179"/>
    <w:rsid w:val="0035040B"/>
    <w:rsid w:val="00355119"/>
    <w:rsid w:val="00355C78"/>
    <w:rsid w:val="0036543F"/>
    <w:rsid w:val="00366140"/>
    <w:rsid w:val="00371AF3"/>
    <w:rsid w:val="00371DFA"/>
    <w:rsid w:val="00372D31"/>
    <w:rsid w:val="00382571"/>
    <w:rsid w:val="00382E0F"/>
    <w:rsid w:val="003A523A"/>
    <w:rsid w:val="003C6DDA"/>
    <w:rsid w:val="003C70DF"/>
    <w:rsid w:val="003E12B5"/>
    <w:rsid w:val="003E355D"/>
    <w:rsid w:val="003F4E1C"/>
    <w:rsid w:val="00410BA3"/>
    <w:rsid w:val="00412CA9"/>
    <w:rsid w:val="00417373"/>
    <w:rsid w:val="00425017"/>
    <w:rsid w:val="00436483"/>
    <w:rsid w:val="00452034"/>
    <w:rsid w:val="004548EB"/>
    <w:rsid w:val="00455B2C"/>
    <w:rsid w:val="0045761A"/>
    <w:rsid w:val="004748D6"/>
    <w:rsid w:val="00476931"/>
    <w:rsid w:val="004958BB"/>
    <w:rsid w:val="00496301"/>
    <w:rsid w:val="004A5668"/>
    <w:rsid w:val="004A64BA"/>
    <w:rsid w:val="004B0C2E"/>
    <w:rsid w:val="004B12AD"/>
    <w:rsid w:val="004B553B"/>
    <w:rsid w:val="004B7FA6"/>
    <w:rsid w:val="004C144B"/>
    <w:rsid w:val="004C4032"/>
    <w:rsid w:val="004C640B"/>
    <w:rsid w:val="004D0961"/>
    <w:rsid w:val="004D09DF"/>
    <w:rsid w:val="004E0FE7"/>
    <w:rsid w:val="00510AB6"/>
    <w:rsid w:val="005156B5"/>
    <w:rsid w:val="005237B8"/>
    <w:rsid w:val="0052400D"/>
    <w:rsid w:val="00524D5A"/>
    <w:rsid w:val="00536E3A"/>
    <w:rsid w:val="00540B8F"/>
    <w:rsid w:val="00547F0E"/>
    <w:rsid w:val="00553EE6"/>
    <w:rsid w:val="0057577E"/>
    <w:rsid w:val="00581A54"/>
    <w:rsid w:val="005834B8"/>
    <w:rsid w:val="005922BD"/>
    <w:rsid w:val="005A1CDD"/>
    <w:rsid w:val="005A3E58"/>
    <w:rsid w:val="005A58A8"/>
    <w:rsid w:val="005B2F76"/>
    <w:rsid w:val="005E0821"/>
    <w:rsid w:val="005E0A74"/>
    <w:rsid w:val="005E13ED"/>
    <w:rsid w:val="005E5859"/>
    <w:rsid w:val="005F6BA7"/>
    <w:rsid w:val="00604C1B"/>
    <w:rsid w:val="00612972"/>
    <w:rsid w:val="00620CD8"/>
    <w:rsid w:val="00632C8C"/>
    <w:rsid w:val="00633232"/>
    <w:rsid w:val="00635080"/>
    <w:rsid w:val="00651376"/>
    <w:rsid w:val="0065373D"/>
    <w:rsid w:val="006557E3"/>
    <w:rsid w:val="00657269"/>
    <w:rsid w:val="00657777"/>
    <w:rsid w:val="00662604"/>
    <w:rsid w:val="00664DAB"/>
    <w:rsid w:val="00672AF3"/>
    <w:rsid w:val="00676151"/>
    <w:rsid w:val="00680CD4"/>
    <w:rsid w:val="00683A54"/>
    <w:rsid w:val="006904BA"/>
    <w:rsid w:val="006942F1"/>
    <w:rsid w:val="006951DE"/>
    <w:rsid w:val="006A71BE"/>
    <w:rsid w:val="006C0A59"/>
    <w:rsid w:val="006C1BB8"/>
    <w:rsid w:val="006C26E6"/>
    <w:rsid w:val="006D0EFD"/>
    <w:rsid w:val="006E1CC2"/>
    <w:rsid w:val="006E28BD"/>
    <w:rsid w:val="006E71E4"/>
    <w:rsid w:val="006F0249"/>
    <w:rsid w:val="00707775"/>
    <w:rsid w:val="007115B2"/>
    <w:rsid w:val="00712418"/>
    <w:rsid w:val="00716A01"/>
    <w:rsid w:val="007268F0"/>
    <w:rsid w:val="0074000B"/>
    <w:rsid w:val="007458BB"/>
    <w:rsid w:val="00751EC0"/>
    <w:rsid w:val="00765C93"/>
    <w:rsid w:val="007772FD"/>
    <w:rsid w:val="00781E69"/>
    <w:rsid w:val="0078554A"/>
    <w:rsid w:val="0079268A"/>
    <w:rsid w:val="007A02DE"/>
    <w:rsid w:val="007A321E"/>
    <w:rsid w:val="007B2DD4"/>
    <w:rsid w:val="007B3E2C"/>
    <w:rsid w:val="007B4020"/>
    <w:rsid w:val="007B56E8"/>
    <w:rsid w:val="007C1B8F"/>
    <w:rsid w:val="007C4941"/>
    <w:rsid w:val="007C52A9"/>
    <w:rsid w:val="007C5DFA"/>
    <w:rsid w:val="007D10AE"/>
    <w:rsid w:val="008076B6"/>
    <w:rsid w:val="00821046"/>
    <w:rsid w:val="0082483F"/>
    <w:rsid w:val="00830E72"/>
    <w:rsid w:val="0084451A"/>
    <w:rsid w:val="008530D8"/>
    <w:rsid w:val="00855C4F"/>
    <w:rsid w:val="008654F8"/>
    <w:rsid w:val="008831D4"/>
    <w:rsid w:val="008911D0"/>
    <w:rsid w:val="008969AB"/>
    <w:rsid w:val="00897005"/>
    <w:rsid w:val="008A03D3"/>
    <w:rsid w:val="008A3491"/>
    <w:rsid w:val="008B4245"/>
    <w:rsid w:val="008B63EC"/>
    <w:rsid w:val="008C1E2D"/>
    <w:rsid w:val="008C3654"/>
    <w:rsid w:val="008C59D1"/>
    <w:rsid w:val="008D6B60"/>
    <w:rsid w:val="008D778A"/>
    <w:rsid w:val="00964473"/>
    <w:rsid w:val="009918F8"/>
    <w:rsid w:val="00992A48"/>
    <w:rsid w:val="009A0BBE"/>
    <w:rsid w:val="009B3A76"/>
    <w:rsid w:val="009B57E4"/>
    <w:rsid w:val="009C354A"/>
    <w:rsid w:val="009D6D61"/>
    <w:rsid w:val="009E65F7"/>
    <w:rsid w:val="009F28BB"/>
    <w:rsid w:val="00A00B85"/>
    <w:rsid w:val="00A10361"/>
    <w:rsid w:val="00A161E0"/>
    <w:rsid w:val="00A26E3F"/>
    <w:rsid w:val="00A55141"/>
    <w:rsid w:val="00A82D63"/>
    <w:rsid w:val="00A90E4C"/>
    <w:rsid w:val="00A949DB"/>
    <w:rsid w:val="00AB00CA"/>
    <w:rsid w:val="00AB3D75"/>
    <w:rsid w:val="00AC397E"/>
    <w:rsid w:val="00AD417D"/>
    <w:rsid w:val="00AE174C"/>
    <w:rsid w:val="00AE2494"/>
    <w:rsid w:val="00AE4DD9"/>
    <w:rsid w:val="00B13350"/>
    <w:rsid w:val="00B141B3"/>
    <w:rsid w:val="00B415A5"/>
    <w:rsid w:val="00B535DA"/>
    <w:rsid w:val="00B542F7"/>
    <w:rsid w:val="00B62FD7"/>
    <w:rsid w:val="00B70C5E"/>
    <w:rsid w:val="00B749E3"/>
    <w:rsid w:val="00B80FFA"/>
    <w:rsid w:val="00B82091"/>
    <w:rsid w:val="00B82134"/>
    <w:rsid w:val="00BA73AD"/>
    <w:rsid w:val="00BA74C0"/>
    <w:rsid w:val="00BC1EE5"/>
    <w:rsid w:val="00BC240C"/>
    <w:rsid w:val="00BD0EC2"/>
    <w:rsid w:val="00BD2A9D"/>
    <w:rsid w:val="00BE6E24"/>
    <w:rsid w:val="00BF1E4A"/>
    <w:rsid w:val="00BF3460"/>
    <w:rsid w:val="00C122F0"/>
    <w:rsid w:val="00C12410"/>
    <w:rsid w:val="00C25866"/>
    <w:rsid w:val="00C3647F"/>
    <w:rsid w:val="00C52DB1"/>
    <w:rsid w:val="00C555D3"/>
    <w:rsid w:val="00C70227"/>
    <w:rsid w:val="00C70678"/>
    <w:rsid w:val="00C70792"/>
    <w:rsid w:val="00C70E40"/>
    <w:rsid w:val="00C73C16"/>
    <w:rsid w:val="00C81A7A"/>
    <w:rsid w:val="00C853A2"/>
    <w:rsid w:val="00C85E96"/>
    <w:rsid w:val="00C94AAF"/>
    <w:rsid w:val="00C97AC1"/>
    <w:rsid w:val="00CA0B6C"/>
    <w:rsid w:val="00CA7AB4"/>
    <w:rsid w:val="00CB19AE"/>
    <w:rsid w:val="00CC1877"/>
    <w:rsid w:val="00CC3B84"/>
    <w:rsid w:val="00CD163F"/>
    <w:rsid w:val="00CD1AFF"/>
    <w:rsid w:val="00CD3ECF"/>
    <w:rsid w:val="00CD657D"/>
    <w:rsid w:val="00CE0F06"/>
    <w:rsid w:val="00CF3417"/>
    <w:rsid w:val="00CF3835"/>
    <w:rsid w:val="00D02E92"/>
    <w:rsid w:val="00D05840"/>
    <w:rsid w:val="00D123E2"/>
    <w:rsid w:val="00D23393"/>
    <w:rsid w:val="00D25C29"/>
    <w:rsid w:val="00D26417"/>
    <w:rsid w:val="00D27F27"/>
    <w:rsid w:val="00D32ADB"/>
    <w:rsid w:val="00D42A16"/>
    <w:rsid w:val="00D546A1"/>
    <w:rsid w:val="00D56B43"/>
    <w:rsid w:val="00D6547D"/>
    <w:rsid w:val="00D71DE3"/>
    <w:rsid w:val="00D7529F"/>
    <w:rsid w:val="00D752ED"/>
    <w:rsid w:val="00D758F4"/>
    <w:rsid w:val="00D806BF"/>
    <w:rsid w:val="00D87133"/>
    <w:rsid w:val="00D9206D"/>
    <w:rsid w:val="00DA659C"/>
    <w:rsid w:val="00DB2291"/>
    <w:rsid w:val="00DB3348"/>
    <w:rsid w:val="00DB7DBB"/>
    <w:rsid w:val="00DD3BE2"/>
    <w:rsid w:val="00DD7C2A"/>
    <w:rsid w:val="00DE7A0B"/>
    <w:rsid w:val="00DF0133"/>
    <w:rsid w:val="00DF0AAC"/>
    <w:rsid w:val="00DF0EDC"/>
    <w:rsid w:val="00DF41F4"/>
    <w:rsid w:val="00E108D4"/>
    <w:rsid w:val="00E14AEA"/>
    <w:rsid w:val="00E21F67"/>
    <w:rsid w:val="00E24328"/>
    <w:rsid w:val="00E36B06"/>
    <w:rsid w:val="00E37363"/>
    <w:rsid w:val="00E42353"/>
    <w:rsid w:val="00E559F3"/>
    <w:rsid w:val="00E654EC"/>
    <w:rsid w:val="00E914EF"/>
    <w:rsid w:val="00E922CE"/>
    <w:rsid w:val="00E974CE"/>
    <w:rsid w:val="00EB1448"/>
    <w:rsid w:val="00EB24A3"/>
    <w:rsid w:val="00EB5554"/>
    <w:rsid w:val="00EB7DBF"/>
    <w:rsid w:val="00EC2FB3"/>
    <w:rsid w:val="00EE7547"/>
    <w:rsid w:val="00EF090B"/>
    <w:rsid w:val="00EF55E8"/>
    <w:rsid w:val="00F114D6"/>
    <w:rsid w:val="00F13A39"/>
    <w:rsid w:val="00F20EB8"/>
    <w:rsid w:val="00F31AC0"/>
    <w:rsid w:val="00F45112"/>
    <w:rsid w:val="00F53661"/>
    <w:rsid w:val="00F5438E"/>
    <w:rsid w:val="00F75A45"/>
    <w:rsid w:val="00F8309A"/>
    <w:rsid w:val="00F84C5A"/>
    <w:rsid w:val="00F85B9A"/>
    <w:rsid w:val="00F94448"/>
    <w:rsid w:val="00FB420D"/>
    <w:rsid w:val="00FB515A"/>
    <w:rsid w:val="00FC15A3"/>
    <w:rsid w:val="00FC349B"/>
    <w:rsid w:val="00FD2120"/>
    <w:rsid w:val="00FF0C44"/>
    <w:rsid w:val="00FF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67B4"/>
  <w15:chartTrackingRefBased/>
  <w15:docId w15:val="{6C455CEF-AE3A-446C-8FBA-364B3225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4A3"/>
  </w:style>
  <w:style w:type="paragraph" w:styleId="Heading1">
    <w:name w:val="heading 1"/>
    <w:basedOn w:val="Normal"/>
    <w:next w:val="Normal"/>
    <w:link w:val="Heading1Char"/>
    <w:uiPriority w:val="9"/>
    <w:qFormat/>
    <w:rsid w:val="00DB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2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2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22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22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2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2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2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2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2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2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2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2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2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2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2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2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2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291"/>
    <w:pPr>
      <w:spacing w:before="160"/>
      <w:jc w:val="center"/>
    </w:pPr>
    <w:rPr>
      <w:i/>
      <w:iCs/>
      <w:color w:val="404040" w:themeColor="text1" w:themeTint="BF"/>
    </w:rPr>
  </w:style>
  <w:style w:type="character" w:customStyle="1" w:styleId="QuoteChar">
    <w:name w:val="Quote Char"/>
    <w:basedOn w:val="DefaultParagraphFont"/>
    <w:link w:val="Quote"/>
    <w:uiPriority w:val="29"/>
    <w:rsid w:val="00DB2291"/>
    <w:rPr>
      <w:i/>
      <w:iCs/>
      <w:color w:val="404040" w:themeColor="text1" w:themeTint="BF"/>
    </w:rPr>
  </w:style>
  <w:style w:type="paragraph" w:styleId="ListParagraph">
    <w:name w:val="List Paragraph"/>
    <w:basedOn w:val="Normal"/>
    <w:uiPriority w:val="34"/>
    <w:qFormat/>
    <w:rsid w:val="00DB2291"/>
    <w:pPr>
      <w:ind w:left="720"/>
      <w:contextualSpacing/>
    </w:pPr>
  </w:style>
  <w:style w:type="character" w:styleId="IntenseEmphasis">
    <w:name w:val="Intense Emphasis"/>
    <w:basedOn w:val="DefaultParagraphFont"/>
    <w:uiPriority w:val="21"/>
    <w:qFormat/>
    <w:rsid w:val="00DB2291"/>
    <w:rPr>
      <w:i/>
      <w:iCs/>
      <w:color w:val="0F4761" w:themeColor="accent1" w:themeShade="BF"/>
    </w:rPr>
  </w:style>
  <w:style w:type="paragraph" w:styleId="IntenseQuote">
    <w:name w:val="Intense Quote"/>
    <w:basedOn w:val="Normal"/>
    <w:next w:val="Normal"/>
    <w:link w:val="IntenseQuoteChar"/>
    <w:uiPriority w:val="30"/>
    <w:qFormat/>
    <w:rsid w:val="00DB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291"/>
    <w:rPr>
      <w:i/>
      <w:iCs/>
      <w:color w:val="0F4761" w:themeColor="accent1" w:themeShade="BF"/>
    </w:rPr>
  </w:style>
  <w:style w:type="character" w:styleId="IntenseReference">
    <w:name w:val="Intense Reference"/>
    <w:basedOn w:val="DefaultParagraphFont"/>
    <w:uiPriority w:val="32"/>
    <w:qFormat/>
    <w:rsid w:val="00DB2291"/>
    <w:rPr>
      <w:b/>
      <w:bCs/>
      <w:smallCaps/>
      <w:color w:val="0F4761" w:themeColor="accent1" w:themeShade="BF"/>
      <w:spacing w:val="5"/>
    </w:rPr>
  </w:style>
  <w:style w:type="paragraph" w:customStyle="1" w:styleId="my-2">
    <w:name w:val="my-2"/>
    <w:basedOn w:val="Normal"/>
    <w:rsid w:val="00DB2291"/>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DB2291"/>
    <w:rPr>
      <w:b/>
      <w:bCs/>
    </w:rPr>
  </w:style>
  <w:style w:type="character" w:styleId="Emphasis">
    <w:name w:val="Emphasis"/>
    <w:basedOn w:val="DefaultParagraphFont"/>
    <w:uiPriority w:val="20"/>
    <w:qFormat/>
    <w:rsid w:val="00DB2291"/>
    <w:rPr>
      <w:i/>
      <w:iCs/>
    </w:rPr>
  </w:style>
  <w:style w:type="character" w:customStyle="1" w:styleId="text-box-trim-both">
    <w:name w:val="text-box-trim-both"/>
    <w:basedOn w:val="DefaultParagraphFont"/>
    <w:rsid w:val="00DB2291"/>
  </w:style>
  <w:style w:type="paragraph" w:styleId="Header">
    <w:name w:val="header"/>
    <w:basedOn w:val="Normal"/>
    <w:link w:val="HeaderChar"/>
    <w:uiPriority w:val="99"/>
    <w:unhideWhenUsed/>
    <w:rsid w:val="0070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75"/>
  </w:style>
  <w:style w:type="paragraph" w:styleId="Footer">
    <w:name w:val="footer"/>
    <w:basedOn w:val="Normal"/>
    <w:link w:val="FooterChar"/>
    <w:uiPriority w:val="99"/>
    <w:unhideWhenUsed/>
    <w:rsid w:val="0070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75"/>
  </w:style>
  <w:style w:type="paragraph" w:styleId="NoSpacing">
    <w:name w:val="No Spacing"/>
    <w:uiPriority w:val="1"/>
    <w:qFormat/>
    <w:rsid w:val="00D758F4"/>
    <w:pPr>
      <w:spacing w:after="0" w:line="240" w:lineRule="auto"/>
    </w:pPr>
    <w:rPr>
      <w:rFonts w:asciiTheme="minorHAnsi" w:hAnsiTheme="minorHAnsi" w:cstheme="minorBidi"/>
      <w:kern w:val="0"/>
      <w:szCs w:val="22"/>
      <w14:ligatures w14:val="none"/>
    </w:rPr>
  </w:style>
  <w:style w:type="character" w:styleId="Hyperlink">
    <w:name w:val="Hyperlink"/>
    <w:basedOn w:val="DefaultParagraphFont"/>
    <w:uiPriority w:val="99"/>
    <w:unhideWhenUsed/>
    <w:rsid w:val="00452034"/>
    <w:rPr>
      <w:color w:val="467886" w:themeColor="hyperlink"/>
      <w:u w:val="single"/>
    </w:rPr>
  </w:style>
  <w:style w:type="character" w:styleId="UnresolvedMention">
    <w:name w:val="Unresolved Mention"/>
    <w:basedOn w:val="DefaultParagraphFont"/>
    <w:uiPriority w:val="99"/>
    <w:semiHidden/>
    <w:unhideWhenUsed/>
    <w:rsid w:val="00452034"/>
    <w:rPr>
      <w:color w:val="605E5C"/>
      <w:shd w:val="clear" w:color="auto" w:fill="E1DFDD"/>
    </w:rPr>
  </w:style>
  <w:style w:type="paragraph" w:styleId="NormalWeb">
    <w:name w:val="Normal (Web)"/>
    <w:basedOn w:val="Normal"/>
    <w:uiPriority w:val="99"/>
    <w:unhideWhenUsed/>
    <w:rsid w:val="0031292E"/>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VerbatimChar">
    <w:name w:val="Verbatim Char"/>
    <w:rsid w:val="00D25C29"/>
    <w:rPr>
      <w:rFonts w:ascii="Consolas" w:hAnsi="Consolas"/>
      <w:sz w:val="22"/>
    </w:rPr>
  </w:style>
  <w:style w:type="paragraph" w:styleId="ListBullet">
    <w:name w:val="List Bullet"/>
    <w:basedOn w:val="Normal"/>
    <w:uiPriority w:val="99"/>
    <w:unhideWhenUsed/>
    <w:rsid w:val="00E922CE"/>
    <w:pPr>
      <w:numPr>
        <w:numId w:val="38"/>
      </w:numPr>
      <w:tabs>
        <w:tab w:val="clear" w:pos="360"/>
      </w:tabs>
      <w:spacing w:after="40" w:line="288" w:lineRule="auto"/>
      <w:ind w:left="0" w:firstLine="0"/>
      <w:contextualSpacing/>
    </w:pPr>
    <w:rPr>
      <w:rFonts w:eastAsia="Arial"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lasVanta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tlasVanta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Info@AtlasVantage.com" TargetMode="External"/><Relationship Id="rId2" Type="http://schemas.openxmlformats.org/officeDocument/2006/relationships/hyperlink" Target="http://www.AtlasVantage.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843</Words>
  <Characters>6146</Characters>
  <Application>Microsoft Office Word</Application>
  <DocSecurity>0</DocSecurity>
  <Lines>113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Alsan</dc:creator>
  <cp:keywords/>
  <dc:description/>
  <cp:lastModifiedBy>Bob Alsan</cp:lastModifiedBy>
  <cp:revision>276</cp:revision>
  <dcterms:created xsi:type="dcterms:W3CDTF">2026-04-08T12:07:00Z</dcterms:created>
  <dcterms:modified xsi:type="dcterms:W3CDTF">2026-04-08T20:53:00Z</dcterms:modified>
</cp:coreProperties>
</file>