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1ACA" w:rsidR="00CB1FDD" w:rsidP="00CD1ACA" w:rsidRDefault="00E51725" w14:paraId="1B4C4AE0" w14:textId="2CC10D7B">
      <w:pPr>
        <w:jc w:val="center"/>
        <w:rPr>
          <w:b/>
          <w:bCs/>
          <w:sz w:val="32"/>
          <w:szCs w:val="32"/>
        </w:rPr>
      </w:pPr>
      <w:r>
        <w:rPr>
          <w:b/>
          <w:bCs/>
          <w:sz w:val="32"/>
          <w:szCs w:val="32"/>
        </w:rPr>
        <w:t xml:space="preserve">Elmhurst Home, Inc. </w:t>
      </w:r>
    </w:p>
    <w:p w:rsidRPr="00CD1ACA" w:rsidR="000C283A" w:rsidP="00CD1ACA" w:rsidRDefault="000C283A" w14:paraId="4EAEB323" w14:textId="5A181258">
      <w:pPr>
        <w:jc w:val="center"/>
        <w:rPr>
          <w:b/>
          <w:bCs/>
          <w:sz w:val="32"/>
          <w:szCs w:val="32"/>
        </w:rPr>
      </w:pPr>
      <w:r w:rsidRPr="00CD1ACA">
        <w:rPr>
          <w:b/>
          <w:bCs/>
          <w:sz w:val="32"/>
          <w:szCs w:val="32"/>
        </w:rPr>
        <w:t>Annual PREA Report</w:t>
      </w:r>
    </w:p>
    <w:p w:rsidR="000C283A" w:rsidRDefault="000C283A" w14:paraId="68849262" w14:textId="4C8C7571">
      <w:r>
        <w:t>The following information is provided in accordance with PREA standards 115.287, 115.288, and 115.289:</w:t>
      </w:r>
    </w:p>
    <w:p w:rsidRPr="001556F8" w:rsidR="000C283A" w:rsidP="118FFF26" w:rsidRDefault="000C283A" w14:paraId="43825EA5" w14:textId="37938EDF">
      <w:pPr>
        <w:rPr>
          <w:b w:val="1"/>
          <w:bCs w:val="1"/>
        </w:rPr>
      </w:pPr>
      <w:r w:rsidR="118FFF26">
        <w:rPr/>
        <w:t xml:space="preserve">Investigations conducted from </w:t>
      </w:r>
      <w:r w:rsidRPr="118FFF26" w:rsidR="118FFF26">
        <w:rPr>
          <w:b w:val="1"/>
          <w:bCs w:val="1"/>
        </w:rPr>
        <w:t>October 1, 2024 – September 30, 2025</w:t>
      </w:r>
    </w:p>
    <w:tbl>
      <w:tblPr>
        <w:tblStyle w:val="TableGrid"/>
        <w:tblW w:w="9459" w:type="dxa"/>
        <w:tblLook w:val="04A0" w:firstRow="1" w:lastRow="0" w:firstColumn="1" w:lastColumn="0" w:noHBand="0" w:noVBand="1"/>
      </w:tblPr>
      <w:tblGrid>
        <w:gridCol w:w="2214"/>
        <w:gridCol w:w="1575"/>
        <w:gridCol w:w="1785"/>
        <w:gridCol w:w="1377"/>
        <w:gridCol w:w="1695"/>
        <w:gridCol w:w="813"/>
      </w:tblGrid>
      <w:tr w:rsidR="000C283A" w:rsidTr="118FFF26" w14:paraId="55B3B8BD" w14:textId="77777777">
        <w:trPr>
          <w:trHeight w:val="300"/>
        </w:trPr>
        <w:tc>
          <w:tcPr>
            <w:tcW w:w="2214" w:type="dxa"/>
            <w:tcMar/>
          </w:tcPr>
          <w:p w:rsidRPr="000C283A" w:rsidR="000C283A" w:rsidP="000C283A" w:rsidRDefault="000C283A" w14:paraId="61DDEAB0" w14:textId="77777777">
            <w:pPr>
              <w:rPr>
                <w:rFonts w:ascii="Arial" w:hAnsi="Arial" w:cs="Arial"/>
                <w:bCs/>
                <w:iCs/>
              </w:rPr>
            </w:pPr>
          </w:p>
        </w:tc>
        <w:tc>
          <w:tcPr>
            <w:tcW w:w="1575" w:type="dxa"/>
            <w:tcMar/>
          </w:tcPr>
          <w:p w:rsidR="000C283A" w:rsidRDefault="000C283A" w14:paraId="198156E7" w14:textId="328AFA7C">
            <w:r>
              <w:t>Substantiated</w:t>
            </w:r>
          </w:p>
        </w:tc>
        <w:tc>
          <w:tcPr>
            <w:tcW w:w="1785" w:type="dxa"/>
            <w:tcMar/>
          </w:tcPr>
          <w:p w:rsidR="000C283A" w:rsidRDefault="000C283A" w14:paraId="11EFA427" w14:textId="061BE526">
            <w:r>
              <w:t>Unsubstantiated</w:t>
            </w:r>
          </w:p>
        </w:tc>
        <w:tc>
          <w:tcPr>
            <w:tcW w:w="1377" w:type="dxa"/>
            <w:tcMar/>
          </w:tcPr>
          <w:p w:rsidR="000C283A" w:rsidRDefault="000C283A" w14:paraId="3179238B" w14:textId="241417FF">
            <w:r>
              <w:t>Unfounded</w:t>
            </w:r>
          </w:p>
        </w:tc>
        <w:tc>
          <w:tcPr>
            <w:tcW w:w="1695" w:type="dxa"/>
            <w:tcMar/>
          </w:tcPr>
          <w:p w:rsidR="000C283A" w:rsidP="00701B9F" w:rsidRDefault="000C283A" w14:paraId="3727BEA7" w14:textId="7F011D62">
            <w:r>
              <w:t>Other</w:t>
            </w:r>
            <w:r w:rsidR="00E206B0">
              <w:t>/</w:t>
            </w:r>
            <w:r w:rsidR="00701B9F">
              <w:t>Ongoing</w:t>
            </w:r>
          </w:p>
        </w:tc>
        <w:tc>
          <w:tcPr>
            <w:tcW w:w="813" w:type="dxa"/>
            <w:tcMar/>
          </w:tcPr>
          <w:p w:rsidR="000C283A" w:rsidRDefault="000C283A" w14:paraId="0F5547E4" w14:textId="301DBA6C">
            <w:r>
              <w:t>Total</w:t>
            </w:r>
          </w:p>
        </w:tc>
      </w:tr>
      <w:tr w:rsidR="000C283A" w:rsidTr="118FFF26" w14:paraId="6E95C7E2" w14:textId="77777777">
        <w:trPr>
          <w:trHeight w:val="300"/>
        </w:trPr>
        <w:tc>
          <w:tcPr>
            <w:tcW w:w="2214" w:type="dxa"/>
            <w:tcMar/>
          </w:tcPr>
          <w:p w:rsidRPr="000C283A" w:rsidR="000C283A" w:rsidP="000C283A" w:rsidRDefault="000C283A" w14:paraId="1E384790" w14:textId="77777777">
            <w:pPr>
              <w:rPr>
                <w:rFonts w:ascii="Arial" w:hAnsi="Arial" w:cs="Arial"/>
                <w:bCs/>
                <w:iCs/>
              </w:rPr>
            </w:pPr>
            <w:r w:rsidRPr="000C283A">
              <w:rPr>
                <w:rFonts w:ascii="Arial" w:hAnsi="Arial" w:cs="Arial"/>
                <w:bCs/>
                <w:iCs/>
              </w:rPr>
              <w:t>Resident on Resident Sexual Abuse</w:t>
            </w:r>
          </w:p>
          <w:p w:rsidRPr="000C283A" w:rsidR="000C283A" w:rsidP="000C283A" w:rsidRDefault="000C283A" w14:paraId="6D92536F" w14:textId="77777777"/>
        </w:tc>
        <w:tc>
          <w:tcPr>
            <w:tcW w:w="1575" w:type="dxa"/>
            <w:tcMar/>
          </w:tcPr>
          <w:p w:rsidR="000C283A" w:rsidRDefault="000C283A" w14:paraId="2197BFF0" w14:textId="02758722">
            <w:r>
              <w:t>0</w:t>
            </w:r>
          </w:p>
        </w:tc>
        <w:tc>
          <w:tcPr>
            <w:tcW w:w="1785" w:type="dxa"/>
            <w:tcMar/>
          </w:tcPr>
          <w:p w:rsidR="000C283A" w:rsidRDefault="000C283A" w14:paraId="55AB2258" w14:textId="212AA087">
            <w:r>
              <w:t>0</w:t>
            </w:r>
          </w:p>
        </w:tc>
        <w:tc>
          <w:tcPr>
            <w:tcW w:w="1377" w:type="dxa"/>
            <w:tcMar/>
          </w:tcPr>
          <w:p w:rsidR="000C283A" w:rsidRDefault="000C283A" w14:paraId="215160BD" w14:textId="7AB537D0">
            <w:r>
              <w:t>0</w:t>
            </w:r>
          </w:p>
        </w:tc>
        <w:tc>
          <w:tcPr>
            <w:tcW w:w="1695" w:type="dxa"/>
            <w:tcMar/>
          </w:tcPr>
          <w:p w:rsidR="000C283A" w:rsidRDefault="000C283A" w14:paraId="7C91B26F" w14:textId="11900F8D">
            <w:r>
              <w:t>0</w:t>
            </w:r>
          </w:p>
        </w:tc>
        <w:tc>
          <w:tcPr>
            <w:tcW w:w="813" w:type="dxa"/>
            <w:tcMar/>
          </w:tcPr>
          <w:p w:rsidR="000C283A" w:rsidRDefault="000C283A" w14:paraId="49F8F32C" w14:textId="7F858EDC">
            <w:r>
              <w:t>0</w:t>
            </w:r>
          </w:p>
        </w:tc>
      </w:tr>
      <w:tr w:rsidR="000C283A" w:rsidTr="118FFF26" w14:paraId="309937B3" w14:textId="77777777">
        <w:trPr>
          <w:trHeight w:val="300"/>
        </w:trPr>
        <w:tc>
          <w:tcPr>
            <w:tcW w:w="2214" w:type="dxa"/>
            <w:tcMar/>
          </w:tcPr>
          <w:p w:rsidRPr="000C283A" w:rsidR="000C283A" w:rsidP="000C283A" w:rsidRDefault="000C283A" w14:paraId="013DE8E7" w14:textId="77777777">
            <w:pPr>
              <w:rPr>
                <w:rFonts w:ascii="Arial" w:hAnsi="Arial" w:cs="Arial"/>
                <w:bCs/>
                <w:iCs/>
              </w:rPr>
            </w:pPr>
            <w:r w:rsidRPr="000C283A">
              <w:rPr>
                <w:rFonts w:ascii="Arial" w:hAnsi="Arial" w:cs="Arial"/>
                <w:bCs/>
                <w:iCs/>
              </w:rPr>
              <w:t>Resident on Resident Sexual Harassment</w:t>
            </w:r>
          </w:p>
          <w:p w:rsidRPr="000C283A" w:rsidR="000C283A" w:rsidP="000C283A" w:rsidRDefault="000C283A" w14:paraId="03220E55" w14:textId="77777777"/>
        </w:tc>
        <w:tc>
          <w:tcPr>
            <w:tcW w:w="1575" w:type="dxa"/>
            <w:tcMar/>
          </w:tcPr>
          <w:p w:rsidR="000C283A" w:rsidRDefault="000C283A" w14:paraId="4C8C95A4" w14:textId="71CDD660">
            <w:r>
              <w:t>0</w:t>
            </w:r>
          </w:p>
        </w:tc>
        <w:tc>
          <w:tcPr>
            <w:tcW w:w="1785" w:type="dxa"/>
            <w:tcMar/>
          </w:tcPr>
          <w:p w:rsidR="000C283A" w:rsidRDefault="000C283A" w14:paraId="4855885A" w14:textId="7B5D2B83">
            <w:r>
              <w:t>0</w:t>
            </w:r>
          </w:p>
        </w:tc>
        <w:tc>
          <w:tcPr>
            <w:tcW w:w="1377" w:type="dxa"/>
            <w:tcMar/>
          </w:tcPr>
          <w:p w:rsidR="000C283A" w:rsidRDefault="000C283A" w14:paraId="145CB206" w14:textId="152B12FD">
            <w:r>
              <w:t>0</w:t>
            </w:r>
          </w:p>
        </w:tc>
        <w:tc>
          <w:tcPr>
            <w:tcW w:w="1695" w:type="dxa"/>
            <w:tcMar/>
          </w:tcPr>
          <w:p w:rsidR="000C283A" w:rsidRDefault="000C283A" w14:paraId="05194751" w14:textId="5EB1546F">
            <w:r>
              <w:t>0</w:t>
            </w:r>
          </w:p>
        </w:tc>
        <w:tc>
          <w:tcPr>
            <w:tcW w:w="813" w:type="dxa"/>
            <w:tcMar/>
          </w:tcPr>
          <w:p w:rsidR="000C283A" w:rsidRDefault="000C283A" w14:paraId="4326550A" w14:textId="41C685A8">
            <w:r>
              <w:t>0</w:t>
            </w:r>
          </w:p>
        </w:tc>
      </w:tr>
      <w:tr w:rsidR="000C283A" w:rsidTr="118FFF26" w14:paraId="0C6056A2" w14:textId="77777777">
        <w:trPr>
          <w:trHeight w:val="300"/>
        </w:trPr>
        <w:tc>
          <w:tcPr>
            <w:tcW w:w="2214" w:type="dxa"/>
            <w:tcMar/>
          </w:tcPr>
          <w:p w:rsidRPr="000C283A" w:rsidR="000C283A" w:rsidP="000C283A" w:rsidRDefault="000C283A" w14:paraId="6D1314D6" w14:textId="77777777">
            <w:pPr>
              <w:rPr>
                <w:rFonts w:ascii="Arial" w:hAnsi="Arial" w:cs="Arial"/>
                <w:bCs/>
                <w:iCs/>
              </w:rPr>
            </w:pPr>
            <w:r w:rsidRPr="000C283A">
              <w:rPr>
                <w:rFonts w:ascii="Arial" w:hAnsi="Arial" w:cs="Arial"/>
                <w:bCs/>
                <w:iCs/>
              </w:rPr>
              <w:t>Resident on Resident Retaliation</w:t>
            </w:r>
          </w:p>
          <w:p w:rsidRPr="000C283A" w:rsidR="000C283A" w:rsidP="000C283A" w:rsidRDefault="000C283A" w14:paraId="00FAAA6B" w14:textId="77777777"/>
        </w:tc>
        <w:tc>
          <w:tcPr>
            <w:tcW w:w="1575" w:type="dxa"/>
            <w:tcMar/>
          </w:tcPr>
          <w:p w:rsidR="000C283A" w:rsidRDefault="000C283A" w14:paraId="2B687CED" w14:textId="00A61578">
            <w:r>
              <w:t>0</w:t>
            </w:r>
          </w:p>
        </w:tc>
        <w:tc>
          <w:tcPr>
            <w:tcW w:w="1785" w:type="dxa"/>
            <w:tcMar/>
          </w:tcPr>
          <w:p w:rsidR="000C283A" w:rsidRDefault="000C283A" w14:paraId="628D5076" w14:textId="405B43F0">
            <w:r>
              <w:t>0</w:t>
            </w:r>
          </w:p>
        </w:tc>
        <w:tc>
          <w:tcPr>
            <w:tcW w:w="1377" w:type="dxa"/>
            <w:tcMar/>
          </w:tcPr>
          <w:p w:rsidR="000C283A" w:rsidRDefault="000C283A" w14:paraId="6254A554" w14:textId="30842118">
            <w:r>
              <w:t>0</w:t>
            </w:r>
          </w:p>
        </w:tc>
        <w:tc>
          <w:tcPr>
            <w:tcW w:w="1695" w:type="dxa"/>
            <w:tcMar/>
          </w:tcPr>
          <w:p w:rsidR="000C283A" w:rsidRDefault="000C283A" w14:paraId="437F8C25" w14:textId="540119B6">
            <w:r>
              <w:t>0</w:t>
            </w:r>
          </w:p>
        </w:tc>
        <w:tc>
          <w:tcPr>
            <w:tcW w:w="813" w:type="dxa"/>
            <w:tcMar/>
          </w:tcPr>
          <w:p w:rsidR="000C283A" w:rsidRDefault="000C283A" w14:paraId="64578398" w14:textId="7802620F">
            <w:r>
              <w:t>0</w:t>
            </w:r>
          </w:p>
        </w:tc>
      </w:tr>
      <w:tr w:rsidR="000C283A" w:rsidTr="118FFF26" w14:paraId="4BA1F0E1" w14:textId="77777777">
        <w:trPr>
          <w:trHeight w:val="300"/>
        </w:trPr>
        <w:tc>
          <w:tcPr>
            <w:tcW w:w="2214" w:type="dxa"/>
            <w:tcMar/>
          </w:tcPr>
          <w:p w:rsidRPr="000C283A" w:rsidR="000C283A" w:rsidP="000C283A" w:rsidRDefault="000C283A" w14:paraId="50F5FD9B" w14:textId="77777777">
            <w:pPr>
              <w:rPr>
                <w:rFonts w:ascii="Arial" w:hAnsi="Arial" w:cs="Arial"/>
                <w:bCs/>
                <w:iCs/>
              </w:rPr>
            </w:pPr>
            <w:r w:rsidRPr="000C283A">
              <w:rPr>
                <w:rFonts w:ascii="Arial" w:hAnsi="Arial" w:cs="Arial"/>
                <w:bCs/>
                <w:iCs/>
              </w:rPr>
              <w:t xml:space="preserve">Staff on Resident Sexual Abuse </w:t>
            </w:r>
          </w:p>
          <w:p w:rsidRPr="000C283A" w:rsidR="000C283A" w:rsidP="000C283A" w:rsidRDefault="000C283A" w14:paraId="66E8345B" w14:textId="77777777"/>
        </w:tc>
        <w:tc>
          <w:tcPr>
            <w:tcW w:w="1575" w:type="dxa"/>
            <w:tcMar/>
          </w:tcPr>
          <w:p w:rsidR="000C283A" w:rsidRDefault="000C283A" w14:paraId="752D670A" w14:textId="7E92590F">
            <w:r>
              <w:t>0</w:t>
            </w:r>
          </w:p>
        </w:tc>
        <w:tc>
          <w:tcPr>
            <w:tcW w:w="1785" w:type="dxa"/>
            <w:tcMar/>
          </w:tcPr>
          <w:p w:rsidR="000C283A" w:rsidRDefault="000C283A" w14:paraId="69D6DE9F" w14:textId="084A3811">
            <w:r>
              <w:t>0</w:t>
            </w:r>
          </w:p>
        </w:tc>
        <w:tc>
          <w:tcPr>
            <w:tcW w:w="1377" w:type="dxa"/>
            <w:tcMar/>
          </w:tcPr>
          <w:p w:rsidR="000C283A" w:rsidRDefault="000C283A" w14:paraId="73275A7E" w14:textId="57F65D80">
            <w:r>
              <w:t>0</w:t>
            </w:r>
          </w:p>
        </w:tc>
        <w:tc>
          <w:tcPr>
            <w:tcW w:w="1695" w:type="dxa"/>
            <w:tcMar/>
          </w:tcPr>
          <w:p w:rsidR="000C283A" w:rsidRDefault="000C283A" w14:paraId="4A6A6BA3" w14:textId="494450D4">
            <w:r>
              <w:t>0</w:t>
            </w:r>
          </w:p>
        </w:tc>
        <w:tc>
          <w:tcPr>
            <w:tcW w:w="813" w:type="dxa"/>
            <w:tcMar/>
          </w:tcPr>
          <w:p w:rsidR="000C283A" w:rsidRDefault="000C283A" w14:paraId="47C780B8" w14:textId="0E78C619">
            <w:r>
              <w:t>0</w:t>
            </w:r>
          </w:p>
        </w:tc>
      </w:tr>
      <w:tr w:rsidR="000C283A" w:rsidTr="118FFF26" w14:paraId="76665DFB" w14:textId="77777777">
        <w:trPr>
          <w:trHeight w:val="300"/>
        </w:trPr>
        <w:tc>
          <w:tcPr>
            <w:tcW w:w="2214" w:type="dxa"/>
            <w:tcMar/>
          </w:tcPr>
          <w:p w:rsidRPr="000C283A" w:rsidR="000C283A" w:rsidP="000C283A" w:rsidRDefault="000C283A" w14:paraId="47E68E8F" w14:textId="77777777">
            <w:pPr>
              <w:rPr>
                <w:rFonts w:ascii="Arial" w:hAnsi="Arial" w:cs="Arial"/>
                <w:bCs/>
                <w:iCs/>
              </w:rPr>
            </w:pPr>
            <w:r w:rsidRPr="000C283A">
              <w:rPr>
                <w:rFonts w:ascii="Arial" w:hAnsi="Arial" w:cs="Arial"/>
                <w:bCs/>
                <w:iCs/>
              </w:rPr>
              <w:t>Staff on Resident Sexual Harassment</w:t>
            </w:r>
          </w:p>
          <w:p w:rsidRPr="000C283A" w:rsidR="000C283A" w:rsidRDefault="000C283A" w14:paraId="1EA2C002" w14:textId="77777777"/>
        </w:tc>
        <w:tc>
          <w:tcPr>
            <w:tcW w:w="1575" w:type="dxa"/>
            <w:tcMar/>
          </w:tcPr>
          <w:p w:rsidR="000C283A" w:rsidRDefault="000C283A" w14:paraId="64ACBF27" w14:textId="4F6F84B1">
            <w:r>
              <w:t>0</w:t>
            </w:r>
          </w:p>
        </w:tc>
        <w:tc>
          <w:tcPr>
            <w:tcW w:w="1785" w:type="dxa"/>
            <w:tcMar/>
          </w:tcPr>
          <w:p w:rsidR="000C283A" w:rsidRDefault="000C283A" w14:paraId="522E1E5F" w14:textId="22558A8B">
            <w:r>
              <w:t>0</w:t>
            </w:r>
          </w:p>
        </w:tc>
        <w:tc>
          <w:tcPr>
            <w:tcW w:w="1377" w:type="dxa"/>
            <w:tcMar/>
          </w:tcPr>
          <w:p w:rsidR="000C283A" w:rsidRDefault="000C283A" w14:paraId="4E500F3B" w14:textId="216DD1CA">
            <w:r>
              <w:t>0</w:t>
            </w:r>
          </w:p>
        </w:tc>
        <w:tc>
          <w:tcPr>
            <w:tcW w:w="1695" w:type="dxa"/>
            <w:tcMar/>
          </w:tcPr>
          <w:p w:rsidR="000C283A" w:rsidRDefault="00701B9F" w14:paraId="53DEB6B0" w14:textId="17F6CA3D">
            <w:r>
              <w:t>0</w:t>
            </w:r>
          </w:p>
        </w:tc>
        <w:tc>
          <w:tcPr>
            <w:tcW w:w="813" w:type="dxa"/>
            <w:tcMar/>
          </w:tcPr>
          <w:p w:rsidR="000C283A" w:rsidRDefault="00701B9F" w14:paraId="706539C6" w14:textId="00E5C558">
            <w:r>
              <w:t>0</w:t>
            </w:r>
          </w:p>
        </w:tc>
      </w:tr>
      <w:tr w:rsidR="000C283A" w:rsidTr="118FFF26" w14:paraId="1707B85B" w14:textId="77777777">
        <w:trPr>
          <w:trHeight w:val="300"/>
        </w:trPr>
        <w:tc>
          <w:tcPr>
            <w:tcW w:w="2214" w:type="dxa"/>
            <w:tcMar/>
          </w:tcPr>
          <w:p w:rsidRPr="000C283A" w:rsidR="000C283A" w:rsidP="000C283A" w:rsidRDefault="000C283A" w14:paraId="72F7D206" w14:textId="0A3FA07E">
            <w:pPr>
              <w:rPr>
                <w:rFonts w:ascii="Arial" w:hAnsi="Arial" w:cs="Arial"/>
                <w:bCs/>
                <w:iCs/>
              </w:rPr>
            </w:pPr>
            <w:r w:rsidRPr="000C283A">
              <w:rPr>
                <w:rFonts w:ascii="Arial" w:hAnsi="Arial" w:cs="Arial"/>
                <w:bCs/>
                <w:iCs/>
              </w:rPr>
              <w:t>Staff on Resident Sexual Retaliation</w:t>
            </w:r>
          </w:p>
          <w:p w:rsidRPr="000C283A" w:rsidR="000C283A" w:rsidRDefault="000C283A" w14:paraId="50306C88" w14:textId="77777777"/>
        </w:tc>
        <w:tc>
          <w:tcPr>
            <w:tcW w:w="1575" w:type="dxa"/>
            <w:tcMar/>
          </w:tcPr>
          <w:p w:rsidR="000C283A" w:rsidRDefault="000C283A" w14:paraId="6CC06B1B" w14:textId="0442636E">
            <w:r>
              <w:t>0</w:t>
            </w:r>
          </w:p>
        </w:tc>
        <w:tc>
          <w:tcPr>
            <w:tcW w:w="1785" w:type="dxa"/>
            <w:tcMar/>
          </w:tcPr>
          <w:p w:rsidR="000C283A" w:rsidRDefault="000C283A" w14:paraId="2CD9D283" w14:textId="46B0A9F9">
            <w:r>
              <w:t>0</w:t>
            </w:r>
          </w:p>
        </w:tc>
        <w:tc>
          <w:tcPr>
            <w:tcW w:w="1377" w:type="dxa"/>
            <w:tcMar/>
          </w:tcPr>
          <w:p w:rsidR="000C283A" w:rsidRDefault="000C283A" w14:paraId="3B6DAE0D" w14:textId="0D160781">
            <w:r>
              <w:t>0</w:t>
            </w:r>
          </w:p>
        </w:tc>
        <w:tc>
          <w:tcPr>
            <w:tcW w:w="1695" w:type="dxa"/>
            <w:tcMar/>
          </w:tcPr>
          <w:p w:rsidR="000C283A" w:rsidRDefault="000C283A" w14:paraId="5CADACDC" w14:textId="4197E190">
            <w:r>
              <w:t>0</w:t>
            </w:r>
          </w:p>
        </w:tc>
        <w:tc>
          <w:tcPr>
            <w:tcW w:w="813" w:type="dxa"/>
            <w:tcMar/>
          </w:tcPr>
          <w:p w:rsidR="000C283A" w:rsidRDefault="000C283A" w14:paraId="79BB06FB" w14:textId="243C8646">
            <w:r>
              <w:t>0</w:t>
            </w:r>
          </w:p>
        </w:tc>
      </w:tr>
    </w:tbl>
    <w:p w:rsidR="000C283A" w:rsidRDefault="000C283A" w14:paraId="6EFA789A" w14:textId="01ED205F"/>
    <w:p w:rsidR="00DF79D2" w:rsidP="000C283A" w:rsidRDefault="00DF79D2" w14:paraId="6AF9D86C" w14:textId="67E10E9B">
      <w:pPr>
        <w:spacing w:after="0" w:line="240" w:lineRule="auto"/>
        <w:rPr>
          <w:rFonts w:ascii="Arial" w:hAnsi="Arial" w:cs="Arial"/>
        </w:rPr>
      </w:pPr>
      <w:r>
        <w:rPr>
          <w:rFonts w:ascii="Arial" w:hAnsi="Arial" w:cs="Arial"/>
        </w:rPr>
        <w:t>Include definitions of categories described are based on the definitions</w:t>
      </w:r>
      <w:r w:rsidR="007867B3">
        <w:rPr>
          <w:rFonts w:ascii="Arial" w:hAnsi="Arial" w:cs="Arial"/>
        </w:rPr>
        <w:t xml:space="preserve"> noted in the PREA requirements and in </w:t>
      </w:r>
      <w:r w:rsidR="00701B9F">
        <w:rPr>
          <w:rFonts w:ascii="Arial" w:hAnsi="Arial" w:cs="Arial"/>
        </w:rPr>
        <w:t xml:space="preserve">the </w:t>
      </w:r>
      <w:r w:rsidR="007867B3">
        <w:rPr>
          <w:rFonts w:ascii="Arial" w:hAnsi="Arial" w:cs="Arial"/>
        </w:rPr>
        <w:t xml:space="preserve">policy. </w:t>
      </w:r>
    </w:p>
    <w:p w:rsidR="00272D7D" w:rsidP="000C283A" w:rsidRDefault="00272D7D" w14:paraId="6CDDD616" w14:textId="69B7D336">
      <w:pPr>
        <w:spacing w:after="0" w:line="240" w:lineRule="auto"/>
        <w:rPr>
          <w:rFonts w:ascii="Arial" w:hAnsi="Arial" w:cs="Arial"/>
        </w:rPr>
      </w:pPr>
      <w:r>
        <w:rPr>
          <w:rFonts w:ascii="Arial" w:hAnsi="Arial" w:cs="Arial"/>
        </w:rPr>
        <w:t xml:space="preserve">(1) </w:t>
      </w:r>
      <w:proofErr w:type="gramStart"/>
      <w:r>
        <w:rPr>
          <w:rFonts w:ascii="Arial" w:hAnsi="Arial" w:cs="Arial"/>
        </w:rPr>
        <w:t>problem</w:t>
      </w:r>
      <w:proofErr w:type="gramEnd"/>
      <w:r>
        <w:rPr>
          <w:rFonts w:ascii="Arial" w:hAnsi="Arial" w:cs="Arial"/>
        </w:rPr>
        <w:t xml:space="preserve"> areas</w:t>
      </w:r>
    </w:p>
    <w:p w:rsidR="00272D7D" w:rsidP="000C283A" w:rsidRDefault="00272D7D" w14:paraId="68EEFD3F" w14:textId="07E962EF">
      <w:pPr>
        <w:spacing w:after="0" w:line="240" w:lineRule="auto"/>
        <w:rPr>
          <w:rFonts w:ascii="Arial" w:hAnsi="Arial" w:cs="Arial"/>
        </w:rPr>
      </w:pPr>
      <w:r>
        <w:rPr>
          <w:rFonts w:ascii="Arial" w:hAnsi="Arial" w:cs="Arial"/>
        </w:rPr>
        <w:t xml:space="preserve">(2) </w:t>
      </w:r>
      <w:proofErr w:type="gramStart"/>
      <w:r w:rsidR="00056329">
        <w:rPr>
          <w:rFonts w:ascii="Arial" w:hAnsi="Arial" w:cs="Arial"/>
        </w:rPr>
        <w:t>ongoing</w:t>
      </w:r>
      <w:proofErr w:type="gramEnd"/>
      <w:r w:rsidR="00056329">
        <w:rPr>
          <w:rFonts w:ascii="Arial" w:hAnsi="Arial" w:cs="Arial"/>
        </w:rPr>
        <w:t xml:space="preserve"> corrective action</w:t>
      </w:r>
    </w:p>
    <w:p w:rsidR="00056329" w:rsidP="000C283A" w:rsidRDefault="00056329" w14:paraId="5163DC15" w14:textId="457D124B">
      <w:pPr>
        <w:spacing w:after="0" w:line="240" w:lineRule="auto"/>
        <w:rPr>
          <w:rFonts w:ascii="Arial" w:hAnsi="Arial" w:cs="Arial"/>
        </w:rPr>
      </w:pPr>
      <w:r>
        <w:rPr>
          <w:rFonts w:ascii="Arial" w:hAnsi="Arial" w:cs="Arial"/>
        </w:rPr>
        <w:t>(3)Report of findings and corrective action</w:t>
      </w:r>
    </w:p>
    <w:p w:rsidR="00056329" w:rsidP="000C283A" w:rsidRDefault="00056329" w14:paraId="5A08170B" w14:textId="77777777">
      <w:pPr>
        <w:spacing w:after="0" w:line="240" w:lineRule="auto"/>
        <w:rPr>
          <w:rFonts w:ascii="Arial" w:hAnsi="Arial" w:cs="Arial"/>
        </w:rPr>
      </w:pPr>
    </w:p>
    <w:p w:rsidR="00056329" w:rsidP="000C283A" w:rsidRDefault="00056329" w14:paraId="688356B5" w14:textId="77777777">
      <w:pPr>
        <w:spacing w:after="0" w:line="240" w:lineRule="auto"/>
        <w:rPr>
          <w:rFonts w:ascii="Arial" w:hAnsi="Arial" w:cs="Arial"/>
        </w:rPr>
      </w:pPr>
    </w:p>
    <w:p w:rsidR="000C283A" w:rsidP="000C283A" w:rsidRDefault="007F34A0" w14:paraId="650A1BEA" w14:textId="6E6597B1">
      <w:pPr>
        <w:spacing w:after="0" w:line="240" w:lineRule="auto"/>
        <w:rPr>
          <w:rFonts w:ascii="Arial" w:hAnsi="Arial" w:cs="Arial"/>
        </w:rPr>
      </w:pPr>
      <w:r w:rsidRPr="118FFF26" w:rsidR="118FFF26">
        <w:rPr>
          <w:rFonts w:ascii="Arial" w:hAnsi="Arial" w:cs="Arial"/>
        </w:rPr>
        <w:t xml:space="preserve">For </w:t>
      </w:r>
      <w:r w:rsidRPr="118FFF26" w:rsidR="118FFF26">
        <w:rPr>
          <w:rFonts w:ascii="Arial" w:hAnsi="Arial" w:cs="Arial"/>
        </w:rPr>
        <w:t>subsequent</w:t>
      </w:r>
      <w:r w:rsidRPr="118FFF26" w:rsidR="118FFF26">
        <w:rPr>
          <w:rFonts w:ascii="Arial" w:hAnsi="Arial" w:cs="Arial"/>
        </w:rPr>
        <w:t xml:space="preserve"> reports, an analysis of the previous year will need to be made</w:t>
      </w:r>
      <w:r w:rsidRPr="118FFF26" w:rsidR="118FFF26">
        <w:rPr>
          <w:rFonts w:ascii="Arial" w:hAnsi="Arial" w:cs="Arial"/>
        </w:rPr>
        <w:t xml:space="preserve">.  </w:t>
      </w:r>
      <w:r w:rsidRPr="118FFF26" w:rsidR="118FFF26">
        <w:rPr>
          <w:rFonts w:ascii="Arial" w:hAnsi="Arial" w:cs="Arial"/>
        </w:rPr>
        <w:t>For Annual Report October 1, 2023 – September 30, 2024, the following analysis is noted:</w:t>
      </w:r>
    </w:p>
    <w:p w:rsidR="001660A3" w:rsidP="000C283A" w:rsidRDefault="001660A3" w14:paraId="1C14C950" w14:textId="647BD083">
      <w:pPr>
        <w:spacing w:after="0" w:line="240" w:lineRule="auto"/>
        <w:rPr>
          <w:rFonts w:ascii="Arial" w:hAnsi="Arial" w:cs="Arial"/>
        </w:rPr>
      </w:pPr>
    </w:p>
    <w:p w:rsidR="001660A3" w:rsidP="001660A3" w:rsidRDefault="001660A3" w14:paraId="7CFB123E" w14:textId="160DD72F">
      <w:pPr>
        <w:spacing w:after="0" w:line="240" w:lineRule="auto"/>
        <w:ind w:left="720"/>
        <w:rPr>
          <w:rFonts w:ascii="Arial" w:hAnsi="Arial" w:cs="Arial"/>
        </w:rPr>
      </w:pPr>
      <w:r>
        <w:rPr>
          <w:rFonts w:ascii="Arial" w:hAnsi="Arial" w:cs="Arial"/>
        </w:rPr>
        <w:t>No reports were filed.</w:t>
      </w:r>
    </w:p>
    <w:p w:rsidR="00724598" w:rsidP="000C283A" w:rsidRDefault="00724598" w14:paraId="3F7569BB" w14:textId="77777777">
      <w:pPr>
        <w:spacing w:after="0" w:line="240" w:lineRule="auto"/>
        <w:rPr>
          <w:rFonts w:ascii="Arial" w:hAnsi="Arial" w:cs="Arial"/>
        </w:rPr>
      </w:pPr>
    </w:p>
    <w:p w:rsidR="001660A3" w:rsidP="000C283A" w:rsidRDefault="001660A3" w14:paraId="52018B42" w14:textId="77777777">
      <w:pPr>
        <w:spacing w:after="0" w:line="240" w:lineRule="auto"/>
        <w:rPr>
          <w:rFonts w:ascii="Arial" w:hAnsi="Arial" w:cs="Arial"/>
        </w:rPr>
      </w:pPr>
    </w:p>
    <w:p w:rsidR="001660A3" w:rsidP="000C283A" w:rsidRDefault="001660A3" w14:paraId="103A999E" w14:textId="77777777">
      <w:pPr>
        <w:spacing w:after="0" w:line="240" w:lineRule="auto"/>
        <w:rPr>
          <w:rFonts w:ascii="Arial" w:hAnsi="Arial" w:cs="Arial"/>
        </w:rPr>
      </w:pPr>
    </w:p>
    <w:p w:rsidR="00724598" w:rsidP="000C283A" w:rsidRDefault="00724598" w14:paraId="615C426A" w14:textId="4CA8EBA3">
      <w:pPr>
        <w:spacing w:after="0" w:line="240" w:lineRule="auto"/>
        <w:rPr>
          <w:rFonts w:ascii="Arial" w:hAnsi="Arial" w:cs="Arial"/>
        </w:rPr>
      </w:pPr>
      <w:r w:rsidRPr="118FFF26" w:rsidR="118FFF26">
        <w:rPr>
          <w:rFonts w:ascii="Arial" w:hAnsi="Arial" w:cs="Arial"/>
        </w:rPr>
        <w:t>Approved by: John C. Oden on 10/22/2025</w:t>
      </w:r>
    </w:p>
    <w:p w:rsidR="00111E2F" w:rsidP="000C283A" w:rsidRDefault="00111E2F" w14:paraId="754CF1C6" w14:textId="77777777">
      <w:pPr>
        <w:spacing w:after="0" w:line="240" w:lineRule="auto"/>
        <w:rPr>
          <w:rFonts w:ascii="Arial" w:hAnsi="Arial" w:cs="Arial"/>
        </w:rPr>
      </w:pPr>
    </w:p>
    <w:p w:rsidR="002D663E" w:rsidP="000C283A" w:rsidRDefault="002D663E" w14:paraId="673A0747" w14:textId="77777777">
      <w:pPr>
        <w:spacing w:after="0" w:line="240" w:lineRule="auto"/>
        <w:rPr>
          <w:rFonts w:ascii="Arial" w:hAnsi="Arial" w:cs="Arial"/>
        </w:rPr>
      </w:pPr>
    </w:p>
    <w:p w:rsidR="002D663E" w:rsidP="000C283A" w:rsidRDefault="002D663E" w14:paraId="0C4C3CA6" w14:textId="77777777">
      <w:pPr>
        <w:spacing w:after="0" w:line="240" w:lineRule="auto"/>
        <w:rPr>
          <w:rFonts w:ascii="Arial" w:hAnsi="Arial" w:cs="Arial"/>
        </w:rPr>
      </w:pPr>
    </w:p>
    <w:p w:rsidRPr="00B00309" w:rsidR="002D663E" w:rsidP="000C283A" w:rsidRDefault="002D663E" w14:paraId="70407EDE" w14:textId="342C2EC1">
      <w:pPr>
        <w:spacing w:after="0" w:line="240" w:lineRule="auto"/>
        <w:rPr>
          <w:sz w:val="20"/>
          <w:szCs w:val="20"/>
        </w:rPr>
      </w:pPr>
      <w:bookmarkStart w:name="_GoBack" w:id="0"/>
      <w:bookmarkEnd w:id="0"/>
      <w:r w:rsidRPr="00B00309">
        <w:rPr>
          <w:sz w:val="20"/>
          <w:szCs w:val="20"/>
        </w:rPr>
        <w:lastRenderedPageBreak/>
        <w:t xml:space="preserve">§ 115.287 Data collection. </w:t>
      </w:r>
    </w:p>
    <w:p w:rsidRPr="00B00309" w:rsidR="00DF208A" w:rsidP="000C283A" w:rsidRDefault="002D663E" w14:paraId="758B3BA1" w14:textId="77777777">
      <w:pPr>
        <w:spacing w:after="0" w:line="240" w:lineRule="auto"/>
        <w:rPr>
          <w:sz w:val="20"/>
          <w:szCs w:val="20"/>
        </w:rPr>
      </w:pPr>
      <w:r w:rsidRPr="00B00309">
        <w:rPr>
          <w:sz w:val="20"/>
          <w:szCs w:val="20"/>
        </w:rPr>
        <w:t xml:space="preserve">(a) The agency shall collect accurate, uniform data for every allegation of sexual abuse at facilities under its direct control using a standardized instrument and set of definitions. </w:t>
      </w:r>
    </w:p>
    <w:p w:rsidRPr="00B00309" w:rsidR="00DF208A" w:rsidP="000C283A" w:rsidRDefault="00DF208A" w14:paraId="14FC42C6" w14:textId="77777777">
      <w:pPr>
        <w:spacing w:after="0" w:line="240" w:lineRule="auto"/>
        <w:rPr>
          <w:sz w:val="20"/>
          <w:szCs w:val="20"/>
        </w:rPr>
      </w:pPr>
    </w:p>
    <w:p w:rsidRPr="00B00309" w:rsidR="006D5111" w:rsidP="000C283A" w:rsidRDefault="002D663E" w14:paraId="2B50D411" w14:textId="77777777">
      <w:pPr>
        <w:spacing w:after="0" w:line="240" w:lineRule="auto"/>
        <w:rPr>
          <w:sz w:val="20"/>
          <w:szCs w:val="20"/>
        </w:rPr>
      </w:pPr>
      <w:r w:rsidRPr="00B00309">
        <w:rPr>
          <w:sz w:val="20"/>
          <w:szCs w:val="20"/>
        </w:rPr>
        <w:t xml:space="preserve">(b) The agency shall aggregate the incident-based sexual abuse data at least annually. </w:t>
      </w:r>
    </w:p>
    <w:p w:rsidRPr="00B00309" w:rsidR="006D5111" w:rsidP="000C283A" w:rsidRDefault="006D5111" w14:paraId="117F4741" w14:textId="77777777">
      <w:pPr>
        <w:spacing w:after="0" w:line="240" w:lineRule="auto"/>
        <w:rPr>
          <w:sz w:val="20"/>
          <w:szCs w:val="20"/>
        </w:rPr>
      </w:pPr>
    </w:p>
    <w:p w:rsidRPr="00B00309" w:rsidR="006D5111" w:rsidP="000C283A" w:rsidRDefault="002D663E" w14:paraId="728B24B7" w14:textId="77777777">
      <w:pPr>
        <w:spacing w:after="0" w:line="240" w:lineRule="auto"/>
        <w:rPr>
          <w:sz w:val="20"/>
          <w:szCs w:val="20"/>
        </w:rPr>
      </w:pPr>
      <w:r w:rsidRPr="00B00309">
        <w:rPr>
          <w:sz w:val="20"/>
          <w:szCs w:val="20"/>
        </w:rPr>
        <w:t xml:space="preserve">(c) The incident-based data collected shall include, at a minimum, the data necessary to answer all questions from the most recent version of the Survey of Sexual Violence conducted by the Department of Justice. </w:t>
      </w:r>
    </w:p>
    <w:p w:rsidRPr="00B00309" w:rsidR="006D5111" w:rsidP="000C283A" w:rsidRDefault="006D5111" w14:paraId="7EB43FAE" w14:textId="77777777">
      <w:pPr>
        <w:spacing w:after="0" w:line="240" w:lineRule="auto"/>
        <w:rPr>
          <w:sz w:val="20"/>
          <w:szCs w:val="20"/>
        </w:rPr>
      </w:pPr>
    </w:p>
    <w:p w:rsidRPr="00B00309" w:rsidR="006D5111" w:rsidP="000C283A" w:rsidRDefault="002D663E" w14:paraId="6AF5F7F6" w14:textId="306E7CBA">
      <w:pPr>
        <w:spacing w:after="0" w:line="240" w:lineRule="auto"/>
        <w:rPr>
          <w:sz w:val="20"/>
          <w:szCs w:val="20"/>
        </w:rPr>
      </w:pPr>
      <w:r w:rsidRPr="00B00309">
        <w:rPr>
          <w:sz w:val="20"/>
          <w:szCs w:val="20"/>
        </w:rPr>
        <w:t xml:space="preserve">(d) The agency shall maintain, review, and collect data as needed from all available </w:t>
      </w:r>
      <w:r w:rsidR="00701B9F">
        <w:rPr>
          <w:sz w:val="20"/>
          <w:szCs w:val="20"/>
        </w:rPr>
        <w:t>incident-based</w:t>
      </w:r>
      <w:r w:rsidRPr="00B00309">
        <w:rPr>
          <w:sz w:val="20"/>
          <w:szCs w:val="20"/>
        </w:rPr>
        <w:t xml:space="preserve"> documents including </w:t>
      </w:r>
      <w:r w:rsidRPr="008F1142">
        <w:rPr>
          <w:sz w:val="20"/>
          <w:szCs w:val="20"/>
        </w:rPr>
        <w:t>reports, investigation files, and sexual abuse incident reviews.</w:t>
      </w:r>
      <w:r w:rsidRPr="00B00309">
        <w:rPr>
          <w:sz w:val="20"/>
          <w:szCs w:val="20"/>
        </w:rPr>
        <w:t xml:space="preserve"> </w:t>
      </w:r>
    </w:p>
    <w:p w:rsidRPr="00B00309" w:rsidR="006D5111" w:rsidP="000C283A" w:rsidRDefault="006D5111" w14:paraId="3EC727F1" w14:textId="77777777">
      <w:pPr>
        <w:spacing w:after="0" w:line="240" w:lineRule="auto"/>
        <w:rPr>
          <w:sz w:val="20"/>
          <w:szCs w:val="20"/>
        </w:rPr>
      </w:pPr>
    </w:p>
    <w:p w:rsidRPr="00B00309" w:rsidR="006D5111" w:rsidP="000C283A" w:rsidRDefault="002D663E" w14:paraId="2A9E74AD" w14:textId="77777777">
      <w:pPr>
        <w:spacing w:after="0" w:line="240" w:lineRule="auto"/>
        <w:rPr>
          <w:sz w:val="20"/>
          <w:szCs w:val="20"/>
        </w:rPr>
      </w:pPr>
      <w:r w:rsidRPr="00B00309">
        <w:rPr>
          <w:sz w:val="20"/>
          <w:szCs w:val="20"/>
        </w:rPr>
        <w:t xml:space="preserve">(e) The agency also shall obtain incident-based and aggregated data from every private facility with which it contracts for the confinement of its residents. </w:t>
      </w:r>
    </w:p>
    <w:p w:rsidRPr="00B00309" w:rsidR="006D5111" w:rsidP="000C283A" w:rsidRDefault="006D5111" w14:paraId="34E553AF" w14:textId="77777777">
      <w:pPr>
        <w:spacing w:after="0" w:line="240" w:lineRule="auto"/>
        <w:rPr>
          <w:sz w:val="20"/>
          <w:szCs w:val="20"/>
        </w:rPr>
      </w:pPr>
    </w:p>
    <w:p w:rsidRPr="00B00309" w:rsidR="006D5111" w:rsidP="000C283A" w:rsidRDefault="002D663E" w14:paraId="06539EC1" w14:textId="77777777">
      <w:pPr>
        <w:spacing w:after="0" w:line="240" w:lineRule="auto"/>
        <w:rPr>
          <w:sz w:val="20"/>
          <w:szCs w:val="20"/>
        </w:rPr>
      </w:pPr>
      <w:r w:rsidRPr="00B00309">
        <w:rPr>
          <w:sz w:val="20"/>
          <w:szCs w:val="20"/>
        </w:rPr>
        <w:t xml:space="preserve">(f) Upon request, the agency shall provide all such data from the previous calendar year to the Department of Justice no later than June 30. </w:t>
      </w:r>
    </w:p>
    <w:p w:rsidRPr="00B00309" w:rsidR="006D5111" w:rsidP="000C283A" w:rsidRDefault="006D5111" w14:paraId="3E73A925" w14:textId="77777777">
      <w:pPr>
        <w:spacing w:after="0" w:line="240" w:lineRule="auto"/>
        <w:rPr>
          <w:sz w:val="20"/>
          <w:szCs w:val="20"/>
        </w:rPr>
      </w:pPr>
    </w:p>
    <w:p w:rsidRPr="00B00309" w:rsidR="006D5111" w:rsidP="000C283A" w:rsidRDefault="002D663E" w14:paraId="2FC638EA" w14:textId="77777777">
      <w:pPr>
        <w:spacing w:after="0" w:line="240" w:lineRule="auto"/>
        <w:rPr>
          <w:sz w:val="20"/>
          <w:szCs w:val="20"/>
        </w:rPr>
      </w:pPr>
      <w:r w:rsidRPr="00B00309">
        <w:rPr>
          <w:sz w:val="20"/>
          <w:szCs w:val="20"/>
        </w:rPr>
        <w:t xml:space="preserve">§ 115.288 Data review for corrective action. </w:t>
      </w:r>
    </w:p>
    <w:p w:rsidRPr="00B00309" w:rsidR="00724598" w:rsidP="000C283A" w:rsidRDefault="002D663E" w14:paraId="52CDC99B" w14:textId="77777777">
      <w:pPr>
        <w:spacing w:after="0" w:line="240" w:lineRule="auto"/>
        <w:rPr>
          <w:sz w:val="20"/>
          <w:szCs w:val="20"/>
        </w:rPr>
      </w:pPr>
      <w:r w:rsidRPr="00B00309">
        <w:rPr>
          <w:sz w:val="20"/>
          <w:szCs w:val="20"/>
        </w:rPr>
        <w:t xml:space="preserve">(a) The agency shall review data collected and aggregated pursuant to § 115.287 in order to assess and improve the effectiveness of its sexual abuse prevention, detection, and response policies, practices, and training, including: </w:t>
      </w:r>
    </w:p>
    <w:p w:rsidRPr="00B00309" w:rsidR="00724598" w:rsidP="000C283A" w:rsidRDefault="002D663E" w14:paraId="3AA79245" w14:textId="77777777">
      <w:pPr>
        <w:spacing w:after="0" w:line="240" w:lineRule="auto"/>
        <w:rPr>
          <w:sz w:val="20"/>
          <w:szCs w:val="20"/>
        </w:rPr>
      </w:pPr>
      <w:r w:rsidRPr="00B00309">
        <w:rPr>
          <w:sz w:val="20"/>
          <w:szCs w:val="20"/>
        </w:rPr>
        <w:t xml:space="preserve">(1) Identifying problem areas; </w:t>
      </w:r>
    </w:p>
    <w:p w:rsidRPr="00B00309" w:rsidR="00724598" w:rsidP="000C283A" w:rsidRDefault="002D663E" w14:paraId="15207314" w14:textId="18EB8270">
      <w:pPr>
        <w:spacing w:after="0" w:line="240" w:lineRule="auto"/>
        <w:rPr>
          <w:sz w:val="20"/>
          <w:szCs w:val="20"/>
        </w:rPr>
      </w:pPr>
      <w:r w:rsidRPr="00B00309">
        <w:rPr>
          <w:sz w:val="20"/>
          <w:szCs w:val="20"/>
        </w:rPr>
        <w:t xml:space="preserve">(2) Taking corrective action on an ongoing basis; and </w:t>
      </w:r>
    </w:p>
    <w:p w:rsidRPr="00B00309" w:rsidR="00111E2F" w:rsidP="000C283A" w:rsidRDefault="002D663E" w14:paraId="5AD95DB7" w14:textId="77777777">
      <w:pPr>
        <w:spacing w:after="0" w:line="240" w:lineRule="auto"/>
        <w:rPr>
          <w:sz w:val="20"/>
          <w:szCs w:val="20"/>
        </w:rPr>
      </w:pPr>
      <w:r w:rsidRPr="00B00309">
        <w:rPr>
          <w:sz w:val="20"/>
          <w:szCs w:val="20"/>
        </w:rPr>
        <w:t xml:space="preserve">(3) Preparing an annual report of its findings and corrective actions for each facility, as well as the agency as a whole. </w:t>
      </w:r>
    </w:p>
    <w:p w:rsidRPr="00B00309" w:rsidR="00111E2F" w:rsidP="000C283A" w:rsidRDefault="00111E2F" w14:paraId="2800C577" w14:textId="77777777">
      <w:pPr>
        <w:spacing w:after="0" w:line="240" w:lineRule="auto"/>
        <w:rPr>
          <w:sz w:val="20"/>
          <w:szCs w:val="20"/>
        </w:rPr>
      </w:pPr>
    </w:p>
    <w:p w:rsidRPr="00B00309" w:rsidR="00111E2F" w:rsidP="000C283A" w:rsidRDefault="002D663E" w14:paraId="77DBE87A" w14:textId="77777777">
      <w:pPr>
        <w:spacing w:after="0" w:line="240" w:lineRule="auto"/>
        <w:rPr>
          <w:sz w:val="20"/>
          <w:szCs w:val="20"/>
        </w:rPr>
      </w:pPr>
      <w:r w:rsidRPr="00B00309">
        <w:rPr>
          <w:sz w:val="20"/>
          <w:szCs w:val="20"/>
        </w:rPr>
        <w:t xml:space="preserve">(b) Such report shall include a comparison of the current year’s data and corrective actions with those from prior years and shall provide an assessment of the agency’s progress in addressing sexual abuse. </w:t>
      </w:r>
    </w:p>
    <w:p w:rsidRPr="00B00309" w:rsidR="00111E2F" w:rsidP="000C283A" w:rsidRDefault="00111E2F" w14:paraId="25703543" w14:textId="77777777">
      <w:pPr>
        <w:spacing w:after="0" w:line="240" w:lineRule="auto"/>
        <w:rPr>
          <w:sz w:val="20"/>
          <w:szCs w:val="20"/>
        </w:rPr>
      </w:pPr>
    </w:p>
    <w:p w:rsidRPr="00B00309" w:rsidR="00111E2F" w:rsidP="000C283A" w:rsidRDefault="002D663E" w14:paraId="1D85DDC2" w14:textId="77777777">
      <w:pPr>
        <w:spacing w:after="0" w:line="240" w:lineRule="auto"/>
        <w:rPr>
          <w:sz w:val="20"/>
          <w:szCs w:val="20"/>
        </w:rPr>
      </w:pPr>
      <w:r w:rsidRPr="00B00309">
        <w:rPr>
          <w:sz w:val="20"/>
          <w:szCs w:val="20"/>
        </w:rPr>
        <w:t xml:space="preserve">(c) The agency’s report shall be approved by the agency head and made readily available to the public through its website or, if it does not have one, through other means. </w:t>
      </w:r>
    </w:p>
    <w:p w:rsidRPr="00B00309" w:rsidR="00111E2F" w:rsidP="000C283A" w:rsidRDefault="00111E2F" w14:paraId="1529B26C" w14:textId="77777777">
      <w:pPr>
        <w:spacing w:after="0" w:line="240" w:lineRule="auto"/>
        <w:rPr>
          <w:sz w:val="20"/>
          <w:szCs w:val="20"/>
        </w:rPr>
      </w:pPr>
    </w:p>
    <w:p w:rsidRPr="00B00309" w:rsidR="00D161FA" w:rsidP="000C283A" w:rsidRDefault="002D663E" w14:paraId="474AF01B" w14:textId="77777777">
      <w:pPr>
        <w:spacing w:after="0" w:line="240" w:lineRule="auto"/>
        <w:rPr>
          <w:sz w:val="20"/>
          <w:szCs w:val="20"/>
        </w:rPr>
      </w:pPr>
      <w:r w:rsidRPr="00B00309">
        <w:rPr>
          <w:sz w:val="20"/>
          <w:szCs w:val="20"/>
        </w:rPr>
        <w:t xml:space="preserve">(d) The agency may redact specific material from the reports when publication would present a clear and specific threat to the safety and security of a facility, but must indicate the nature of the material redacted. </w:t>
      </w:r>
    </w:p>
    <w:p w:rsidRPr="00B00309" w:rsidR="00D161FA" w:rsidP="000C283A" w:rsidRDefault="00D161FA" w14:paraId="503EC81D" w14:textId="77777777">
      <w:pPr>
        <w:spacing w:after="0" w:line="240" w:lineRule="auto"/>
        <w:rPr>
          <w:sz w:val="20"/>
          <w:szCs w:val="20"/>
        </w:rPr>
      </w:pPr>
    </w:p>
    <w:p w:rsidRPr="00B00309" w:rsidR="00D161FA" w:rsidP="000C283A" w:rsidRDefault="002D663E" w14:paraId="4115BB36" w14:textId="77777777">
      <w:pPr>
        <w:spacing w:after="0" w:line="240" w:lineRule="auto"/>
        <w:rPr>
          <w:sz w:val="20"/>
          <w:szCs w:val="20"/>
        </w:rPr>
      </w:pPr>
      <w:r w:rsidRPr="00B00309">
        <w:rPr>
          <w:sz w:val="20"/>
          <w:szCs w:val="20"/>
        </w:rPr>
        <w:t xml:space="preserve">§ 115.289 Data storage, publication, and destruction. </w:t>
      </w:r>
    </w:p>
    <w:p w:rsidRPr="00B00309" w:rsidR="00D161FA" w:rsidP="000C283A" w:rsidRDefault="002D663E" w14:paraId="38EC2B2D" w14:textId="77777777">
      <w:pPr>
        <w:spacing w:after="0" w:line="240" w:lineRule="auto"/>
        <w:rPr>
          <w:sz w:val="20"/>
          <w:szCs w:val="20"/>
        </w:rPr>
      </w:pPr>
      <w:r w:rsidRPr="00B00309">
        <w:rPr>
          <w:sz w:val="20"/>
          <w:szCs w:val="20"/>
        </w:rPr>
        <w:t xml:space="preserve">(a) The agency shall ensure that data collected pursuant to § 115.287 are securely retained. </w:t>
      </w:r>
    </w:p>
    <w:p w:rsidRPr="00B00309" w:rsidR="00D161FA" w:rsidP="000C283A" w:rsidRDefault="00D161FA" w14:paraId="793D1D25" w14:textId="77777777">
      <w:pPr>
        <w:spacing w:after="0" w:line="240" w:lineRule="auto"/>
        <w:rPr>
          <w:sz w:val="20"/>
          <w:szCs w:val="20"/>
        </w:rPr>
      </w:pPr>
    </w:p>
    <w:p w:rsidRPr="00B00309" w:rsidR="00D161FA" w:rsidP="000C283A" w:rsidRDefault="002D663E" w14:paraId="5059C95F" w14:textId="77777777">
      <w:pPr>
        <w:spacing w:after="0" w:line="240" w:lineRule="auto"/>
        <w:rPr>
          <w:sz w:val="20"/>
          <w:szCs w:val="20"/>
        </w:rPr>
      </w:pPr>
      <w:r w:rsidRPr="00B00309">
        <w:rPr>
          <w:sz w:val="20"/>
          <w:szCs w:val="20"/>
        </w:rPr>
        <w:t>(b) The agency shall make all aggregated sexual abuse data, from facilities under its direct control and private facilities with which it contracts, readily available to the public at least annually through its website or, if it does not have one, through other means.</w:t>
      </w:r>
    </w:p>
    <w:p w:rsidRPr="00B00309" w:rsidR="00D161FA" w:rsidP="000C283A" w:rsidRDefault="00D161FA" w14:paraId="2D56CC4B" w14:textId="77777777">
      <w:pPr>
        <w:spacing w:after="0" w:line="240" w:lineRule="auto"/>
        <w:rPr>
          <w:sz w:val="20"/>
          <w:szCs w:val="20"/>
        </w:rPr>
      </w:pPr>
    </w:p>
    <w:p w:rsidR="00D74DDE" w:rsidP="000C283A" w:rsidRDefault="002D663E" w14:paraId="1A59C197" w14:textId="603D5EE7">
      <w:pPr>
        <w:spacing w:after="0" w:line="240" w:lineRule="auto"/>
        <w:rPr>
          <w:b/>
          <w:bCs/>
          <w:sz w:val="20"/>
          <w:szCs w:val="20"/>
        </w:rPr>
      </w:pPr>
      <w:r w:rsidRPr="00B00309">
        <w:rPr>
          <w:sz w:val="20"/>
          <w:szCs w:val="20"/>
        </w:rPr>
        <w:t xml:space="preserve">(c) Before making aggregated sexual abuse data publicly available, the agency shall remove all personal identifiers. </w:t>
      </w:r>
    </w:p>
    <w:p w:rsidRPr="00B00309" w:rsidR="008F1142" w:rsidP="000C283A" w:rsidRDefault="008F1142" w14:paraId="2D6E9FB5" w14:textId="77777777">
      <w:pPr>
        <w:spacing w:after="0" w:line="240" w:lineRule="auto"/>
        <w:rPr>
          <w:b/>
          <w:bCs/>
          <w:sz w:val="20"/>
          <w:szCs w:val="20"/>
        </w:rPr>
      </w:pPr>
    </w:p>
    <w:p w:rsidRPr="008F1142" w:rsidR="000C283A" w:rsidP="000C283A" w:rsidRDefault="002D663E" w14:paraId="31A93729" w14:textId="052B2653">
      <w:pPr>
        <w:spacing w:after="0" w:line="240" w:lineRule="auto"/>
        <w:rPr>
          <w:rFonts w:ascii="Arial" w:hAnsi="Arial" w:cs="Arial"/>
          <w:b/>
          <w:bCs/>
          <w:sz w:val="20"/>
          <w:szCs w:val="20"/>
        </w:rPr>
      </w:pPr>
      <w:r w:rsidRPr="00B00309">
        <w:rPr>
          <w:sz w:val="20"/>
          <w:szCs w:val="20"/>
        </w:rPr>
        <w:t>(d) The agency shall maintain sexual abuse data collected pursuant to § 115.287 for at least 10 years after the date of the initial collection unless Federal, State, or local law requires otherwise.</w:t>
      </w:r>
      <w:r w:rsidRPr="00B00309" w:rsidR="00D74DDE">
        <w:rPr>
          <w:sz w:val="20"/>
          <w:szCs w:val="20"/>
        </w:rPr>
        <w:t xml:space="preserve">  </w:t>
      </w:r>
    </w:p>
    <w:p w:rsidRPr="00B00309" w:rsidR="000C283A" w:rsidRDefault="000C283A" w14:paraId="0901325D" w14:textId="77777777">
      <w:pPr>
        <w:rPr>
          <w:sz w:val="20"/>
          <w:szCs w:val="20"/>
        </w:rPr>
      </w:pPr>
    </w:p>
    <w:sectPr w:rsidRPr="00B00309" w:rsidR="000C283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3A"/>
    <w:rsid w:val="00056329"/>
    <w:rsid w:val="000C283A"/>
    <w:rsid w:val="00111E2F"/>
    <w:rsid w:val="001556F8"/>
    <w:rsid w:val="001660A3"/>
    <w:rsid w:val="001946F7"/>
    <w:rsid w:val="00272D7D"/>
    <w:rsid w:val="002A1218"/>
    <w:rsid w:val="002D663E"/>
    <w:rsid w:val="003B6BFD"/>
    <w:rsid w:val="004F418F"/>
    <w:rsid w:val="005C296D"/>
    <w:rsid w:val="006D5111"/>
    <w:rsid w:val="00701B9F"/>
    <w:rsid w:val="007167EC"/>
    <w:rsid w:val="00724598"/>
    <w:rsid w:val="00747533"/>
    <w:rsid w:val="007867B3"/>
    <w:rsid w:val="007F34A0"/>
    <w:rsid w:val="008F1142"/>
    <w:rsid w:val="0090059E"/>
    <w:rsid w:val="00B00309"/>
    <w:rsid w:val="00B47C37"/>
    <w:rsid w:val="00BE0315"/>
    <w:rsid w:val="00CB1FDD"/>
    <w:rsid w:val="00CD1ACA"/>
    <w:rsid w:val="00D161FA"/>
    <w:rsid w:val="00D56A6D"/>
    <w:rsid w:val="00D74DDE"/>
    <w:rsid w:val="00DF208A"/>
    <w:rsid w:val="00DF79D2"/>
    <w:rsid w:val="00E206B0"/>
    <w:rsid w:val="00E51725"/>
    <w:rsid w:val="00F67296"/>
    <w:rsid w:val="118FF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A6E28"/>
  <w15:chartTrackingRefBased/>
  <w15:docId w15:val="{125F583A-1907-4946-8CDD-4B609897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C28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16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Fairbanks</dc:creator>
  <keywords/>
  <dc:description/>
  <lastModifiedBy>Shirley Henderson</lastModifiedBy>
  <revision>5</revision>
  <dcterms:created xsi:type="dcterms:W3CDTF">2024-10-22T18:26:00.0000000Z</dcterms:created>
  <dcterms:modified xsi:type="dcterms:W3CDTF">2026-05-29T15:34:53.9819619Z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a55885425fb151b4e811e350edbdea95f91d9e88cfe4f6e137cbd2fa28dd64b9</vt:lpwstr>
  </property>
</Properties>
</file>