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EFCE" w14:textId="77777777" w:rsidR="00C667AB" w:rsidRDefault="008F6688">
      <w:pPr>
        <w:pStyle w:val="Heading1"/>
      </w:pPr>
      <w:r>
        <w:t>Appendix K: Cycle Count Playbook &amp; Replenishment Rules — Keep Truth Tight</w:t>
      </w:r>
    </w:p>
    <w:p w14:paraId="4E3773D9" w14:textId="77777777" w:rsidR="00C667AB" w:rsidRDefault="008F6688">
      <w:pPr>
        <w:pStyle w:val="Heading2"/>
      </w:pPr>
      <w:r>
        <w:t>Purpose</w:t>
      </w:r>
    </w:p>
    <w:p w14:paraId="406426A6" w14:textId="77777777" w:rsidR="00C667AB" w:rsidRDefault="008F6688">
      <w:r>
        <w:t>Inventory accuracy is credibility. When your WMS says it’s there, it must be there. This guide explains how to run disciplined, data-driven cycle counts and replenishment routines in an automated environment. The goal: tight counts, predictable replenishment, and zero firefighting.</w:t>
      </w:r>
    </w:p>
    <w:p w14:paraId="5D2B7E7A" w14:textId="77777777" w:rsidR="00C667AB" w:rsidRDefault="008F6688">
      <w:pPr>
        <w:pStyle w:val="Heading2"/>
      </w:pPr>
      <w:r>
        <w:t>1. Cycle Count Strategy</w:t>
      </w:r>
    </w:p>
    <w:p w14:paraId="689FF5CB" w14:textId="77777777" w:rsidR="00C667AB" w:rsidRDefault="008F6688">
      <w:pPr>
        <w:pStyle w:val="Heading3"/>
      </w:pPr>
      <w:r>
        <w:t>1.1 What to Count Daily</w:t>
      </w:r>
    </w:p>
    <w:p w14:paraId="5BA56707" w14:textId="77777777" w:rsidR="00C667AB" w:rsidRDefault="008F6688">
      <w:r>
        <w:t>Focus effort where error costs real money:</w:t>
      </w:r>
      <w:r>
        <w:br/>
        <w:t>• High-value items (&gt;$500)</w:t>
      </w:r>
      <w:r>
        <w:br/>
        <w:t>• High-velocity SKUs (A movers)</w:t>
      </w:r>
      <w:r>
        <w:br/>
        <w:t>• Random 5% of remaining SKUs for control sampling</w:t>
      </w:r>
      <w:r>
        <w:br/>
      </w:r>
      <w:r>
        <w:br/>
        <w:t>Use WMS-generated lists prioritized by dollar volume and pick frequency. RFID and handheld scanners speed up serialized-item verification.</w:t>
      </w:r>
    </w:p>
    <w:p w14:paraId="736E622A" w14:textId="77777777" w:rsidR="00C667AB" w:rsidRDefault="008F6688">
      <w:pPr>
        <w:pStyle w:val="Heading3"/>
      </w:pPr>
      <w:r>
        <w:t>1.2 Count Method</w:t>
      </w:r>
    </w:p>
    <w:p w14:paraId="6CB8D14D" w14:textId="77777777" w:rsidR="00C667AB" w:rsidRDefault="008F6688">
      <w:r>
        <w:t>• Blind counts only—counters never see system quantities.</w:t>
      </w:r>
      <w:r>
        <w:br/>
        <w:t>• Automatic second blind count if variance &gt; $50 or ±3 units.</w:t>
      </w:r>
      <w:r>
        <w:br/>
        <w:t>• Cause code required before any adjustment posts.</w:t>
      </w:r>
      <w:r>
        <w:br/>
      </w:r>
      <w:r>
        <w:br/>
        <w:t>Common cause codes:</w:t>
      </w:r>
      <w:r>
        <w:br/>
        <w:t>Receiving UOM error | Putaway miss | Replen shortage | Pick shortage | Damage pending disposition | Theft suspected.</w:t>
      </w:r>
    </w:p>
    <w:p w14:paraId="0942747B" w14:textId="77777777" w:rsidR="00C667AB" w:rsidRDefault="008F6688">
      <w:pPr>
        <w:pStyle w:val="Heading2"/>
      </w:pPr>
      <w:r>
        <w:t>2. Variance Resolution Discipline</w:t>
      </w:r>
    </w:p>
    <w:p w14:paraId="557B4FC0" w14:textId="77777777" w:rsidR="00C667AB" w:rsidRDefault="008F6688">
      <w:r>
        <w:t>1. Clear negatives daily. No location ends the day below zero.</w:t>
      </w:r>
      <w:r>
        <w:br/>
        <w:t>2. Investigate repeat variances weekly—root-cause by process, not person.</w:t>
      </w:r>
      <w:r>
        <w:br/>
        <w:t>3. Publish perpetual-accuracy scorecards monthly by zone and item class.</w:t>
      </w:r>
      <w:r>
        <w:br/>
        <w:t>4. Track accuracy trend line—target ≥ 99.5% verified by physical count.</w:t>
      </w:r>
      <w:r>
        <w:br/>
        <w:t>5. Escalate any recurring cause code. If the same issue appears twice, it’s a flow failure, not a counting mistake.</w:t>
      </w:r>
    </w:p>
    <w:p w14:paraId="76AF5402" w14:textId="77777777" w:rsidR="00C667AB" w:rsidRDefault="008F6688">
      <w:pPr>
        <w:pStyle w:val="Heading2"/>
      </w:pPr>
      <w:r>
        <w:lastRenderedPageBreak/>
        <w:t>3. Replenishment Rules</w:t>
      </w:r>
    </w:p>
    <w:p w14:paraId="3F36DA12" w14:textId="77777777" w:rsidR="00C667AB" w:rsidRDefault="008F6688">
      <w:pPr>
        <w:pStyle w:val="Heading3"/>
      </w:pPr>
      <w:r>
        <w:t>3.1 Timing</w:t>
      </w:r>
    </w:p>
    <w:p w14:paraId="3658BC6E" w14:textId="77777777" w:rsidR="00C667AB" w:rsidRDefault="008F6688">
      <w:r>
        <w:t>• Run before first wave and again after lunch dip.</w:t>
      </w:r>
      <w:r>
        <w:br/>
        <w:t>• Never replenish during active picking unless the face is empty.</w:t>
      </w:r>
      <w:r>
        <w:br/>
        <w:t>• Configure WMS threshold alerts for low-face triggers—avoid emergency replenishment.</w:t>
      </w:r>
    </w:p>
    <w:p w14:paraId="0541A447" w14:textId="77777777" w:rsidR="00C667AB" w:rsidRDefault="008F6688">
      <w:pPr>
        <w:pStyle w:val="Heading3"/>
      </w:pPr>
      <w:r>
        <w:t>3.2 Routing &amp; Safety</w:t>
      </w:r>
    </w:p>
    <w:p w14:paraId="4247E2E0" w14:textId="77777777" w:rsidR="00C667AB" w:rsidRDefault="008F6688">
      <w:r>
        <w:t>• Designate replenishment-only lanes and install mirrors at blind corners.</w:t>
      </w:r>
      <w:r>
        <w:br/>
        <w:t>• Enforce protected time windows during peaks—no pick traffic.</w:t>
      </w:r>
      <w:r>
        <w:br/>
        <w:t>• Keep bulk storage within 100 feet of forward pick zones to reduce travel and congestion.</w:t>
      </w:r>
    </w:p>
    <w:p w14:paraId="5AD79639" w14:textId="77777777" w:rsidR="00C667AB" w:rsidRDefault="008F6688">
      <w:pPr>
        <w:pStyle w:val="Heading3"/>
      </w:pPr>
      <w:r>
        <w:t>3.3 Parameter Tuning</w:t>
      </w:r>
    </w:p>
    <w:p w14:paraId="1BAAE34C" w14:textId="77777777" w:rsidR="00C667AB" w:rsidRDefault="008F6688">
      <w:r>
        <w:t>• Min = 0.5 × Max</w:t>
      </w:r>
      <w:r>
        <w:br/>
        <w:t>• Max = 1.2 days of forward demand for A-movers</w:t>
      </w:r>
      <w:r>
        <w:br/>
        <w:t>• Review top 50 SKUs weekly; tighten using actual consumption and replen trigger history.</w:t>
      </w:r>
      <w:r>
        <w:br/>
      </w:r>
      <w:r>
        <w:br/>
        <w:t>Automated reporting should flag SKUs hitting Max more than once per shift or never hitting Min—both indicate tuning drift.</w:t>
      </w:r>
    </w:p>
    <w:p w14:paraId="05DEA53E" w14:textId="77777777" w:rsidR="00C667AB" w:rsidRDefault="008F6688">
      <w:pPr>
        <w:pStyle w:val="Heading2"/>
      </w:pPr>
      <w:r>
        <w:t>4. Continuous Improvement</w:t>
      </w:r>
    </w:p>
    <w:p w14:paraId="4975EBB4" w14:textId="77777777" w:rsidR="00C667AB" w:rsidRDefault="008F6688">
      <w:r>
        <w:t>• Generate a monthly variance summary highlighting top 5 cause codes and corrective actions.</w:t>
      </w:r>
      <w:r>
        <w:br/>
        <w:t>• Trend accuracy % by zone and publish on the huddle board.</w:t>
      </w:r>
      <w:r>
        <w:br/>
        <w:t>• Audit workflow health quarterly:</w:t>
      </w:r>
      <w:r>
        <w:br/>
        <w:t xml:space="preserve">   – Cycle count completion rate</w:t>
      </w:r>
      <w:r>
        <w:br/>
        <w:t xml:space="preserve">   – Variance closure time</w:t>
      </w:r>
      <w:r>
        <w:br/>
        <w:t xml:space="preserve">   – WMS threshold compliance</w:t>
      </w:r>
      <w:r>
        <w:br/>
        <w:t xml:space="preserve">   – Operator error rate post-training</w:t>
      </w:r>
    </w:p>
    <w:p w14:paraId="4BE02A5D" w14:textId="77777777" w:rsidR="00C667AB" w:rsidRDefault="008F6688">
      <w:pPr>
        <w:pStyle w:val="Heading2"/>
      </w:pPr>
      <w:r>
        <w:t>5. Best-Practice Workflow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667AB" w14:paraId="7B7AB81E" w14:textId="77777777">
        <w:tc>
          <w:tcPr>
            <w:tcW w:w="2880" w:type="dxa"/>
          </w:tcPr>
          <w:p w14:paraId="71C600AF" w14:textId="77777777" w:rsidR="00C667AB" w:rsidRDefault="008F6688">
            <w:r>
              <w:t>Step</w:t>
            </w:r>
          </w:p>
        </w:tc>
        <w:tc>
          <w:tcPr>
            <w:tcW w:w="2880" w:type="dxa"/>
          </w:tcPr>
          <w:p w14:paraId="54151DAD" w14:textId="77777777" w:rsidR="00C667AB" w:rsidRDefault="008F6688">
            <w:r>
              <w:t>Action</w:t>
            </w:r>
          </w:p>
        </w:tc>
        <w:tc>
          <w:tcPr>
            <w:tcW w:w="2880" w:type="dxa"/>
          </w:tcPr>
          <w:p w14:paraId="49206976" w14:textId="77777777" w:rsidR="00C667AB" w:rsidRDefault="008F6688">
            <w:r>
              <w:t>Why It Matters</w:t>
            </w:r>
          </w:p>
        </w:tc>
      </w:tr>
      <w:tr w:rsidR="00C667AB" w14:paraId="5C1B4CA6" w14:textId="77777777">
        <w:tc>
          <w:tcPr>
            <w:tcW w:w="2880" w:type="dxa"/>
          </w:tcPr>
          <w:p w14:paraId="2DF65873" w14:textId="77777777" w:rsidR="00C667AB" w:rsidRDefault="008F6688">
            <w:r>
              <w:t>1</w:t>
            </w:r>
          </w:p>
        </w:tc>
        <w:tc>
          <w:tcPr>
            <w:tcW w:w="2880" w:type="dxa"/>
          </w:tcPr>
          <w:p w14:paraId="5EAC0FDD" w14:textId="77777777" w:rsidR="00C667AB" w:rsidRDefault="008F6688">
            <w:r>
              <w:t>Auto-generate count tasks nightly by ABC class</w:t>
            </w:r>
          </w:p>
        </w:tc>
        <w:tc>
          <w:tcPr>
            <w:tcW w:w="2880" w:type="dxa"/>
          </w:tcPr>
          <w:p w14:paraId="09E97432" w14:textId="77777777" w:rsidR="00C667AB" w:rsidRDefault="008F6688">
            <w:r>
              <w:t>Keeps coverage predictable</w:t>
            </w:r>
          </w:p>
        </w:tc>
      </w:tr>
      <w:tr w:rsidR="00C667AB" w14:paraId="1D354150" w14:textId="77777777">
        <w:tc>
          <w:tcPr>
            <w:tcW w:w="2880" w:type="dxa"/>
          </w:tcPr>
          <w:p w14:paraId="1E5855C5" w14:textId="77777777" w:rsidR="00C667AB" w:rsidRDefault="008F6688">
            <w:r>
              <w:t>2</w:t>
            </w:r>
          </w:p>
        </w:tc>
        <w:tc>
          <w:tcPr>
            <w:tcW w:w="2880" w:type="dxa"/>
          </w:tcPr>
          <w:p w14:paraId="3DDF3BC3" w14:textId="77777777" w:rsidR="00C667AB" w:rsidRDefault="008F6688">
            <w:r>
              <w:t>Pause open tasks in targeted zones</w:t>
            </w:r>
          </w:p>
        </w:tc>
        <w:tc>
          <w:tcPr>
            <w:tcW w:w="2880" w:type="dxa"/>
          </w:tcPr>
          <w:p w14:paraId="38046F79" w14:textId="77777777" w:rsidR="00C667AB" w:rsidRDefault="008F6688">
            <w:r>
              <w:t>Prevents double movement</w:t>
            </w:r>
          </w:p>
        </w:tc>
      </w:tr>
      <w:tr w:rsidR="00C667AB" w14:paraId="21F648D4" w14:textId="77777777">
        <w:tc>
          <w:tcPr>
            <w:tcW w:w="2880" w:type="dxa"/>
          </w:tcPr>
          <w:p w14:paraId="1F175110" w14:textId="77777777" w:rsidR="00C667AB" w:rsidRDefault="008F6688">
            <w:r>
              <w:t>3</w:t>
            </w:r>
          </w:p>
        </w:tc>
        <w:tc>
          <w:tcPr>
            <w:tcW w:w="2880" w:type="dxa"/>
          </w:tcPr>
          <w:p w14:paraId="5C8D92BA" w14:textId="77777777" w:rsidR="00C667AB" w:rsidRDefault="008F6688">
            <w:r>
              <w:t>Conduct blind count</w:t>
            </w:r>
          </w:p>
        </w:tc>
        <w:tc>
          <w:tcPr>
            <w:tcW w:w="2880" w:type="dxa"/>
          </w:tcPr>
          <w:p w14:paraId="3E42C116" w14:textId="77777777" w:rsidR="00C667AB" w:rsidRDefault="008F6688">
            <w:r>
              <w:t>Removes confirmation bias</w:t>
            </w:r>
          </w:p>
        </w:tc>
      </w:tr>
      <w:tr w:rsidR="00C667AB" w14:paraId="3EA7ED80" w14:textId="77777777">
        <w:tc>
          <w:tcPr>
            <w:tcW w:w="2880" w:type="dxa"/>
          </w:tcPr>
          <w:p w14:paraId="0054ACB5" w14:textId="77777777" w:rsidR="00C667AB" w:rsidRDefault="008F6688">
            <w:r>
              <w:t>4</w:t>
            </w:r>
          </w:p>
        </w:tc>
        <w:tc>
          <w:tcPr>
            <w:tcW w:w="2880" w:type="dxa"/>
          </w:tcPr>
          <w:p w14:paraId="4B725E5D" w14:textId="77777777" w:rsidR="00C667AB" w:rsidRDefault="008F6688">
            <w:r>
              <w:t>Auto-trigger recount on threshold breach</w:t>
            </w:r>
          </w:p>
        </w:tc>
        <w:tc>
          <w:tcPr>
            <w:tcW w:w="2880" w:type="dxa"/>
          </w:tcPr>
          <w:p w14:paraId="7D9B01FB" w14:textId="77777777" w:rsidR="00C667AB" w:rsidRDefault="008F6688">
            <w:r>
              <w:t>Standardizes integrity</w:t>
            </w:r>
          </w:p>
        </w:tc>
      </w:tr>
      <w:tr w:rsidR="00C667AB" w14:paraId="32512B42" w14:textId="77777777">
        <w:tc>
          <w:tcPr>
            <w:tcW w:w="2880" w:type="dxa"/>
          </w:tcPr>
          <w:p w14:paraId="4B4F0FF5" w14:textId="77777777" w:rsidR="00C667AB" w:rsidRDefault="008F6688">
            <w:r>
              <w:t>5</w:t>
            </w:r>
          </w:p>
        </w:tc>
        <w:tc>
          <w:tcPr>
            <w:tcW w:w="2880" w:type="dxa"/>
          </w:tcPr>
          <w:p w14:paraId="3323F648" w14:textId="77777777" w:rsidR="00C667AB" w:rsidRDefault="008F6688">
            <w:r>
              <w:t>Require cause-code entry</w:t>
            </w:r>
          </w:p>
        </w:tc>
        <w:tc>
          <w:tcPr>
            <w:tcW w:w="2880" w:type="dxa"/>
          </w:tcPr>
          <w:p w14:paraId="05ABFE8D" w14:textId="77777777" w:rsidR="00C667AB" w:rsidRDefault="008F6688">
            <w:r>
              <w:t>Forces learning</w:t>
            </w:r>
          </w:p>
        </w:tc>
      </w:tr>
      <w:tr w:rsidR="00C667AB" w14:paraId="0708CC21" w14:textId="77777777">
        <w:tc>
          <w:tcPr>
            <w:tcW w:w="2880" w:type="dxa"/>
          </w:tcPr>
          <w:p w14:paraId="6EF55A1E" w14:textId="77777777" w:rsidR="00C667AB" w:rsidRDefault="008F6688">
            <w:r>
              <w:t>6</w:t>
            </w:r>
          </w:p>
        </w:tc>
        <w:tc>
          <w:tcPr>
            <w:tcW w:w="2880" w:type="dxa"/>
          </w:tcPr>
          <w:p w14:paraId="558F1441" w14:textId="77777777" w:rsidR="00C667AB" w:rsidRDefault="008F6688">
            <w:r>
              <w:t>Approve/post with reason trace</w:t>
            </w:r>
          </w:p>
        </w:tc>
        <w:tc>
          <w:tcPr>
            <w:tcW w:w="2880" w:type="dxa"/>
          </w:tcPr>
          <w:p w14:paraId="6D08D60E" w14:textId="77777777" w:rsidR="00C667AB" w:rsidRDefault="008F6688">
            <w:r>
              <w:t>Keeps audit trail tight</w:t>
            </w:r>
          </w:p>
        </w:tc>
      </w:tr>
    </w:tbl>
    <w:p w14:paraId="778BB6F9" w14:textId="77777777" w:rsidR="00C667AB" w:rsidRDefault="008F6688">
      <w:pPr>
        <w:pStyle w:val="Heading2"/>
      </w:pPr>
      <w:r>
        <w:t>6. KPI Benchmarks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C667AB" w14:paraId="433B2DF9" w14:textId="77777777">
        <w:tc>
          <w:tcPr>
            <w:tcW w:w="2880" w:type="dxa"/>
          </w:tcPr>
          <w:p w14:paraId="45F75602" w14:textId="77777777" w:rsidR="00C667AB" w:rsidRDefault="008F6688">
            <w:r>
              <w:t>Metric</w:t>
            </w:r>
          </w:p>
        </w:tc>
        <w:tc>
          <w:tcPr>
            <w:tcW w:w="2880" w:type="dxa"/>
          </w:tcPr>
          <w:p w14:paraId="3CAB65C4" w14:textId="77777777" w:rsidR="00C667AB" w:rsidRDefault="008F6688">
            <w:r>
              <w:t>Target</w:t>
            </w:r>
          </w:p>
        </w:tc>
        <w:tc>
          <w:tcPr>
            <w:tcW w:w="2880" w:type="dxa"/>
          </w:tcPr>
          <w:p w14:paraId="166BDE48" w14:textId="77777777" w:rsidR="00C667AB" w:rsidRDefault="008F6688">
            <w:r>
              <w:t>Interpretation</w:t>
            </w:r>
          </w:p>
        </w:tc>
      </w:tr>
      <w:tr w:rsidR="00C667AB" w14:paraId="56E6AD07" w14:textId="77777777">
        <w:tc>
          <w:tcPr>
            <w:tcW w:w="2880" w:type="dxa"/>
          </w:tcPr>
          <w:p w14:paraId="505F7DAD" w14:textId="77777777" w:rsidR="00C667AB" w:rsidRDefault="008F6688">
            <w:r>
              <w:lastRenderedPageBreak/>
              <w:t>Perpetual Accuracy by Location</w:t>
            </w:r>
          </w:p>
        </w:tc>
        <w:tc>
          <w:tcPr>
            <w:tcW w:w="2880" w:type="dxa"/>
          </w:tcPr>
          <w:p w14:paraId="7A6535FA" w14:textId="77777777" w:rsidR="00C667AB" w:rsidRDefault="008F6688">
            <w:r>
              <w:t>≥ 99.5 %</w:t>
            </w:r>
          </w:p>
        </w:tc>
        <w:tc>
          <w:tcPr>
            <w:tcW w:w="2880" w:type="dxa"/>
          </w:tcPr>
          <w:p w14:paraId="17D4B9C0" w14:textId="77777777" w:rsidR="00C667AB" w:rsidRDefault="008F6688">
            <w:r>
              <w:t>True system trust</w:t>
            </w:r>
          </w:p>
        </w:tc>
      </w:tr>
      <w:tr w:rsidR="00C667AB" w14:paraId="4CF46C25" w14:textId="77777777">
        <w:tc>
          <w:tcPr>
            <w:tcW w:w="2880" w:type="dxa"/>
          </w:tcPr>
          <w:p w14:paraId="6A88BACF" w14:textId="77777777" w:rsidR="00C667AB" w:rsidRDefault="008F6688">
            <w:r>
              <w:t>Negative Inventory Cleared Daily</w:t>
            </w:r>
          </w:p>
        </w:tc>
        <w:tc>
          <w:tcPr>
            <w:tcW w:w="2880" w:type="dxa"/>
          </w:tcPr>
          <w:p w14:paraId="1A738C2A" w14:textId="77777777" w:rsidR="00C667AB" w:rsidRDefault="008F6688">
            <w:r>
              <w:t>100 %</w:t>
            </w:r>
          </w:p>
        </w:tc>
        <w:tc>
          <w:tcPr>
            <w:tcW w:w="2880" w:type="dxa"/>
          </w:tcPr>
          <w:p w14:paraId="5DD4EF7D" w14:textId="77777777" w:rsidR="00C667AB" w:rsidRDefault="008F6688">
            <w:r>
              <w:t>Zero negatives policy</w:t>
            </w:r>
          </w:p>
        </w:tc>
      </w:tr>
      <w:tr w:rsidR="00C667AB" w14:paraId="4A7AEA23" w14:textId="77777777">
        <w:tc>
          <w:tcPr>
            <w:tcW w:w="2880" w:type="dxa"/>
          </w:tcPr>
          <w:p w14:paraId="57E5AA32" w14:textId="77777777" w:rsidR="00C667AB" w:rsidRDefault="008F6688">
            <w:r>
              <w:t>Recount Compliance (&gt;$50 or ±3 units)</w:t>
            </w:r>
          </w:p>
        </w:tc>
        <w:tc>
          <w:tcPr>
            <w:tcW w:w="2880" w:type="dxa"/>
          </w:tcPr>
          <w:p w14:paraId="20BF2971" w14:textId="77777777" w:rsidR="00C667AB" w:rsidRDefault="008F6688">
            <w:r>
              <w:t>100 %</w:t>
            </w:r>
          </w:p>
        </w:tc>
        <w:tc>
          <w:tcPr>
            <w:tcW w:w="2880" w:type="dxa"/>
          </w:tcPr>
          <w:p w14:paraId="60A58F64" w14:textId="77777777" w:rsidR="00C667AB" w:rsidRDefault="008F6688">
            <w:r>
              <w:t>No skipped verifications</w:t>
            </w:r>
          </w:p>
        </w:tc>
      </w:tr>
      <w:tr w:rsidR="00C667AB" w14:paraId="7CD50228" w14:textId="77777777">
        <w:tc>
          <w:tcPr>
            <w:tcW w:w="2880" w:type="dxa"/>
          </w:tcPr>
          <w:p w14:paraId="68750F63" w14:textId="77777777" w:rsidR="00C667AB" w:rsidRDefault="008F6688">
            <w:r>
              <w:t>Replen Completion Before Wave Start</w:t>
            </w:r>
          </w:p>
        </w:tc>
        <w:tc>
          <w:tcPr>
            <w:tcW w:w="2880" w:type="dxa"/>
          </w:tcPr>
          <w:p w14:paraId="6DDC3E86" w14:textId="77777777" w:rsidR="00C667AB" w:rsidRDefault="008F6688">
            <w:r>
              <w:t>≥ 98 %</w:t>
            </w:r>
          </w:p>
        </w:tc>
        <w:tc>
          <w:tcPr>
            <w:tcW w:w="2880" w:type="dxa"/>
          </w:tcPr>
          <w:p w14:paraId="35579AA8" w14:textId="77777777" w:rsidR="00C667AB" w:rsidRDefault="008F6688">
            <w:r>
              <w:t>No start-of-wave delays</w:t>
            </w:r>
          </w:p>
        </w:tc>
      </w:tr>
      <w:tr w:rsidR="00C667AB" w14:paraId="402A5B4B" w14:textId="77777777">
        <w:tc>
          <w:tcPr>
            <w:tcW w:w="2880" w:type="dxa"/>
          </w:tcPr>
          <w:p w14:paraId="12C0C4A6" w14:textId="77777777" w:rsidR="00C667AB" w:rsidRDefault="008F6688">
            <w:r>
              <w:t>Variance Closure Within 24 hours</w:t>
            </w:r>
          </w:p>
        </w:tc>
        <w:tc>
          <w:tcPr>
            <w:tcW w:w="2880" w:type="dxa"/>
          </w:tcPr>
          <w:p w14:paraId="0844E18F" w14:textId="77777777" w:rsidR="00C667AB" w:rsidRDefault="008F6688">
            <w:r>
              <w:t>≥ 95 %</w:t>
            </w:r>
          </w:p>
        </w:tc>
        <w:tc>
          <w:tcPr>
            <w:tcW w:w="2880" w:type="dxa"/>
          </w:tcPr>
          <w:p w14:paraId="558DE8D7" w14:textId="77777777" w:rsidR="00C667AB" w:rsidRDefault="008F6688">
            <w:r>
              <w:t>Fast root-cause feedback</w:t>
            </w:r>
          </w:p>
        </w:tc>
      </w:tr>
    </w:tbl>
    <w:p w14:paraId="33FD2842" w14:textId="77777777" w:rsidR="00C667AB" w:rsidRDefault="008F6688">
      <w:pPr>
        <w:pStyle w:val="Heading2"/>
      </w:pPr>
      <w:r>
        <w:t>7. Field Tip</w:t>
      </w:r>
    </w:p>
    <w:p w14:paraId="11FE47EB" w14:textId="77777777" w:rsidR="00C667AB" w:rsidRDefault="008F6688">
      <w:r>
        <w:t>Counting isn’t about catching mistakes—it’s about proving control. Keep routines small, daily, and honest. The day you stop counting is the day the truth drifts.</w:t>
      </w:r>
    </w:p>
    <w:sectPr w:rsidR="00C667A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EC1E" w14:textId="77777777" w:rsidR="001C62AA" w:rsidRDefault="001C62AA" w:rsidP="001C62AA">
      <w:pPr>
        <w:spacing w:after="0" w:line="240" w:lineRule="auto"/>
      </w:pPr>
      <w:r>
        <w:separator/>
      </w:r>
    </w:p>
  </w:endnote>
  <w:endnote w:type="continuationSeparator" w:id="0">
    <w:p w14:paraId="7E319758" w14:textId="77777777" w:rsidR="001C62AA" w:rsidRDefault="001C62AA" w:rsidP="001C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A6F5" w14:textId="1974039F" w:rsidR="001C62AA" w:rsidRDefault="001C62AA" w:rsidP="001C62AA">
    <w:pPr>
      <w:pStyle w:val="Footer"/>
    </w:pPr>
    <w:r>
      <w:t>CAMM Consulting</w:t>
    </w:r>
  </w:p>
  <w:p w14:paraId="1F7B1078" w14:textId="79AA6866" w:rsidR="001C62AA" w:rsidRDefault="001C62AA">
    <w:pPr>
      <w:pStyle w:val="Footer"/>
    </w:pPr>
  </w:p>
  <w:p w14:paraId="4BC99C41" w14:textId="77777777" w:rsidR="001C62AA" w:rsidRDefault="001C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5342" w14:textId="77777777" w:rsidR="001C62AA" w:rsidRDefault="001C62AA" w:rsidP="001C62AA">
      <w:pPr>
        <w:spacing w:after="0" w:line="240" w:lineRule="auto"/>
      </w:pPr>
      <w:r>
        <w:separator/>
      </w:r>
    </w:p>
  </w:footnote>
  <w:footnote w:type="continuationSeparator" w:id="0">
    <w:p w14:paraId="260A7335" w14:textId="77777777" w:rsidR="001C62AA" w:rsidRDefault="001C62AA" w:rsidP="001C6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1895415">
    <w:abstractNumId w:val="8"/>
  </w:num>
  <w:num w:numId="2" w16cid:durableId="170725594">
    <w:abstractNumId w:val="6"/>
  </w:num>
  <w:num w:numId="3" w16cid:durableId="96216334">
    <w:abstractNumId w:val="5"/>
  </w:num>
  <w:num w:numId="4" w16cid:durableId="1585988981">
    <w:abstractNumId w:val="4"/>
  </w:num>
  <w:num w:numId="5" w16cid:durableId="885146341">
    <w:abstractNumId w:val="7"/>
  </w:num>
  <w:num w:numId="6" w16cid:durableId="1439989627">
    <w:abstractNumId w:val="3"/>
  </w:num>
  <w:num w:numId="7" w16cid:durableId="1614362491">
    <w:abstractNumId w:val="2"/>
  </w:num>
  <w:num w:numId="8" w16cid:durableId="863784602">
    <w:abstractNumId w:val="1"/>
  </w:num>
  <w:num w:numId="9" w16cid:durableId="3227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62AA"/>
    <w:rsid w:val="0029639D"/>
    <w:rsid w:val="00317DB0"/>
    <w:rsid w:val="00326F90"/>
    <w:rsid w:val="008F6688"/>
    <w:rsid w:val="00AA1D8D"/>
    <w:rsid w:val="00B47730"/>
    <w:rsid w:val="00C667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9F3A9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2980</Characters>
  <Application>Microsoft Office Word</Application>
  <DocSecurity>0</DocSecurity>
  <Lines>109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3</cp:revision>
  <dcterms:created xsi:type="dcterms:W3CDTF">2025-11-08T18:20:00Z</dcterms:created>
  <dcterms:modified xsi:type="dcterms:W3CDTF">2025-11-08T18:44:00Z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d3cf4f3f-dc61-402e-ad86-da70e80bb5b7</vt:lpwstr>
  </property>
</Properties>
</file>