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73F90" w14:textId="77777777" w:rsidR="007410B6" w:rsidRDefault="0023701F">
      <w:pPr>
        <w:pStyle w:val="Heading1"/>
      </w:pPr>
      <w:r>
        <w:t>Appendix N: 3PL Statement of Work and Scorecard — Be Clear or Be Disappointed</w:t>
      </w:r>
    </w:p>
    <w:p w14:paraId="5F8E362D" w14:textId="77777777" w:rsidR="007410B6" w:rsidRDefault="0023701F">
      <w:pPr>
        <w:pStyle w:val="Heading2"/>
      </w:pPr>
      <w:r>
        <w:t>Purpose</w:t>
      </w:r>
    </w:p>
    <w:p w14:paraId="6DC14565" w14:textId="77777777" w:rsidR="007410B6" w:rsidRDefault="0023701F">
      <w:r>
        <w:t>A 3PL partnership lives or dies by clarity. If expectations aren’t defined, measured, and reviewed, they will not be met. This document is a comprehensive guide to building an enforceable Statement of Work (SOW), defining measurable KPIs, and establishing a governance framework that drives accountability and continuous improvement. The goal is simple: eliminate confusion and prevent surprise costs.</w:t>
      </w:r>
    </w:p>
    <w:p w14:paraId="2A9026DC" w14:textId="77777777" w:rsidR="007410B6" w:rsidRDefault="0023701F">
      <w:pPr>
        <w:pStyle w:val="Heading2"/>
      </w:pPr>
      <w:r>
        <w:t>1. KPI Dictionary — Define Every Metric and Exclusion</w:t>
      </w:r>
    </w:p>
    <w:p w14:paraId="772F8070" w14:textId="77777777" w:rsidR="007410B6" w:rsidRDefault="0023701F">
      <w:r>
        <w:t>Most disputes stem from unclear KPIs. Define metrics, math, exclusions, and source systems in one place. All targets must be aligned to the operating calendar (peak, off-peak, shoulder season).</w:t>
      </w:r>
    </w:p>
    <w:tbl>
      <w:tblPr>
        <w:tblStyle w:val="TableGrid"/>
        <w:tblW w:w="0" w:type="auto"/>
        <w:tblLook w:val="04A0" w:firstRow="1" w:lastRow="0" w:firstColumn="1" w:lastColumn="0" w:noHBand="0" w:noVBand="1"/>
      </w:tblPr>
      <w:tblGrid>
        <w:gridCol w:w="2876"/>
        <w:gridCol w:w="2877"/>
        <w:gridCol w:w="2877"/>
      </w:tblGrid>
      <w:tr w:rsidR="007410B6" w14:paraId="66C06987" w14:textId="77777777">
        <w:tc>
          <w:tcPr>
            <w:tcW w:w="2880" w:type="dxa"/>
          </w:tcPr>
          <w:p w14:paraId="745F4391" w14:textId="77777777" w:rsidR="007410B6" w:rsidRDefault="0023701F">
            <w:r>
              <w:t>KPI</w:t>
            </w:r>
          </w:p>
        </w:tc>
        <w:tc>
          <w:tcPr>
            <w:tcW w:w="2880" w:type="dxa"/>
          </w:tcPr>
          <w:p w14:paraId="05B00DB0" w14:textId="77777777" w:rsidR="007410B6" w:rsidRDefault="0023701F">
            <w:r>
              <w:t>Definition</w:t>
            </w:r>
          </w:p>
        </w:tc>
        <w:tc>
          <w:tcPr>
            <w:tcW w:w="2880" w:type="dxa"/>
          </w:tcPr>
          <w:p w14:paraId="4E09BDBA" w14:textId="77777777" w:rsidR="007410B6" w:rsidRDefault="0023701F">
            <w:r>
              <w:t>Exclusions / Notes</w:t>
            </w:r>
          </w:p>
        </w:tc>
      </w:tr>
      <w:tr w:rsidR="007410B6" w14:paraId="3A4CD18D" w14:textId="77777777">
        <w:tc>
          <w:tcPr>
            <w:tcW w:w="2880" w:type="dxa"/>
          </w:tcPr>
          <w:p w14:paraId="7E9D3B87" w14:textId="77777777" w:rsidR="007410B6" w:rsidRDefault="0023701F">
            <w:r>
              <w:t>OTIF (On-Time In-Full)</w:t>
            </w:r>
          </w:p>
        </w:tc>
        <w:tc>
          <w:tcPr>
            <w:tcW w:w="2880" w:type="dxa"/>
          </w:tcPr>
          <w:p w14:paraId="7101A1ED" w14:textId="77777777" w:rsidR="007410B6" w:rsidRDefault="0023701F">
            <w:r>
              <w:t>Lines shipped on or before promise date ÷ total eligible lines.</w:t>
            </w:r>
          </w:p>
        </w:tc>
        <w:tc>
          <w:tcPr>
            <w:tcW w:w="2880" w:type="dxa"/>
          </w:tcPr>
          <w:p w14:paraId="66ADF2E9" w14:textId="77777777" w:rsidR="007410B6" w:rsidRDefault="0023701F">
            <w:r>
              <w:t>Exclude credit holds, weather, or customer delays.</w:t>
            </w:r>
          </w:p>
        </w:tc>
      </w:tr>
      <w:tr w:rsidR="007410B6" w14:paraId="5EAC5E9F" w14:textId="77777777">
        <w:tc>
          <w:tcPr>
            <w:tcW w:w="2880" w:type="dxa"/>
          </w:tcPr>
          <w:p w14:paraId="300FE032" w14:textId="77777777" w:rsidR="007410B6" w:rsidRDefault="0023701F">
            <w:r>
              <w:t>Dock to Stock</w:t>
            </w:r>
          </w:p>
        </w:tc>
        <w:tc>
          <w:tcPr>
            <w:tcW w:w="2880" w:type="dxa"/>
          </w:tcPr>
          <w:p w14:paraId="6C18AD10" w14:textId="77777777" w:rsidR="007410B6" w:rsidRDefault="0023701F">
            <w:r>
              <w:t>Median time from unload start to putaway complete.</w:t>
            </w:r>
          </w:p>
        </w:tc>
        <w:tc>
          <w:tcPr>
            <w:tcW w:w="2880" w:type="dxa"/>
          </w:tcPr>
          <w:p w14:paraId="09B422EC" w14:textId="77777777" w:rsidR="007410B6" w:rsidRDefault="0023701F">
            <w:r>
              <w:t>Exclude customs inspections or compliance rework.</w:t>
            </w:r>
          </w:p>
        </w:tc>
      </w:tr>
      <w:tr w:rsidR="007410B6" w14:paraId="026D39CC" w14:textId="77777777">
        <w:tc>
          <w:tcPr>
            <w:tcW w:w="2880" w:type="dxa"/>
          </w:tcPr>
          <w:p w14:paraId="15B6DE05" w14:textId="77777777" w:rsidR="007410B6" w:rsidRDefault="0023701F">
            <w:r>
              <w:t>First Pass Accuracy</w:t>
            </w:r>
          </w:p>
        </w:tc>
        <w:tc>
          <w:tcPr>
            <w:tcW w:w="2880" w:type="dxa"/>
          </w:tcPr>
          <w:p w14:paraId="23701AA5" w14:textId="77777777" w:rsidR="007410B6" w:rsidRDefault="0023701F">
            <w:r>
              <w:t>Cartons passing QC first time ÷ total cartons checked.</w:t>
            </w:r>
          </w:p>
        </w:tc>
        <w:tc>
          <w:tcPr>
            <w:tcW w:w="2880" w:type="dxa"/>
          </w:tcPr>
          <w:p w14:paraId="1EBAE198" w14:textId="77777777" w:rsidR="007410B6" w:rsidRDefault="0023701F">
            <w:r>
              <w:t>No exclusion allowed.</w:t>
            </w:r>
          </w:p>
        </w:tc>
      </w:tr>
      <w:tr w:rsidR="007410B6" w14:paraId="49316BB9" w14:textId="77777777">
        <w:tc>
          <w:tcPr>
            <w:tcW w:w="2880" w:type="dxa"/>
          </w:tcPr>
          <w:p w14:paraId="334EF5B7" w14:textId="77777777" w:rsidR="007410B6" w:rsidRDefault="0023701F">
            <w:r>
              <w:t>Inventory Accuracy</w:t>
            </w:r>
          </w:p>
        </w:tc>
        <w:tc>
          <w:tcPr>
            <w:tcW w:w="2880" w:type="dxa"/>
          </w:tcPr>
          <w:p w14:paraId="77354692" w14:textId="77777777" w:rsidR="007410B6" w:rsidRDefault="0023701F">
            <w:r>
              <w:t>Location match on blind count ÷ total counted locations.</w:t>
            </w:r>
          </w:p>
        </w:tc>
        <w:tc>
          <w:tcPr>
            <w:tcW w:w="2880" w:type="dxa"/>
          </w:tcPr>
          <w:p w14:paraId="51E13EC2" w14:textId="77777777" w:rsidR="007410B6" w:rsidRDefault="0023701F">
            <w:r>
              <w:t>Not extended dollar value; must be physical accuracy.</w:t>
            </w:r>
          </w:p>
        </w:tc>
      </w:tr>
    </w:tbl>
    <w:p w14:paraId="07FE6A7B" w14:textId="77777777" w:rsidR="007410B6" w:rsidRDefault="0023701F">
      <w:pPr>
        <w:pStyle w:val="Heading2"/>
      </w:pPr>
      <w:r>
        <w:t>2. Counterweights — Prevent KPI Gaming</w:t>
      </w:r>
    </w:p>
    <w:p w14:paraId="4647B518" w14:textId="77777777" w:rsidR="007410B6" w:rsidRDefault="0023701F">
      <w:r>
        <w:t>Each KPI has a counterweight to prevent gaming. Post these pairs on the scorecard so both sides see the trade-offs.</w:t>
      </w:r>
    </w:p>
    <w:p w14:paraId="47FB2D57" w14:textId="77777777" w:rsidR="007410B6" w:rsidRDefault="0023701F">
      <w:r>
        <w:t>• LPH ↔ First Pass Accuracy</w:t>
      </w:r>
      <w:r>
        <w:br/>
        <w:t>• Dock-to-Stock ↔ Receiving Accuracy</w:t>
      </w:r>
      <w:r>
        <w:br/>
        <w:t>• OTIF ↔ Carrier Reattempts</w:t>
      </w:r>
      <w:r>
        <w:br/>
        <w:t>• Inventory Accuracy ↔ Cycle Count Frequency</w:t>
      </w:r>
    </w:p>
    <w:p w14:paraId="0A07315C" w14:textId="77777777" w:rsidR="007410B6" w:rsidRDefault="0023701F">
      <w:pPr>
        <w:pStyle w:val="Heading2"/>
      </w:pPr>
      <w:r>
        <w:t>3. Weighted Scorecard Model</w:t>
      </w:r>
    </w:p>
    <w:p w14:paraId="50FD463A" w14:textId="77777777" w:rsidR="007410B6" w:rsidRDefault="0023701F">
      <w:r>
        <w:t>Weight KPIs by importance to focus on what truly matters. Use traffic-light colors for quick visibility and trend lines for accountability.</w:t>
      </w:r>
    </w:p>
    <w:tbl>
      <w:tblPr>
        <w:tblStyle w:val="TableGrid"/>
        <w:tblW w:w="0" w:type="auto"/>
        <w:tblLook w:val="04A0" w:firstRow="1" w:lastRow="0" w:firstColumn="1" w:lastColumn="0" w:noHBand="0" w:noVBand="1"/>
      </w:tblPr>
      <w:tblGrid>
        <w:gridCol w:w="2876"/>
        <w:gridCol w:w="2876"/>
        <w:gridCol w:w="2878"/>
      </w:tblGrid>
      <w:tr w:rsidR="007410B6" w14:paraId="22CFF478" w14:textId="77777777">
        <w:tc>
          <w:tcPr>
            <w:tcW w:w="2880" w:type="dxa"/>
          </w:tcPr>
          <w:p w14:paraId="1F7BF491" w14:textId="77777777" w:rsidR="007410B6" w:rsidRDefault="0023701F">
            <w:r>
              <w:t>Category</w:t>
            </w:r>
          </w:p>
        </w:tc>
        <w:tc>
          <w:tcPr>
            <w:tcW w:w="2880" w:type="dxa"/>
          </w:tcPr>
          <w:p w14:paraId="71621BD1" w14:textId="77777777" w:rsidR="007410B6" w:rsidRDefault="0023701F">
            <w:r>
              <w:t>Weight (%)</w:t>
            </w:r>
          </w:p>
        </w:tc>
        <w:tc>
          <w:tcPr>
            <w:tcW w:w="2880" w:type="dxa"/>
          </w:tcPr>
          <w:p w14:paraId="5BD20328" w14:textId="77777777" w:rsidR="007410B6" w:rsidRDefault="0023701F">
            <w:r>
              <w:t>Target Definition</w:t>
            </w:r>
          </w:p>
        </w:tc>
      </w:tr>
      <w:tr w:rsidR="007410B6" w14:paraId="7B7F2958" w14:textId="77777777">
        <w:tc>
          <w:tcPr>
            <w:tcW w:w="2880" w:type="dxa"/>
          </w:tcPr>
          <w:p w14:paraId="1EE25864" w14:textId="77777777" w:rsidR="007410B6" w:rsidRDefault="0023701F">
            <w:r>
              <w:lastRenderedPageBreak/>
              <w:t>Service</w:t>
            </w:r>
          </w:p>
        </w:tc>
        <w:tc>
          <w:tcPr>
            <w:tcW w:w="2880" w:type="dxa"/>
          </w:tcPr>
          <w:p w14:paraId="6C65C207" w14:textId="77777777" w:rsidR="007410B6" w:rsidRDefault="0023701F">
            <w:r>
              <w:t>40</w:t>
            </w:r>
          </w:p>
        </w:tc>
        <w:tc>
          <w:tcPr>
            <w:tcW w:w="2880" w:type="dxa"/>
          </w:tcPr>
          <w:p w14:paraId="16D16E3F" w14:textId="77777777" w:rsidR="007410B6" w:rsidRDefault="0023701F">
            <w:r>
              <w:t>On-time, in-full shipment rate</w:t>
            </w:r>
          </w:p>
        </w:tc>
      </w:tr>
      <w:tr w:rsidR="007410B6" w14:paraId="53095534" w14:textId="77777777">
        <w:tc>
          <w:tcPr>
            <w:tcW w:w="2880" w:type="dxa"/>
          </w:tcPr>
          <w:p w14:paraId="58621997" w14:textId="77777777" w:rsidR="007410B6" w:rsidRDefault="0023701F">
            <w:r>
              <w:t>Quality</w:t>
            </w:r>
          </w:p>
        </w:tc>
        <w:tc>
          <w:tcPr>
            <w:tcW w:w="2880" w:type="dxa"/>
          </w:tcPr>
          <w:p w14:paraId="467CA32D" w14:textId="77777777" w:rsidR="007410B6" w:rsidRDefault="0023701F">
            <w:r>
              <w:t>25</w:t>
            </w:r>
          </w:p>
        </w:tc>
        <w:tc>
          <w:tcPr>
            <w:tcW w:w="2880" w:type="dxa"/>
          </w:tcPr>
          <w:p w14:paraId="368CCFB6" w14:textId="77777777" w:rsidR="007410B6" w:rsidRDefault="0023701F">
            <w:r>
              <w:t>Accuracy at pick, pack, and inventory levels</w:t>
            </w:r>
          </w:p>
        </w:tc>
      </w:tr>
      <w:tr w:rsidR="007410B6" w14:paraId="434AD8CA" w14:textId="77777777">
        <w:tc>
          <w:tcPr>
            <w:tcW w:w="2880" w:type="dxa"/>
          </w:tcPr>
          <w:p w14:paraId="28168ECC" w14:textId="77777777" w:rsidR="007410B6" w:rsidRDefault="0023701F">
            <w:r>
              <w:t>Cost</w:t>
            </w:r>
          </w:p>
        </w:tc>
        <w:tc>
          <w:tcPr>
            <w:tcW w:w="2880" w:type="dxa"/>
          </w:tcPr>
          <w:p w14:paraId="0470F8F6" w14:textId="77777777" w:rsidR="007410B6" w:rsidRDefault="0023701F">
            <w:r>
              <w:t>20</w:t>
            </w:r>
          </w:p>
        </w:tc>
        <w:tc>
          <w:tcPr>
            <w:tcW w:w="2880" w:type="dxa"/>
          </w:tcPr>
          <w:p w14:paraId="7D0BA877" w14:textId="77777777" w:rsidR="007410B6" w:rsidRDefault="0023701F">
            <w:r>
              <w:t>Accessorials, labor efficiency, CI project ROI</w:t>
            </w:r>
          </w:p>
        </w:tc>
      </w:tr>
      <w:tr w:rsidR="007410B6" w14:paraId="6542E6A4" w14:textId="77777777">
        <w:tc>
          <w:tcPr>
            <w:tcW w:w="2880" w:type="dxa"/>
          </w:tcPr>
          <w:p w14:paraId="296B8517" w14:textId="77777777" w:rsidR="007410B6" w:rsidRDefault="0023701F">
            <w:r>
              <w:t>Speed</w:t>
            </w:r>
          </w:p>
        </w:tc>
        <w:tc>
          <w:tcPr>
            <w:tcW w:w="2880" w:type="dxa"/>
          </w:tcPr>
          <w:p w14:paraId="1CDD96AE" w14:textId="77777777" w:rsidR="007410B6" w:rsidRDefault="0023701F">
            <w:r>
              <w:t>10</w:t>
            </w:r>
          </w:p>
        </w:tc>
        <w:tc>
          <w:tcPr>
            <w:tcW w:w="2880" w:type="dxa"/>
          </w:tcPr>
          <w:p w14:paraId="7BEA4415" w14:textId="77777777" w:rsidR="007410B6" w:rsidRDefault="0023701F">
            <w:r>
              <w:t>Dock-to-stock, response to surge or outages</w:t>
            </w:r>
          </w:p>
        </w:tc>
      </w:tr>
      <w:tr w:rsidR="007410B6" w14:paraId="42B55519" w14:textId="77777777">
        <w:tc>
          <w:tcPr>
            <w:tcW w:w="2880" w:type="dxa"/>
          </w:tcPr>
          <w:p w14:paraId="52971C16" w14:textId="77777777" w:rsidR="007410B6" w:rsidRDefault="0023701F">
            <w:r>
              <w:t>Partnership</w:t>
            </w:r>
          </w:p>
        </w:tc>
        <w:tc>
          <w:tcPr>
            <w:tcW w:w="2880" w:type="dxa"/>
          </w:tcPr>
          <w:p w14:paraId="0A1D5129" w14:textId="77777777" w:rsidR="007410B6" w:rsidRDefault="0023701F">
            <w:r>
              <w:t>5</w:t>
            </w:r>
          </w:p>
        </w:tc>
        <w:tc>
          <w:tcPr>
            <w:tcW w:w="2880" w:type="dxa"/>
          </w:tcPr>
          <w:p w14:paraId="21BF4B38" w14:textId="77777777" w:rsidR="007410B6" w:rsidRDefault="0023701F">
            <w:r>
              <w:t>Communication, responsiveness, collaboration</w:t>
            </w:r>
          </w:p>
        </w:tc>
      </w:tr>
    </w:tbl>
    <w:p w14:paraId="418E6AF0" w14:textId="77777777" w:rsidR="007410B6" w:rsidRDefault="0023701F">
      <w:pPr>
        <w:pStyle w:val="Heading2"/>
      </w:pPr>
      <w:r>
        <w:t>4. Penalty and Bonus Collar</w:t>
      </w:r>
    </w:p>
    <w:p w14:paraId="0FA93E46" w14:textId="77777777" w:rsidR="007410B6" w:rsidRDefault="0023701F">
      <w:r>
        <w:t>To avoid disputes, use a collar with caps. Reward what’s controllable, penalize what’s not delivered. Credits and bonuses expire after 90 days.</w:t>
      </w:r>
    </w:p>
    <w:p w14:paraId="6AC6C909" w14:textId="77777777" w:rsidR="007410B6" w:rsidRDefault="0023701F">
      <w:r>
        <w:t>• Penalty: 1% rate reduction per OTIF point below target, capped at 8%.</w:t>
      </w:r>
      <w:r>
        <w:br/>
        <w:t>• Bonus: 0.5% per point above target, capped at 4%, requires green status on accuracy KPIs.</w:t>
      </w:r>
      <w:r>
        <w:br/>
        <w:t>• No double-dipping: only one adjustment per KPI per period.</w:t>
      </w:r>
      <w:r>
        <w:br/>
        <w:t>• Credits expire in 90 days to enforce real-time accountability.</w:t>
      </w:r>
    </w:p>
    <w:p w14:paraId="671B54A7" w14:textId="77777777" w:rsidR="007410B6" w:rsidRDefault="0023701F">
      <w:pPr>
        <w:pStyle w:val="Heading2"/>
      </w:pPr>
      <w:r>
        <w:t>5. Governance Cadence — Meetings That Drive Action</w:t>
      </w:r>
    </w:p>
    <w:p w14:paraId="1E8B8A93" w14:textId="77777777" w:rsidR="007410B6" w:rsidRDefault="0023701F">
      <w:r>
        <w:t>Governance turns metrics into action. Keep meetings short, visual, and accountable. Post minutes and commitments within 24 hours.</w:t>
      </w:r>
    </w:p>
    <w:tbl>
      <w:tblPr>
        <w:tblStyle w:val="TableGrid"/>
        <w:tblW w:w="0" w:type="auto"/>
        <w:tblLook w:val="04A0" w:firstRow="1" w:lastRow="0" w:firstColumn="1" w:lastColumn="0" w:noHBand="0" w:noVBand="1"/>
      </w:tblPr>
      <w:tblGrid>
        <w:gridCol w:w="2158"/>
        <w:gridCol w:w="2157"/>
        <w:gridCol w:w="2158"/>
        <w:gridCol w:w="2157"/>
      </w:tblGrid>
      <w:tr w:rsidR="007410B6" w14:paraId="7F803DD3" w14:textId="77777777">
        <w:tc>
          <w:tcPr>
            <w:tcW w:w="2160" w:type="dxa"/>
          </w:tcPr>
          <w:p w14:paraId="6A4FDF33" w14:textId="77777777" w:rsidR="007410B6" w:rsidRDefault="0023701F">
            <w:r>
              <w:t>Meeting</w:t>
            </w:r>
          </w:p>
        </w:tc>
        <w:tc>
          <w:tcPr>
            <w:tcW w:w="2160" w:type="dxa"/>
          </w:tcPr>
          <w:p w14:paraId="15329167" w14:textId="77777777" w:rsidR="007410B6" w:rsidRDefault="0023701F">
            <w:r>
              <w:t>Frequency</w:t>
            </w:r>
          </w:p>
        </w:tc>
        <w:tc>
          <w:tcPr>
            <w:tcW w:w="2160" w:type="dxa"/>
          </w:tcPr>
          <w:p w14:paraId="5000E925" w14:textId="77777777" w:rsidR="007410B6" w:rsidRDefault="0023701F">
            <w:r>
              <w:t>Purpose</w:t>
            </w:r>
          </w:p>
        </w:tc>
        <w:tc>
          <w:tcPr>
            <w:tcW w:w="2160" w:type="dxa"/>
          </w:tcPr>
          <w:p w14:paraId="4DFD0A48" w14:textId="77777777" w:rsidR="007410B6" w:rsidRDefault="0023701F">
            <w:r>
              <w:t>Duration</w:t>
            </w:r>
          </w:p>
        </w:tc>
      </w:tr>
      <w:tr w:rsidR="007410B6" w14:paraId="0ADE4360" w14:textId="77777777">
        <w:tc>
          <w:tcPr>
            <w:tcW w:w="2160" w:type="dxa"/>
          </w:tcPr>
          <w:p w14:paraId="75D0C767" w14:textId="77777777" w:rsidR="007410B6" w:rsidRDefault="0023701F">
            <w:r>
              <w:t>Operations Call</w:t>
            </w:r>
          </w:p>
        </w:tc>
        <w:tc>
          <w:tcPr>
            <w:tcW w:w="2160" w:type="dxa"/>
          </w:tcPr>
          <w:p w14:paraId="657EAF14" w14:textId="77777777" w:rsidR="007410B6" w:rsidRDefault="0023701F">
            <w:r>
              <w:t>Weekly</w:t>
            </w:r>
          </w:p>
        </w:tc>
        <w:tc>
          <w:tcPr>
            <w:tcW w:w="2160" w:type="dxa"/>
          </w:tcPr>
          <w:p w14:paraId="480F8B6D" w14:textId="77777777" w:rsidR="007410B6" w:rsidRDefault="0023701F">
            <w:r>
              <w:t>Review top 5 KPIs, top 3 issues, next 3 actions.</w:t>
            </w:r>
          </w:p>
        </w:tc>
        <w:tc>
          <w:tcPr>
            <w:tcW w:w="2160" w:type="dxa"/>
          </w:tcPr>
          <w:p w14:paraId="1764A36D" w14:textId="77777777" w:rsidR="007410B6" w:rsidRDefault="0023701F">
            <w:r>
              <w:t>30 min</w:t>
            </w:r>
          </w:p>
        </w:tc>
      </w:tr>
      <w:tr w:rsidR="007410B6" w14:paraId="75A8BA8D" w14:textId="77777777">
        <w:tc>
          <w:tcPr>
            <w:tcW w:w="2160" w:type="dxa"/>
          </w:tcPr>
          <w:p w14:paraId="0BCB64E3" w14:textId="77777777" w:rsidR="007410B6" w:rsidRDefault="0023701F">
            <w:r>
              <w:t>Staff Review</w:t>
            </w:r>
          </w:p>
        </w:tc>
        <w:tc>
          <w:tcPr>
            <w:tcW w:w="2160" w:type="dxa"/>
          </w:tcPr>
          <w:p w14:paraId="14EA15FC" w14:textId="77777777" w:rsidR="007410B6" w:rsidRDefault="0023701F">
            <w:r>
              <w:t>Monthly</w:t>
            </w:r>
          </w:p>
        </w:tc>
        <w:tc>
          <w:tcPr>
            <w:tcW w:w="2160" w:type="dxa"/>
          </w:tcPr>
          <w:p w14:paraId="735A1CE4" w14:textId="77777777" w:rsidR="007410B6" w:rsidRDefault="0023701F">
            <w:r>
              <w:t>Cost variance, CI project review, process tuning.</w:t>
            </w:r>
          </w:p>
        </w:tc>
        <w:tc>
          <w:tcPr>
            <w:tcW w:w="2160" w:type="dxa"/>
          </w:tcPr>
          <w:p w14:paraId="63134772" w14:textId="77777777" w:rsidR="007410B6" w:rsidRDefault="0023701F">
            <w:r>
              <w:t>60 min</w:t>
            </w:r>
          </w:p>
        </w:tc>
      </w:tr>
      <w:tr w:rsidR="007410B6" w14:paraId="74B7CB35" w14:textId="77777777">
        <w:tc>
          <w:tcPr>
            <w:tcW w:w="2160" w:type="dxa"/>
          </w:tcPr>
          <w:p w14:paraId="6509A0C4" w14:textId="77777777" w:rsidR="007410B6" w:rsidRDefault="0023701F">
            <w:r>
              <w:t>QBR</w:t>
            </w:r>
          </w:p>
        </w:tc>
        <w:tc>
          <w:tcPr>
            <w:tcW w:w="2160" w:type="dxa"/>
          </w:tcPr>
          <w:p w14:paraId="3D696E9F" w14:textId="77777777" w:rsidR="007410B6" w:rsidRDefault="0023701F">
            <w:r>
              <w:t>Quarterly</w:t>
            </w:r>
          </w:p>
        </w:tc>
        <w:tc>
          <w:tcPr>
            <w:tcW w:w="2160" w:type="dxa"/>
          </w:tcPr>
          <w:p w14:paraId="10C5A76D" w14:textId="77777777" w:rsidR="007410B6" w:rsidRDefault="0023701F">
            <w:r>
              <w:t>SLA trends, roadmap, risk register, approve new projects.</w:t>
            </w:r>
          </w:p>
        </w:tc>
        <w:tc>
          <w:tcPr>
            <w:tcW w:w="2160" w:type="dxa"/>
          </w:tcPr>
          <w:p w14:paraId="09B4B606" w14:textId="77777777" w:rsidR="007410B6" w:rsidRDefault="0023701F">
            <w:r>
              <w:t>90 min</w:t>
            </w:r>
          </w:p>
        </w:tc>
      </w:tr>
      <w:tr w:rsidR="007410B6" w14:paraId="260EE252" w14:textId="77777777">
        <w:tc>
          <w:tcPr>
            <w:tcW w:w="2160" w:type="dxa"/>
          </w:tcPr>
          <w:p w14:paraId="49FBB7F3" w14:textId="77777777" w:rsidR="007410B6" w:rsidRDefault="0023701F">
            <w:r>
              <w:t>Annual Review</w:t>
            </w:r>
          </w:p>
        </w:tc>
        <w:tc>
          <w:tcPr>
            <w:tcW w:w="2160" w:type="dxa"/>
          </w:tcPr>
          <w:p w14:paraId="58CCBD51" w14:textId="77777777" w:rsidR="007410B6" w:rsidRDefault="0023701F">
            <w:r>
              <w:t>Yearly</w:t>
            </w:r>
          </w:p>
        </w:tc>
        <w:tc>
          <w:tcPr>
            <w:tcW w:w="2160" w:type="dxa"/>
          </w:tcPr>
          <w:p w14:paraId="4187B6AD" w14:textId="77777777" w:rsidR="007410B6" w:rsidRDefault="0023701F">
            <w:r>
              <w:t>Contract audit, benchmarking, renewal or transition.</w:t>
            </w:r>
          </w:p>
        </w:tc>
        <w:tc>
          <w:tcPr>
            <w:tcW w:w="2160" w:type="dxa"/>
          </w:tcPr>
          <w:p w14:paraId="0E77D40E" w14:textId="77777777" w:rsidR="007410B6" w:rsidRDefault="0023701F">
            <w:r>
              <w:t>2 hr</w:t>
            </w:r>
          </w:p>
        </w:tc>
      </w:tr>
    </w:tbl>
    <w:p w14:paraId="240D3756" w14:textId="77777777" w:rsidR="007410B6" w:rsidRDefault="0023701F">
      <w:pPr>
        <w:pStyle w:val="Heading2"/>
      </w:pPr>
      <w:r>
        <w:t>6. Risk Register — Keep Risks Visible</w:t>
      </w:r>
    </w:p>
    <w:tbl>
      <w:tblPr>
        <w:tblStyle w:val="TableGrid"/>
        <w:tblW w:w="0" w:type="auto"/>
        <w:tblLook w:val="04A0" w:firstRow="1" w:lastRow="0" w:firstColumn="1" w:lastColumn="0" w:noHBand="0" w:noVBand="1"/>
      </w:tblPr>
      <w:tblGrid>
        <w:gridCol w:w="1439"/>
        <w:gridCol w:w="1439"/>
        <w:gridCol w:w="1437"/>
        <w:gridCol w:w="1438"/>
        <w:gridCol w:w="1439"/>
        <w:gridCol w:w="1438"/>
      </w:tblGrid>
      <w:tr w:rsidR="007410B6" w14:paraId="5D662D25" w14:textId="77777777">
        <w:tc>
          <w:tcPr>
            <w:tcW w:w="1440" w:type="dxa"/>
          </w:tcPr>
          <w:p w14:paraId="2A10A606" w14:textId="77777777" w:rsidR="007410B6" w:rsidRDefault="0023701F">
            <w:r>
              <w:t>Risk</w:t>
            </w:r>
          </w:p>
        </w:tc>
        <w:tc>
          <w:tcPr>
            <w:tcW w:w="1440" w:type="dxa"/>
          </w:tcPr>
          <w:p w14:paraId="5BBE0E78" w14:textId="77777777" w:rsidR="007410B6" w:rsidRDefault="0023701F">
            <w:r>
              <w:t>Likelihood</w:t>
            </w:r>
          </w:p>
        </w:tc>
        <w:tc>
          <w:tcPr>
            <w:tcW w:w="1440" w:type="dxa"/>
          </w:tcPr>
          <w:p w14:paraId="253DE6B7" w14:textId="77777777" w:rsidR="007410B6" w:rsidRDefault="0023701F">
            <w:r>
              <w:t>Impact</w:t>
            </w:r>
          </w:p>
        </w:tc>
        <w:tc>
          <w:tcPr>
            <w:tcW w:w="1440" w:type="dxa"/>
          </w:tcPr>
          <w:p w14:paraId="52C8BB25" w14:textId="77777777" w:rsidR="007410B6" w:rsidRDefault="0023701F">
            <w:r>
              <w:t>Owner</w:t>
            </w:r>
          </w:p>
        </w:tc>
        <w:tc>
          <w:tcPr>
            <w:tcW w:w="1440" w:type="dxa"/>
          </w:tcPr>
          <w:p w14:paraId="79C04AE9" w14:textId="77777777" w:rsidR="007410B6" w:rsidRDefault="0023701F">
            <w:r>
              <w:t>Mitigation</w:t>
            </w:r>
          </w:p>
        </w:tc>
        <w:tc>
          <w:tcPr>
            <w:tcW w:w="1440" w:type="dxa"/>
          </w:tcPr>
          <w:p w14:paraId="6106CFFE" w14:textId="77777777" w:rsidR="007410B6" w:rsidRDefault="0023701F">
            <w:r>
              <w:t>Trigger</w:t>
            </w:r>
          </w:p>
        </w:tc>
      </w:tr>
      <w:tr w:rsidR="007410B6" w14:paraId="78E71167" w14:textId="77777777">
        <w:tc>
          <w:tcPr>
            <w:tcW w:w="1440" w:type="dxa"/>
          </w:tcPr>
          <w:p w14:paraId="33DED788" w14:textId="77777777" w:rsidR="007410B6" w:rsidRDefault="0023701F">
            <w:r>
              <w:t>System Outage</w:t>
            </w:r>
          </w:p>
        </w:tc>
        <w:tc>
          <w:tcPr>
            <w:tcW w:w="1440" w:type="dxa"/>
          </w:tcPr>
          <w:p w14:paraId="06FF5640" w14:textId="77777777" w:rsidR="007410B6" w:rsidRDefault="0023701F">
            <w:r>
              <w:t>Medium</w:t>
            </w:r>
          </w:p>
        </w:tc>
        <w:tc>
          <w:tcPr>
            <w:tcW w:w="1440" w:type="dxa"/>
          </w:tcPr>
          <w:p w14:paraId="0C9C8090" w14:textId="77777777" w:rsidR="007410B6" w:rsidRDefault="0023701F">
            <w:r>
              <w:t>High</w:t>
            </w:r>
          </w:p>
        </w:tc>
        <w:tc>
          <w:tcPr>
            <w:tcW w:w="1440" w:type="dxa"/>
          </w:tcPr>
          <w:p w14:paraId="6AFCC756" w14:textId="77777777" w:rsidR="007410B6" w:rsidRDefault="0023701F">
            <w:r>
              <w:t>IT Manager</w:t>
            </w:r>
          </w:p>
        </w:tc>
        <w:tc>
          <w:tcPr>
            <w:tcW w:w="1440" w:type="dxa"/>
          </w:tcPr>
          <w:p w14:paraId="7E7822D4" w14:textId="77777777" w:rsidR="007410B6" w:rsidRDefault="0023701F">
            <w:r>
              <w:t>Offline process, 4-hour restore SLA</w:t>
            </w:r>
          </w:p>
        </w:tc>
        <w:tc>
          <w:tcPr>
            <w:tcW w:w="1440" w:type="dxa"/>
          </w:tcPr>
          <w:p w14:paraId="61DD1121" w14:textId="77777777" w:rsidR="007410B6" w:rsidRDefault="0023701F">
            <w:r>
              <w:t>Network loss</w:t>
            </w:r>
          </w:p>
        </w:tc>
      </w:tr>
      <w:tr w:rsidR="007410B6" w14:paraId="268E2E64" w14:textId="77777777">
        <w:tc>
          <w:tcPr>
            <w:tcW w:w="1440" w:type="dxa"/>
          </w:tcPr>
          <w:p w14:paraId="53938445" w14:textId="77777777" w:rsidR="007410B6" w:rsidRDefault="0023701F">
            <w:r>
              <w:lastRenderedPageBreak/>
              <w:t>Labor Shortage</w:t>
            </w:r>
          </w:p>
        </w:tc>
        <w:tc>
          <w:tcPr>
            <w:tcW w:w="1440" w:type="dxa"/>
          </w:tcPr>
          <w:p w14:paraId="5D461B9D" w14:textId="77777777" w:rsidR="007410B6" w:rsidRDefault="0023701F">
            <w:r>
              <w:t>High</w:t>
            </w:r>
          </w:p>
        </w:tc>
        <w:tc>
          <w:tcPr>
            <w:tcW w:w="1440" w:type="dxa"/>
          </w:tcPr>
          <w:p w14:paraId="659E39FD" w14:textId="77777777" w:rsidR="007410B6" w:rsidRDefault="0023701F">
            <w:r>
              <w:t>High</w:t>
            </w:r>
          </w:p>
        </w:tc>
        <w:tc>
          <w:tcPr>
            <w:tcW w:w="1440" w:type="dxa"/>
          </w:tcPr>
          <w:p w14:paraId="02238498" w14:textId="77777777" w:rsidR="007410B6" w:rsidRDefault="0023701F">
            <w:r>
              <w:t>Ops Lead</w:t>
            </w:r>
          </w:p>
        </w:tc>
        <w:tc>
          <w:tcPr>
            <w:tcW w:w="1440" w:type="dxa"/>
          </w:tcPr>
          <w:p w14:paraId="27A25AFD" w14:textId="77777777" w:rsidR="007410B6" w:rsidRDefault="0023701F">
            <w:r>
              <w:t>Temp labor contract, cross-training</w:t>
            </w:r>
          </w:p>
        </w:tc>
        <w:tc>
          <w:tcPr>
            <w:tcW w:w="1440" w:type="dxa"/>
          </w:tcPr>
          <w:p w14:paraId="1A89765B" w14:textId="77777777" w:rsidR="007410B6" w:rsidRDefault="0023701F">
            <w:r>
              <w:t>Peak surge</w:t>
            </w:r>
          </w:p>
        </w:tc>
      </w:tr>
    </w:tbl>
    <w:p w14:paraId="3796880C" w14:textId="77777777" w:rsidR="007410B6" w:rsidRDefault="0023701F">
      <w:pPr>
        <w:pStyle w:val="Heading2"/>
      </w:pPr>
      <w:r>
        <w:t>7. Transition In / Out Plan</w:t>
      </w:r>
    </w:p>
    <w:p w14:paraId="24EE0668" w14:textId="77777777" w:rsidR="007410B6" w:rsidRDefault="0023701F">
      <w:r>
        <w:t>Define both startup and exit steps before you sign the contract. Eliminate finger-pointing when the relationship changes.</w:t>
      </w:r>
    </w:p>
    <w:p w14:paraId="5A7899A6" w14:textId="77777777" w:rsidR="007410B6" w:rsidRDefault="0023701F">
      <w:r>
        <w:t>• 30/60/90 Launch Plan: mapping validation, shadow billing, parallel run.</w:t>
      </w:r>
      <w:r>
        <w:br/>
        <w:t>• Exit Plan: full data export, API key deactivation, user offboarding, archive retention for 24 months.</w:t>
      </w:r>
      <w:r>
        <w:br/>
        <w:t>• Deliverables: item master, open orders, shipment history, label templates, and EDI maps.</w:t>
      </w:r>
      <w:r>
        <w:br/>
        <w:t>• All access closed by 23:59 on the final day.</w:t>
      </w:r>
    </w:p>
    <w:p w14:paraId="5FAB5549" w14:textId="77777777" w:rsidR="007410B6" w:rsidRDefault="0023701F">
      <w:pPr>
        <w:pStyle w:val="Heading2"/>
      </w:pPr>
      <w:r>
        <w:t>8. Technology Service Level Objectives (SLOs)</w:t>
      </w:r>
    </w:p>
    <w:p w14:paraId="4AF3C582" w14:textId="77777777" w:rsidR="007410B6" w:rsidRDefault="0023701F">
      <w:r>
        <w:t>API and integration health defines your speed. Write technology SLAs like operational KPIs.</w:t>
      </w:r>
    </w:p>
    <w:tbl>
      <w:tblPr>
        <w:tblStyle w:val="TableGrid"/>
        <w:tblW w:w="0" w:type="auto"/>
        <w:tblLook w:val="04A0" w:firstRow="1" w:lastRow="0" w:firstColumn="1" w:lastColumn="0" w:noHBand="0" w:noVBand="1"/>
      </w:tblPr>
      <w:tblGrid>
        <w:gridCol w:w="2877"/>
        <w:gridCol w:w="2876"/>
        <w:gridCol w:w="2877"/>
      </w:tblGrid>
      <w:tr w:rsidR="007410B6" w14:paraId="1DFAD497" w14:textId="77777777">
        <w:tc>
          <w:tcPr>
            <w:tcW w:w="2880" w:type="dxa"/>
          </w:tcPr>
          <w:p w14:paraId="04ECECF7" w14:textId="77777777" w:rsidR="007410B6" w:rsidRDefault="0023701F">
            <w:r>
              <w:t>Metric</w:t>
            </w:r>
          </w:p>
        </w:tc>
        <w:tc>
          <w:tcPr>
            <w:tcW w:w="2880" w:type="dxa"/>
          </w:tcPr>
          <w:p w14:paraId="104B5FF4" w14:textId="77777777" w:rsidR="007410B6" w:rsidRDefault="0023701F">
            <w:r>
              <w:t>Target</w:t>
            </w:r>
          </w:p>
        </w:tc>
        <w:tc>
          <w:tcPr>
            <w:tcW w:w="2880" w:type="dxa"/>
          </w:tcPr>
          <w:p w14:paraId="36ACCB2A" w14:textId="77777777" w:rsidR="007410B6" w:rsidRDefault="0023701F">
            <w:r>
              <w:t>Notes</w:t>
            </w:r>
          </w:p>
        </w:tc>
      </w:tr>
      <w:tr w:rsidR="007410B6" w14:paraId="178070BB" w14:textId="77777777">
        <w:tc>
          <w:tcPr>
            <w:tcW w:w="2880" w:type="dxa"/>
          </w:tcPr>
          <w:p w14:paraId="3ABA5F86" w14:textId="77777777" w:rsidR="007410B6" w:rsidRDefault="0023701F">
            <w:r>
              <w:t>Uptime</w:t>
            </w:r>
          </w:p>
        </w:tc>
        <w:tc>
          <w:tcPr>
            <w:tcW w:w="2880" w:type="dxa"/>
          </w:tcPr>
          <w:p w14:paraId="1AEF7A23" w14:textId="77777777" w:rsidR="007410B6" w:rsidRDefault="0023701F">
            <w:r>
              <w:t>99.9%</w:t>
            </w:r>
          </w:p>
        </w:tc>
        <w:tc>
          <w:tcPr>
            <w:tcW w:w="2880" w:type="dxa"/>
          </w:tcPr>
          <w:p w14:paraId="702D5E1D" w14:textId="77777777" w:rsidR="007410B6" w:rsidRDefault="0023701F">
            <w:r>
              <w:t>Applies to all critical APIs.</w:t>
            </w:r>
          </w:p>
        </w:tc>
      </w:tr>
      <w:tr w:rsidR="007410B6" w14:paraId="19DC8000" w14:textId="77777777">
        <w:tc>
          <w:tcPr>
            <w:tcW w:w="2880" w:type="dxa"/>
          </w:tcPr>
          <w:p w14:paraId="35716284" w14:textId="77777777" w:rsidR="007410B6" w:rsidRDefault="0023701F">
            <w:r>
              <w:t>Latency</w:t>
            </w:r>
          </w:p>
        </w:tc>
        <w:tc>
          <w:tcPr>
            <w:tcW w:w="2880" w:type="dxa"/>
          </w:tcPr>
          <w:p w14:paraId="59DD3EB7" w14:textId="77777777" w:rsidR="007410B6" w:rsidRDefault="0023701F">
            <w:r>
              <w:t>&lt;500ms median / &lt;2s p95</w:t>
            </w:r>
          </w:p>
        </w:tc>
        <w:tc>
          <w:tcPr>
            <w:tcW w:w="2880" w:type="dxa"/>
          </w:tcPr>
          <w:p w14:paraId="17BBC761" w14:textId="77777777" w:rsidR="007410B6" w:rsidRDefault="0023701F">
            <w:r>
              <w:t>For order and shipment endpoints.</w:t>
            </w:r>
          </w:p>
        </w:tc>
      </w:tr>
      <w:tr w:rsidR="007410B6" w14:paraId="47A31518" w14:textId="77777777">
        <w:tc>
          <w:tcPr>
            <w:tcW w:w="2880" w:type="dxa"/>
          </w:tcPr>
          <w:p w14:paraId="3B273679" w14:textId="77777777" w:rsidR="007410B6" w:rsidRDefault="0023701F">
            <w:r>
              <w:t>Change Notification</w:t>
            </w:r>
          </w:p>
        </w:tc>
        <w:tc>
          <w:tcPr>
            <w:tcW w:w="2880" w:type="dxa"/>
          </w:tcPr>
          <w:p w14:paraId="6A619BD1" w14:textId="77777777" w:rsidR="007410B6" w:rsidRDefault="0023701F">
            <w:r>
              <w:t>10 business days</w:t>
            </w:r>
          </w:p>
        </w:tc>
        <w:tc>
          <w:tcPr>
            <w:tcW w:w="2880" w:type="dxa"/>
          </w:tcPr>
          <w:p w14:paraId="3DA3954A" w14:textId="77777777" w:rsidR="007410B6" w:rsidRDefault="0023701F">
            <w:r>
              <w:t>Include rollback plan.</w:t>
            </w:r>
          </w:p>
        </w:tc>
      </w:tr>
    </w:tbl>
    <w:p w14:paraId="566D120F" w14:textId="77777777" w:rsidR="007410B6" w:rsidRDefault="0023701F">
      <w:pPr>
        <w:pStyle w:val="Heading2"/>
      </w:pPr>
      <w:r>
        <w:t>9. Continuous Improvement — Measurable and Funded</w:t>
      </w:r>
    </w:p>
    <w:p w14:paraId="315AA935" w14:textId="77777777" w:rsidR="007410B6" w:rsidRDefault="0023701F">
      <w:r>
        <w:t>Require two improvement projects per quarter, each with cost, ROI, and due date. Examples include cartonization tuning, slotting refresh, or ASN defect reduction.</w:t>
      </w:r>
    </w:p>
    <w:p w14:paraId="7E1A3556" w14:textId="77777777" w:rsidR="007410B6" w:rsidRDefault="0023701F">
      <w:pPr>
        <w:pStyle w:val="Heading2"/>
      </w:pPr>
      <w:r>
        <w:t>10. Field Wisdom</w:t>
      </w:r>
    </w:p>
    <w:p w14:paraId="4E7D1156" w14:textId="77DA20D6" w:rsidR="007410B6" w:rsidRDefault="0023701F">
      <w:r>
        <w:t>A contract doesn’t make a partnership; clarity does. Pay for controllable outcomes, not intentions. The best 3PLs value transparency, respond quickly, and track problems before they escalate. If it can’t be measured in hours, accuracy, or dollars, it’s not ready for the SOW.</w:t>
      </w:r>
    </w:p>
    <w:sectPr w:rsidR="007410B6"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589CF" w14:textId="77777777" w:rsidR="00A52245" w:rsidRDefault="00A52245" w:rsidP="00A52245">
      <w:pPr>
        <w:spacing w:after="0" w:line="240" w:lineRule="auto"/>
      </w:pPr>
      <w:r>
        <w:separator/>
      </w:r>
    </w:p>
  </w:endnote>
  <w:endnote w:type="continuationSeparator" w:id="0">
    <w:p w14:paraId="79DB69F8" w14:textId="77777777" w:rsidR="00A52245" w:rsidRDefault="00A52245" w:rsidP="00A52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8B19" w14:textId="53FAC45F" w:rsidR="00A52245" w:rsidRDefault="00A52245">
    <w:pPr>
      <w:pStyle w:val="Footer"/>
    </w:pPr>
    <w:r>
      <w:t>CAMM Consulting</w:t>
    </w:r>
  </w:p>
  <w:p w14:paraId="41A4E36C" w14:textId="77777777" w:rsidR="00A52245" w:rsidRDefault="00A52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5851D" w14:textId="77777777" w:rsidR="00A52245" w:rsidRDefault="00A52245" w:rsidP="00A52245">
      <w:pPr>
        <w:spacing w:after="0" w:line="240" w:lineRule="auto"/>
      </w:pPr>
      <w:r>
        <w:separator/>
      </w:r>
    </w:p>
  </w:footnote>
  <w:footnote w:type="continuationSeparator" w:id="0">
    <w:p w14:paraId="446AB685" w14:textId="77777777" w:rsidR="00A52245" w:rsidRDefault="00A52245" w:rsidP="00A52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14146539">
    <w:abstractNumId w:val="8"/>
  </w:num>
  <w:num w:numId="2" w16cid:durableId="1591696737">
    <w:abstractNumId w:val="6"/>
  </w:num>
  <w:num w:numId="3" w16cid:durableId="1573849048">
    <w:abstractNumId w:val="5"/>
  </w:num>
  <w:num w:numId="4" w16cid:durableId="405880553">
    <w:abstractNumId w:val="4"/>
  </w:num>
  <w:num w:numId="5" w16cid:durableId="1794441265">
    <w:abstractNumId w:val="7"/>
  </w:num>
  <w:num w:numId="6" w16cid:durableId="1426926657">
    <w:abstractNumId w:val="3"/>
  </w:num>
  <w:num w:numId="7" w16cid:durableId="1281690372">
    <w:abstractNumId w:val="2"/>
  </w:num>
  <w:num w:numId="8" w16cid:durableId="572011909">
    <w:abstractNumId w:val="1"/>
  </w:num>
  <w:num w:numId="9" w16cid:durableId="1725638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701F"/>
    <w:rsid w:val="0029639D"/>
    <w:rsid w:val="00317DB0"/>
    <w:rsid w:val="00326F90"/>
    <w:rsid w:val="007410B6"/>
    <w:rsid w:val="00A5224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3266BF"/>
  <w14:defaultImageDpi w14:val="300"/>
  <w15:docId w15:val="{D3931DE0-7894-46FB-A159-7E4FFBC4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675</Words>
  <Characters>3866</Characters>
  <Application>Microsoft Office Word</Application>
  <DocSecurity>0</DocSecurity>
  <Lines>172</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William Quinn</cp:lastModifiedBy>
  <cp:revision>3</cp:revision>
  <dcterms:created xsi:type="dcterms:W3CDTF">2025-11-08T18:38:00Z</dcterms:created>
  <dcterms:modified xsi:type="dcterms:W3CDTF">2025-11-08T18:44:00Z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91f7a485-a84a-4bb0-b781-aa50728ff005</vt:lpwstr>
  </property>
</Properties>
</file>