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9E0F" w14:textId="77777777" w:rsidR="00DE7989" w:rsidRDefault="00B5217F">
      <w:pPr>
        <w:pStyle w:val="Heading1"/>
      </w:pPr>
      <w:r>
        <w:t>Appendix R: Mental Health &amp; Burnout Recognition — Lead Like People Matter</w:t>
      </w:r>
    </w:p>
    <w:p w14:paraId="136995D8" w14:textId="4D2826AC" w:rsidR="00DE7989" w:rsidRDefault="00B5217F">
      <w:r>
        <w:t>You can’t see burnout on a report. It shows up in small changes, missed details, and people pulling away. Your job isn’t to diagnose; it’s to notice, listen, and connect before things break. This tool gives supervisors a safe, structured way to spot red flags and act without judgment.</w:t>
      </w:r>
    </w:p>
    <w:p w14:paraId="54A644A0" w14:textId="77777777" w:rsidR="00DE7989" w:rsidRDefault="00B5217F">
      <w:pPr>
        <w:pStyle w:val="Heading2"/>
      </w:pPr>
      <w:r>
        <w:t>1. Recognize the Red Flags</w:t>
      </w:r>
    </w:p>
    <w:p w14:paraId="09A3A112" w14:textId="62555363" w:rsidR="00DE7989" w:rsidRDefault="00B5217F">
      <w:proofErr w:type="gramStart"/>
      <w:r>
        <w:t>Watch for</w:t>
      </w:r>
      <w:proofErr w:type="gramEnd"/>
      <w:r>
        <w:t xml:space="preserve"> changes that last more than a few days, especially when performance and attitude shift together.</w:t>
      </w:r>
    </w:p>
    <w:tbl>
      <w:tblPr>
        <w:tblStyle w:val="TableGrid"/>
        <w:tblW w:w="0" w:type="auto"/>
        <w:tblLook w:val="04A0" w:firstRow="1" w:lastRow="0" w:firstColumn="1" w:lastColumn="0" w:noHBand="0" w:noVBand="1"/>
      </w:tblPr>
      <w:tblGrid>
        <w:gridCol w:w="2877"/>
        <w:gridCol w:w="2876"/>
        <w:gridCol w:w="2877"/>
      </w:tblGrid>
      <w:tr w:rsidR="00DE7989" w14:paraId="196484F7" w14:textId="77777777">
        <w:tc>
          <w:tcPr>
            <w:tcW w:w="2880" w:type="dxa"/>
          </w:tcPr>
          <w:p w14:paraId="6566D514" w14:textId="77777777" w:rsidR="00DE7989" w:rsidRDefault="00B5217F">
            <w:r>
              <w:t>Category</w:t>
            </w:r>
          </w:p>
        </w:tc>
        <w:tc>
          <w:tcPr>
            <w:tcW w:w="2880" w:type="dxa"/>
          </w:tcPr>
          <w:p w14:paraId="35093A2E" w14:textId="77777777" w:rsidR="00DE7989" w:rsidRDefault="00B5217F">
            <w:r>
              <w:t>Common Signs</w:t>
            </w:r>
          </w:p>
        </w:tc>
        <w:tc>
          <w:tcPr>
            <w:tcW w:w="2880" w:type="dxa"/>
          </w:tcPr>
          <w:p w14:paraId="3E09CF5A" w14:textId="77777777" w:rsidR="00DE7989" w:rsidRDefault="00B5217F">
            <w:r>
              <w:t>What It Might Mean</w:t>
            </w:r>
          </w:p>
        </w:tc>
      </w:tr>
      <w:tr w:rsidR="00DE7989" w14:paraId="080B650B" w14:textId="77777777">
        <w:tc>
          <w:tcPr>
            <w:tcW w:w="2880" w:type="dxa"/>
          </w:tcPr>
          <w:p w14:paraId="404DC655" w14:textId="77777777" w:rsidR="00DE7989" w:rsidRDefault="00B5217F">
            <w:r>
              <w:t>Behavior</w:t>
            </w:r>
          </w:p>
        </w:tc>
        <w:tc>
          <w:tcPr>
            <w:tcW w:w="2880" w:type="dxa"/>
          </w:tcPr>
          <w:p w14:paraId="02BE731D" w14:textId="77777777" w:rsidR="00DE7989" w:rsidRDefault="00B5217F">
            <w:r>
              <w:t>Withdrawal from team, irritability, frequent arguments</w:t>
            </w:r>
          </w:p>
        </w:tc>
        <w:tc>
          <w:tcPr>
            <w:tcW w:w="2880" w:type="dxa"/>
          </w:tcPr>
          <w:p w14:paraId="5F52D6E8" w14:textId="77777777" w:rsidR="00DE7989" w:rsidRDefault="00B5217F">
            <w:r>
              <w:t>Emotional fatigue or burnout</w:t>
            </w:r>
          </w:p>
        </w:tc>
      </w:tr>
      <w:tr w:rsidR="00DE7989" w14:paraId="4853482A" w14:textId="77777777">
        <w:tc>
          <w:tcPr>
            <w:tcW w:w="2880" w:type="dxa"/>
          </w:tcPr>
          <w:p w14:paraId="38300A8C" w14:textId="77777777" w:rsidR="00DE7989" w:rsidRDefault="00B5217F">
            <w:r>
              <w:t>Performance</w:t>
            </w:r>
          </w:p>
        </w:tc>
        <w:tc>
          <w:tcPr>
            <w:tcW w:w="2880" w:type="dxa"/>
          </w:tcPr>
          <w:p w14:paraId="26117580" w14:textId="77777777" w:rsidR="00DE7989" w:rsidRDefault="00B5217F">
            <w:r>
              <w:t>More errors, slower pace, trouble focusing</w:t>
            </w:r>
          </w:p>
        </w:tc>
        <w:tc>
          <w:tcPr>
            <w:tcW w:w="2880" w:type="dxa"/>
          </w:tcPr>
          <w:p w14:paraId="06D584C6" w14:textId="77777777" w:rsidR="00DE7989" w:rsidRDefault="00B5217F">
            <w:r>
              <w:t>Cognitive overload or sleep issues</w:t>
            </w:r>
          </w:p>
        </w:tc>
      </w:tr>
      <w:tr w:rsidR="00DE7989" w14:paraId="31AC0D42" w14:textId="77777777">
        <w:tc>
          <w:tcPr>
            <w:tcW w:w="2880" w:type="dxa"/>
          </w:tcPr>
          <w:p w14:paraId="3E0461DA" w14:textId="77777777" w:rsidR="00DE7989" w:rsidRDefault="00B5217F">
            <w:r>
              <w:t>Attendance</w:t>
            </w:r>
          </w:p>
        </w:tc>
        <w:tc>
          <w:tcPr>
            <w:tcW w:w="2880" w:type="dxa"/>
          </w:tcPr>
          <w:p w14:paraId="492AC5EE" w14:textId="77777777" w:rsidR="00DE7989" w:rsidRDefault="00B5217F">
            <w:r>
              <w:t>Spike in absences, late arrivals, longer breaks</w:t>
            </w:r>
          </w:p>
        </w:tc>
        <w:tc>
          <w:tcPr>
            <w:tcW w:w="2880" w:type="dxa"/>
          </w:tcPr>
          <w:p w14:paraId="08F81E38" w14:textId="77777777" w:rsidR="00DE7989" w:rsidRDefault="00B5217F">
            <w:r>
              <w:t>Stress avoidance or burnout</w:t>
            </w:r>
          </w:p>
        </w:tc>
      </w:tr>
      <w:tr w:rsidR="00DE7989" w14:paraId="098B5329" w14:textId="77777777">
        <w:tc>
          <w:tcPr>
            <w:tcW w:w="2880" w:type="dxa"/>
          </w:tcPr>
          <w:p w14:paraId="30855852" w14:textId="77777777" w:rsidR="00DE7989" w:rsidRDefault="00B5217F">
            <w:r>
              <w:t>Physical</w:t>
            </w:r>
          </w:p>
        </w:tc>
        <w:tc>
          <w:tcPr>
            <w:tcW w:w="2880" w:type="dxa"/>
          </w:tcPr>
          <w:p w14:paraId="069A163D" w14:textId="77777777" w:rsidR="00DE7989" w:rsidRDefault="00B5217F">
            <w:r>
              <w:t>Noticeable exhaustion, frequent headaches, visible stress</w:t>
            </w:r>
          </w:p>
        </w:tc>
        <w:tc>
          <w:tcPr>
            <w:tcW w:w="2880" w:type="dxa"/>
          </w:tcPr>
          <w:p w14:paraId="6053CA78" w14:textId="77777777" w:rsidR="00DE7989" w:rsidRDefault="00B5217F">
            <w:r>
              <w:t>Overwork or anxiety symptoms</w:t>
            </w:r>
          </w:p>
        </w:tc>
      </w:tr>
      <w:tr w:rsidR="00DE7989" w14:paraId="10217FDA" w14:textId="77777777">
        <w:tc>
          <w:tcPr>
            <w:tcW w:w="2880" w:type="dxa"/>
          </w:tcPr>
          <w:p w14:paraId="4101FF25" w14:textId="77777777" w:rsidR="00DE7989" w:rsidRDefault="00B5217F">
            <w:r>
              <w:t>Social</w:t>
            </w:r>
          </w:p>
        </w:tc>
        <w:tc>
          <w:tcPr>
            <w:tcW w:w="2880" w:type="dxa"/>
          </w:tcPr>
          <w:p w14:paraId="04A61193" w14:textId="77777777" w:rsidR="00DE7989" w:rsidRDefault="00B5217F">
            <w:r>
              <w:t>Stops joking, isolates at lunch, avoids eye contact</w:t>
            </w:r>
          </w:p>
        </w:tc>
        <w:tc>
          <w:tcPr>
            <w:tcW w:w="2880" w:type="dxa"/>
          </w:tcPr>
          <w:p w14:paraId="71FCF3CA" w14:textId="77777777" w:rsidR="00DE7989" w:rsidRDefault="00B5217F">
            <w:r>
              <w:t>Feeling unsupported or overwhelmed</w:t>
            </w:r>
          </w:p>
        </w:tc>
      </w:tr>
    </w:tbl>
    <w:p w14:paraId="70327E39" w14:textId="34B9982D" w:rsidR="00DE7989" w:rsidRDefault="00B5217F">
      <w:r>
        <w:t>Rule of thumb: When a reliable worker starts acting differently, don’t assume laziness, assume load.</w:t>
      </w:r>
    </w:p>
    <w:p w14:paraId="5C213B1B" w14:textId="77777777" w:rsidR="00DE7989" w:rsidRDefault="00B5217F">
      <w:pPr>
        <w:pStyle w:val="Heading2"/>
      </w:pPr>
      <w:r>
        <w:t>2. The 4-Step Conversation Framework</w:t>
      </w:r>
    </w:p>
    <w:p w14:paraId="01E551F4" w14:textId="77777777" w:rsidR="00DE7989" w:rsidRDefault="00B5217F">
      <w:r>
        <w:t>This isn’t therapy. It’s a leadership check-in with empathy and boundaries.</w:t>
      </w:r>
    </w:p>
    <w:p w14:paraId="5585BAA2" w14:textId="77777777" w:rsidR="00DE7989" w:rsidRDefault="00B5217F">
      <w:pPr>
        <w:pStyle w:val="ListNumber"/>
      </w:pPr>
      <w:r>
        <w:t>Step 1: Choose Privacy.</w:t>
      </w:r>
    </w:p>
    <w:p w14:paraId="0655AD27" w14:textId="77777777" w:rsidR="00DE7989" w:rsidRDefault="00B5217F">
      <w:r>
        <w:t>Find a quiet corner or conference space, never the floor. Keep it short and calm.</w:t>
      </w:r>
    </w:p>
    <w:p w14:paraId="1FE0628C" w14:textId="77777777" w:rsidR="00DE7989" w:rsidRDefault="00B5217F">
      <w:pPr>
        <w:pStyle w:val="ListNumber"/>
      </w:pPr>
      <w:r>
        <w:t>Step 2: Lead with Care, Not Concern.</w:t>
      </w:r>
    </w:p>
    <w:p w14:paraId="7E31633B" w14:textId="153F729E" w:rsidR="00DE7989" w:rsidRDefault="00B5217F">
      <w:r>
        <w:t>Say: “I’ve noticed you haven’t seemed yourself lately. I just wanted to check in, how are you holding up?”</w:t>
      </w:r>
      <w:r>
        <w:br/>
        <w:t>Avoid: “You look exhausted.” or “You seem stressed.” Keep it neutral, not diagnostic.</w:t>
      </w:r>
    </w:p>
    <w:p w14:paraId="47B8CE7C" w14:textId="77777777" w:rsidR="00DE7989" w:rsidRDefault="00B5217F">
      <w:pPr>
        <w:pStyle w:val="ListNumber"/>
      </w:pPr>
      <w:r>
        <w:t>Step 3: Listen and Pause.</w:t>
      </w:r>
    </w:p>
    <w:p w14:paraId="17D65539" w14:textId="22503A5B" w:rsidR="00DE7989" w:rsidRDefault="00B5217F">
      <w:r>
        <w:t xml:space="preserve">Let silence do the work. Most people need 5–10 seconds before they open up. If they share, listen fully. Don’t jump to solve. If they don’t, that’s </w:t>
      </w:r>
      <w:proofErr w:type="gramStart"/>
      <w:r>
        <w:t>okay,  you</w:t>
      </w:r>
      <w:proofErr w:type="gramEnd"/>
      <w:r>
        <w:t xml:space="preserve"> planted the seed that someone cares.</w:t>
      </w:r>
    </w:p>
    <w:p w14:paraId="14902DF2" w14:textId="77777777" w:rsidR="00DE7989" w:rsidRDefault="00B5217F">
      <w:pPr>
        <w:pStyle w:val="ListNumber"/>
      </w:pPr>
      <w:r>
        <w:lastRenderedPageBreak/>
        <w:t>Step 4: Offer Support, Not Pressure.</w:t>
      </w:r>
    </w:p>
    <w:p w14:paraId="7A3F6644" w14:textId="777CA2E0" w:rsidR="00DE7989" w:rsidRDefault="00B5217F">
      <w:r>
        <w:t>Say: “If you ever want to talk or need help finding support, I can connect you confidentially to HR or our Employee Assistance Program.” Then: Ask what would help today (schedule change, break coverage, etc.). Follow up in 2–3 days to check in again, briefly and sincerely.</w:t>
      </w:r>
    </w:p>
    <w:p w14:paraId="6D43383C" w14:textId="77777777" w:rsidR="00DE7989" w:rsidRDefault="00B5217F">
      <w:pPr>
        <w:pStyle w:val="Heading2"/>
      </w:pPr>
      <w:r>
        <w:t>3. When to Involve HR</w:t>
      </w:r>
    </w:p>
    <w:tbl>
      <w:tblPr>
        <w:tblStyle w:val="TableGrid"/>
        <w:tblW w:w="0" w:type="auto"/>
        <w:tblLook w:val="04A0" w:firstRow="1" w:lastRow="0" w:firstColumn="1" w:lastColumn="0" w:noHBand="0" w:noVBand="1"/>
      </w:tblPr>
      <w:tblGrid>
        <w:gridCol w:w="4315"/>
        <w:gridCol w:w="4315"/>
      </w:tblGrid>
      <w:tr w:rsidR="00DE7989" w14:paraId="71E287BC" w14:textId="77777777">
        <w:tc>
          <w:tcPr>
            <w:tcW w:w="4320" w:type="dxa"/>
          </w:tcPr>
          <w:p w14:paraId="46D1479D" w14:textId="77777777" w:rsidR="00DE7989" w:rsidRDefault="00B5217F">
            <w:r>
              <w:t>Situation</w:t>
            </w:r>
          </w:p>
        </w:tc>
        <w:tc>
          <w:tcPr>
            <w:tcW w:w="4320" w:type="dxa"/>
          </w:tcPr>
          <w:p w14:paraId="65B52893" w14:textId="77777777" w:rsidR="00DE7989" w:rsidRDefault="00B5217F">
            <w:r>
              <w:t>Action</w:t>
            </w:r>
          </w:p>
        </w:tc>
      </w:tr>
      <w:tr w:rsidR="00DE7989" w14:paraId="56421C35" w14:textId="77777777">
        <w:tc>
          <w:tcPr>
            <w:tcW w:w="4320" w:type="dxa"/>
          </w:tcPr>
          <w:p w14:paraId="1A7E2C90" w14:textId="77777777" w:rsidR="00DE7989" w:rsidRDefault="00B5217F">
            <w:r>
              <w:t>Temporary stress (life event, short burnout)</w:t>
            </w:r>
          </w:p>
        </w:tc>
        <w:tc>
          <w:tcPr>
            <w:tcW w:w="4320" w:type="dxa"/>
          </w:tcPr>
          <w:p w14:paraId="75804E20" w14:textId="77777777" w:rsidR="00DE7989" w:rsidRDefault="00B5217F">
            <w:r>
              <w:t>Supervisor check-in, flexible schedule, peer support</w:t>
            </w:r>
          </w:p>
        </w:tc>
      </w:tr>
      <w:tr w:rsidR="00DE7989" w14:paraId="0A460589" w14:textId="77777777">
        <w:tc>
          <w:tcPr>
            <w:tcW w:w="4320" w:type="dxa"/>
          </w:tcPr>
          <w:p w14:paraId="4140FD63" w14:textId="77777777" w:rsidR="00DE7989" w:rsidRDefault="00B5217F">
            <w:r>
              <w:t>Ongoing pattern (weeks of decline, multiple absences)</w:t>
            </w:r>
          </w:p>
        </w:tc>
        <w:tc>
          <w:tcPr>
            <w:tcW w:w="4320" w:type="dxa"/>
          </w:tcPr>
          <w:p w14:paraId="75459A86" w14:textId="77777777" w:rsidR="00DE7989" w:rsidRDefault="00B5217F">
            <w:r>
              <w:t>Loop in HR privately; discuss support plan</w:t>
            </w:r>
          </w:p>
        </w:tc>
      </w:tr>
      <w:tr w:rsidR="00DE7989" w14:paraId="361AB442" w14:textId="77777777">
        <w:tc>
          <w:tcPr>
            <w:tcW w:w="4320" w:type="dxa"/>
          </w:tcPr>
          <w:p w14:paraId="3B4F202D" w14:textId="77777777" w:rsidR="00DE7989" w:rsidRDefault="00B5217F">
            <w:r>
              <w:t>Talk of self-harm, substance abuse, or unsafe behavior</w:t>
            </w:r>
          </w:p>
        </w:tc>
        <w:tc>
          <w:tcPr>
            <w:tcW w:w="4320" w:type="dxa"/>
          </w:tcPr>
          <w:p w14:paraId="65923C28" w14:textId="03815C72" w:rsidR="00DE7989" w:rsidRDefault="00B5217F">
            <w:r>
              <w:t>Stop everything, contact HR or EHS immediately, and follow emergency protocols</w:t>
            </w:r>
          </w:p>
        </w:tc>
      </w:tr>
    </w:tbl>
    <w:p w14:paraId="398206C4" w14:textId="77777777" w:rsidR="00DE7989" w:rsidRDefault="00B5217F">
      <w:r>
        <w:t>You’re not “reporting” the person — you’re ensuring they get professional help and protection.</w:t>
      </w:r>
    </w:p>
    <w:p w14:paraId="4C4A6F49" w14:textId="77777777" w:rsidR="00DE7989" w:rsidRDefault="00B5217F">
      <w:pPr>
        <w:pStyle w:val="Heading2"/>
      </w:pPr>
      <w:r>
        <w:t>4. How to Refer to EAP Without Shame</w:t>
      </w:r>
    </w:p>
    <w:p w14:paraId="5E9C1471" w14:textId="77777777" w:rsidR="00DE7989" w:rsidRDefault="00B5217F">
      <w:r>
        <w:t>Most employees have no idea what EAP offers or assume it’s “for people in trouble.” Fix that stigma by normalizing it.</w:t>
      </w:r>
    </w:p>
    <w:p w14:paraId="24C9137C" w14:textId="1BF05299" w:rsidR="00DE7989" w:rsidRDefault="00B5217F">
      <w:r>
        <w:t>How to say it:</w:t>
      </w:r>
      <w:r>
        <w:br/>
        <w:t>“We’ve got an EAP that’s free, totally confidential, and available 24/7. People use it for stress, money, family stuff, anything. They’ll connect you with real counselors, not HR.”</w:t>
      </w:r>
    </w:p>
    <w:p w14:paraId="50FD4D1E" w14:textId="77777777" w:rsidR="00DE7989" w:rsidRDefault="00B5217F">
      <w:r>
        <w:t>How to share it:</w:t>
      </w:r>
    </w:p>
    <w:p w14:paraId="20846645" w14:textId="77777777" w:rsidR="00DE7989" w:rsidRDefault="00B5217F">
      <w:pPr>
        <w:pStyle w:val="ListBullet"/>
      </w:pPr>
      <w:r>
        <w:t>Keep hotline cards posted in breakrooms and restrooms.</w:t>
      </w:r>
    </w:p>
    <w:p w14:paraId="12542DE6" w14:textId="2F430037" w:rsidR="00DE7989" w:rsidRDefault="00B5217F">
      <w:pPr>
        <w:pStyle w:val="ListBullet"/>
      </w:pPr>
      <w:r>
        <w:t xml:space="preserve">Mention it casually at huddles (“Remember, EAP is there if anyone needs </w:t>
      </w:r>
      <w:proofErr w:type="gramStart"/>
      <w:r>
        <w:t>it;  it’s</w:t>
      </w:r>
      <w:proofErr w:type="gramEnd"/>
      <w:r>
        <w:t xml:space="preserve"> private.”)</w:t>
      </w:r>
    </w:p>
    <w:p w14:paraId="4271994F" w14:textId="77777777" w:rsidR="00DE7989" w:rsidRDefault="00B5217F">
      <w:pPr>
        <w:pStyle w:val="ListBullet"/>
      </w:pPr>
      <w:r>
        <w:t>Use it in examples the same way you’d mention safety PPE: “We protect our bodies, we protect our minds.”</w:t>
      </w:r>
    </w:p>
    <w:p w14:paraId="1B1353DA" w14:textId="77777777" w:rsidR="00DE7989" w:rsidRDefault="00B5217F">
      <w:pPr>
        <w:pStyle w:val="Heading2"/>
      </w:pPr>
      <w:r>
        <w:t>5. Build a Culture That Catches People Early</w:t>
      </w:r>
    </w:p>
    <w:tbl>
      <w:tblPr>
        <w:tblStyle w:val="TableGrid"/>
        <w:tblW w:w="0" w:type="auto"/>
        <w:tblLook w:val="04A0" w:firstRow="1" w:lastRow="0" w:firstColumn="1" w:lastColumn="0" w:noHBand="0" w:noVBand="1"/>
      </w:tblPr>
      <w:tblGrid>
        <w:gridCol w:w="4315"/>
        <w:gridCol w:w="4315"/>
      </w:tblGrid>
      <w:tr w:rsidR="00DE7989" w14:paraId="2A8F3E07" w14:textId="77777777">
        <w:tc>
          <w:tcPr>
            <w:tcW w:w="4320" w:type="dxa"/>
          </w:tcPr>
          <w:p w14:paraId="4F84981A" w14:textId="77777777" w:rsidR="00DE7989" w:rsidRDefault="00B5217F">
            <w:r>
              <w:t>Leadership Habit</w:t>
            </w:r>
          </w:p>
        </w:tc>
        <w:tc>
          <w:tcPr>
            <w:tcW w:w="4320" w:type="dxa"/>
          </w:tcPr>
          <w:p w14:paraId="2CCC0958" w14:textId="77777777" w:rsidR="00DE7989" w:rsidRDefault="00B5217F">
            <w:r>
              <w:t>Why It Works</w:t>
            </w:r>
          </w:p>
        </w:tc>
      </w:tr>
      <w:tr w:rsidR="00DE7989" w14:paraId="66625039" w14:textId="77777777">
        <w:tc>
          <w:tcPr>
            <w:tcW w:w="4320" w:type="dxa"/>
          </w:tcPr>
          <w:p w14:paraId="544B49D7" w14:textId="77777777" w:rsidR="00DE7989" w:rsidRDefault="00B5217F">
            <w:r>
              <w:t>Start every huddle with one minute of gratitude or recognition</w:t>
            </w:r>
          </w:p>
        </w:tc>
        <w:tc>
          <w:tcPr>
            <w:tcW w:w="4320" w:type="dxa"/>
          </w:tcPr>
          <w:p w14:paraId="675C98E4" w14:textId="77777777" w:rsidR="00DE7989" w:rsidRDefault="00B5217F">
            <w:r>
              <w:t>Keeps people seen and valued</w:t>
            </w:r>
          </w:p>
        </w:tc>
      </w:tr>
      <w:tr w:rsidR="00DE7989" w14:paraId="773CC7DC" w14:textId="77777777">
        <w:tc>
          <w:tcPr>
            <w:tcW w:w="4320" w:type="dxa"/>
          </w:tcPr>
          <w:p w14:paraId="64AC7C09" w14:textId="77777777" w:rsidR="00DE7989" w:rsidRDefault="00B5217F">
            <w:r>
              <w:t>Walk the floor daily — eyes up, not clipboard-down</w:t>
            </w:r>
          </w:p>
        </w:tc>
        <w:tc>
          <w:tcPr>
            <w:tcW w:w="4320" w:type="dxa"/>
          </w:tcPr>
          <w:p w14:paraId="481F6399" w14:textId="77777777" w:rsidR="00DE7989" w:rsidRDefault="00B5217F">
            <w:r>
              <w:t>You’ll spot early signs before burnout becomes absence</w:t>
            </w:r>
          </w:p>
        </w:tc>
      </w:tr>
      <w:tr w:rsidR="00DE7989" w14:paraId="41B4CD55" w14:textId="77777777">
        <w:tc>
          <w:tcPr>
            <w:tcW w:w="4320" w:type="dxa"/>
          </w:tcPr>
          <w:p w14:paraId="71CC369C" w14:textId="77777777" w:rsidR="00DE7989" w:rsidRDefault="00B5217F">
            <w:r>
              <w:t>Allow 5-minute mental reset breaks during peak weeks</w:t>
            </w:r>
          </w:p>
        </w:tc>
        <w:tc>
          <w:tcPr>
            <w:tcW w:w="4320" w:type="dxa"/>
          </w:tcPr>
          <w:p w14:paraId="4257E9E5" w14:textId="77777777" w:rsidR="00DE7989" w:rsidRDefault="00B5217F">
            <w:r>
              <w:t>Boosts focus, prevents mistakes</w:t>
            </w:r>
          </w:p>
        </w:tc>
      </w:tr>
      <w:tr w:rsidR="00DE7989" w14:paraId="41184475" w14:textId="77777777">
        <w:tc>
          <w:tcPr>
            <w:tcW w:w="4320" w:type="dxa"/>
          </w:tcPr>
          <w:p w14:paraId="5036193C" w14:textId="77777777" w:rsidR="00DE7989" w:rsidRDefault="00B5217F">
            <w:r>
              <w:t>Pair new hires with mentors</w:t>
            </w:r>
          </w:p>
        </w:tc>
        <w:tc>
          <w:tcPr>
            <w:tcW w:w="4320" w:type="dxa"/>
          </w:tcPr>
          <w:p w14:paraId="4672E717" w14:textId="77777777" w:rsidR="00DE7989" w:rsidRDefault="00B5217F">
            <w:r>
              <w:t>Reduces anxiety and turnover</w:t>
            </w:r>
          </w:p>
        </w:tc>
      </w:tr>
      <w:tr w:rsidR="00DE7989" w14:paraId="24BED378" w14:textId="77777777">
        <w:tc>
          <w:tcPr>
            <w:tcW w:w="4320" w:type="dxa"/>
          </w:tcPr>
          <w:p w14:paraId="5B0713F2" w14:textId="77777777" w:rsidR="00DE7989" w:rsidRDefault="00B5217F">
            <w:r>
              <w:t>Celebrate recovery stories</w:t>
            </w:r>
          </w:p>
        </w:tc>
        <w:tc>
          <w:tcPr>
            <w:tcW w:w="4320" w:type="dxa"/>
          </w:tcPr>
          <w:p w14:paraId="399503C8" w14:textId="77777777" w:rsidR="00DE7989" w:rsidRDefault="00B5217F">
            <w:r>
              <w:t>Normalizes honesty and helps others speak up</w:t>
            </w:r>
          </w:p>
        </w:tc>
      </w:tr>
    </w:tbl>
    <w:p w14:paraId="47C364D5" w14:textId="77777777" w:rsidR="00DE7989" w:rsidRDefault="00B5217F">
      <w:pPr>
        <w:pStyle w:val="Heading2"/>
      </w:pPr>
      <w:r>
        <w:lastRenderedPageBreak/>
        <w:t>6. Key Metrics for a Healthy Culture</w:t>
      </w:r>
    </w:p>
    <w:tbl>
      <w:tblPr>
        <w:tblStyle w:val="TableGrid"/>
        <w:tblW w:w="0" w:type="auto"/>
        <w:tblLook w:val="04A0" w:firstRow="1" w:lastRow="0" w:firstColumn="1" w:lastColumn="0" w:noHBand="0" w:noVBand="1"/>
      </w:tblPr>
      <w:tblGrid>
        <w:gridCol w:w="2877"/>
        <w:gridCol w:w="2876"/>
        <w:gridCol w:w="2877"/>
      </w:tblGrid>
      <w:tr w:rsidR="00DE7989" w14:paraId="63748D15" w14:textId="77777777">
        <w:tc>
          <w:tcPr>
            <w:tcW w:w="2880" w:type="dxa"/>
          </w:tcPr>
          <w:p w14:paraId="2E0008BC" w14:textId="77777777" w:rsidR="00DE7989" w:rsidRDefault="00B5217F">
            <w:r>
              <w:t>Metric</w:t>
            </w:r>
          </w:p>
        </w:tc>
        <w:tc>
          <w:tcPr>
            <w:tcW w:w="2880" w:type="dxa"/>
          </w:tcPr>
          <w:p w14:paraId="525BE777" w14:textId="77777777" w:rsidR="00DE7989" w:rsidRDefault="00B5217F">
            <w:r>
              <w:t>Target</w:t>
            </w:r>
          </w:p>
        </w:tc>
        <w:tc>
          <w:tcPr>
            <w:tcW w:w="2880" w:type="dxa"/>
          </w:tcPr>
          <w:p w14:paraId="2ACBB1E6" w14:textId="77777777" w:rsidR="00DE7989" w:rsidRDefault="00B5217F">
            <w:r>
              <w:t>What It Means</w:t>
            </w:r>
          </w:p>
        </w:tc>
      </w:tr>
      <w:tr w:rsidR="00DE7989" w14:paraId="3A41EBEB" w14:textId="77777777">
        <w:tc>
          <w:tcPr>
            <w:tcW w:w="2880" w:type="dxa"/>
          </w:tcPr>
          <w:p w14:paraId="0955583E" w14:textId="77777777" w:rsidR="00DE7989" w:rsidRDefault="00B5217F">
            <w:r>
              <w:t>Unplanned absences</w:t>
            </w:r>
          </w:p>
        </w:tc>
        <w:tc>
          <w:tcPr>
            <w:tcW w:w="2880" w:type="dxa"/>
          </w:tcPr>
          <w:p w14:paraId="2A26EE6F" w14:textId="77777777" w:rsidR="00DE7989" w:rsidRDefault="00B5217F">
            <w:r>
              <w:t>Trending down</w:t>
            </w:r>
          </w:p>
        </w:tc>
        <w:tc>
          <w:tcPr>
            <w:tcW w:w="2880" w:type="dxa"/>
          </w:tcPr>
          <w:p w14:paraId="3295DCBC" w14:textId="77777777" w:rsidR="00DE7989" w:rsidRDefault="00B5217F">
            <w:r>
              <w:t>Stress load is balancing</w:t>
            </w:r>
          </w:p>
        </w:tc>
      </w:tr>
      <w:tr w:rsidR="00DE7989" w14:paraId="30513EA6" w14:textId="77777777">
        <w:tc>
          <w:tcPr>
            <w:tcW w:w="2880" w:type="dxa"/>
          </w:tcPr>
          <w:p w14:paraId="0E046520" w14:textId="77777777" w:rsidR="00DE7989" w:rsidRDefault="00B5217F">
            <w:r>
              <w:t>Near misses during peak</w:t>
            </w:r>
          </w:p>
        </w:tc>
        <w:tc>
          <w:tcPr>
            <w:tcW w:w="2880" w:type="dxa"/>
          </w:tcPr>
          <w:p w14:paraId="59A82C6E" w14:textId="77777777" w:rsidR="00DE7989" w:rsidRDefault="00B5217F">
            <w:r>
              <w:t>No spikes</w:t>
            </w:r>
          </w:p>
        </w:tc>
        <w:tc>
          <w:tcPr>
            <w:tcW w:w="2880" w:type="dxa"/>
          </w:tcPr>
          <w:p w14:paraId="23BD4D75" w14:textId="77777777" w:rsidR="00DE7989" w:rsidRDefault="00B5217F">
            <w:r>
              <w:t>Fatigue managed effectively</w:t>
            </w:r>
          </w:p>
        </w:tc>
      </w:tr>
      <w:tr w:rsidR="00DE7989" w14:paraId="3ADE1338" w14:textId="77777777">
        <w:tc>
          <w:tcPr>
            <w:tcW w:w="2880" w:type="dxa"/>
          </w:tcPr>
          <w:p w14:paraId="37DD222C" w14:textId="77777777" w:rsidR="00DE7989" w:rsidRDefault="00B5217F">
            <w:r>
              <w:t>EAP usage rate</w:t>
            </w:r>
          </w:p>
        </w:tc>
        <w:tc>
          <w:tcPr>
            <w:tcW w:w="2880" w:type="dxa"/>
          </w:tcPr>
          <w:p w14:paraId="3974D0D8" w14:textId="77777777" w:rsidR="00DE7989" w:rsidRDefault="00B5217F">
            <w:r>
              <w:t>5–10% of workforce</w:t>
            </w:r>
          </w:p>
        </w:tc>
        <w:tc>
          <w:tcPr>
            <w:tcW w:w="2880" w:type="dxa"/>
          </w:tcPr>
          <w:p w14:paraId="517CC6A9" w14:textId="77777777" w:rsidR="00DE7989" w:rsidRDefault="00B5217F">
            <w:r>
              <w:t>Healthy engagement, not stigma</w:t>
            </w:r>
          </w:p>
        </w:tc>
      </w:tr>
      <w:tr w:rsidR="00DE7989" w14:paraId="6CE96A03" w14:textId="77777777">
        <w:tc>
          <w:tcPr>
            <w:tcW w:w="2880" w:type="dxa"/>
          </w:tcPr>
          <w:p w14:paraId="74940C4E" w14:textId="77777777" w:rsidR="00DE7989" w:rsidRDefault="00B5217F">
            <w:r>
              <w:t>90-day retention</w:t>
            </w:r>
          </w:p>
        </w:tc>
        <w:tc>
          <w:tcPr>
            <w:tcW w:w="2880" w:type="dxa"/>
          </w:tcPr>
          <w:p w14:paraId="6EA8F8AE" w14:textId="77777777" w:rsidR="00DE7989" w:rsidRDefault="00B5217F">
            <w:r>
              <w:t>85%+</w:t>
            </w:r>
          </w:p>
        </w:tc>
        <w:tc>
          <w:tcPr>
            <w:tcW w:w="2880" w:type="dxa"/>
          </w:tcPr>
          <w:p w14:paraId="63591E39" w14:textId="77777777" w:rsidR="00DE7989" w:rsidRDefault="00B5217F">
            <w:r>
              <w:t>Support systems working</w:t>
            </w:r>
          </w:p>
        </w:tc>
      </w:tr>
    </w:tbl>
    <w:p w14:paraId="5194F837" w14:textId="77777777" w:rsidR="00DE7989" w:rsidRDefault="00B5217F">
      <w:pPr>
        <w:pStyle w:val="Heading2"/>
      </w:pPr>
      <w:r>
        <w:t>7. Field Reality</w:t>
      </w:r>
    </w:p>
    <w:p w14:paraId="5B032B06" w14:textId="723E418D" w:rsidR="00DE7989" w:rsidRDefault="00B5217F">
      <w:r>
        <w:t>People can’t give their best if they’re running on empty. The best leaders aren’t the ones who “push harder.” They’re the ones who see the warning lights before the engine seizes. You can save a life by noticing early and speaking first, with compassion and clarity.</w:t>
      </w:r>
    </w:p>
    <w:sectPr w:rsidR="00DE7989"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7F84" w14:textId="77777777" w:rsidR="007A6D88" w:rsidRDefault="007A6D88" w:rsidP="007A6D88">
      <w:pPr>
        <w:spacing w:after="0" w:line="240" w:lineRule="auto"/>
      </w:pPr>
      <w:r>
        <w:separator/>
      </w:r>
    </w:p>
  </w:endnote>
  <w:endnote w:type="continuationSeparator" w:id="0">
    <w:p w14:paraId="0B5E5866" w14:textId="77777777" w:rsidR="007A6D88" w:rsidRDefault="007A6D88" w:rsidP="007A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D2A0" w14:textId="11C7CC83" w:rsidR="007A6D88" w:rsidRDefault="007A6D88">
    <w:pPr>
      <w:pStyle w:val="Footer"/>
    </w:pPr>
    <w:r>
      <w:t>CAMM Consulting</w:t>
    </w:r>
  </w:p>
  <w:p w14:paraId="2A9B059C" w14:textId="77777777" w:rsidR="007A6D88" w:rsidRDefault="007A6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8362" w14:textId="77777777" w:rsidR="007A6D88" w:rsidRDefault="007A6D88" w:rsidP="007A6D88">
      <w:pPr>
        <w:spacing w:after="0" w:line="240" w:lineRule="auto"/>
      </w:pPr>
      <w:r>
        <w:separator/>
      </w:r>
    </w:p>
  </w:footnote>
  <w:footnote w:type="continuationSeparator" w:id="0">
    <w:p w14:paraId="2A214C97" w14:textId="77777777" w:rsidR="007A6D88" w:rsidRDefault="007A6D88" w:rsidP="007A6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7872370">
    <w:abstractNumId w:val="8"/>
  </w:num>
  <w:num w:numId="2" w16cid:durableId="1558013611">
    <w:abstractNumId w:val="6"/>
  </w:num>
  <w:num w:numId="3" w16cid:durableId="178474568">
    <w:abstractNumId w:val="5"/>
  </w:num>
  <w:num w:numId="4" w16cid:durableId="133790674">
    <w:abstractNumId w:val="4"/>
  </w:num>
  <w:num w:numId="5" w16cid:durableId="1595553080">
    <w:abstractNumId w:val="7"/>
  </w:num>
  <w:num w:numId="6" w16cid:durableId="1270745461">
    <w:abstractNumId w:val="3"/>
  </w:num>
  <w:num w:numId="7" w16cid:durableId="501162457">
    <w:abstractNumId w:val="2"/>
  </w:num>
  <w:num w:numId="8" w16cid:durableId="1478641873">
    <w:abstractNumId w:val="1"/>
  </w:num>
  <w:num w:numId="9" w16cid:durableId="202748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7DB0"/>
    <w:rsid w:val="00326F90"/>
    <w:rsid w:val="007A6D88"/>
    <w:rsid w:val="00AA1D8D"/>
    <w:rsid w:val="00B47730"/>
    <w:rsid w:val="00B5217F"/>
    <w:rsid w:val="00CB0664"/>
    <w:rsid w:val="00DE79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35FF88"/>
  <w14:defaultImageDpi w14:val="300"/>
  <w15:docId w15:val="{D3931DE0-7894-46FB-A159-7E4FFBC4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3565</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William Quinn</cp:lastModifiedBy>
  <cp:revision>3</cp:revision>
  <dcterms:created xsi:type="dcterms:W3CDTF">2025-11-09T14:41:00Z</dcterms:created>
  <dcterms:modified xsi:type="dcterms:W3CDTF">2025-11-09T14:54:00Z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d5a6287f-4998-4bde-9d7c-8ed52bbbc706</vt:lpwstr>
  </property>
</Properties>
</file>