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8F1B2" w14:textId="77777777" w:rsidR="0084279A" w:rsidRDefault="007E2D42">
      <w:pPr>
        <w:pStyle w:val="Heading1"/>
      </w:pPr>
      <w:r>
        <w:t>Appendix T: Conflict Resolution &amp; Difficult Conversation Framework — Lead Through the Tension</w:t>
      </w:r>
    </w:p>
    <w:p w14:paraId="2CCD0CC3" w14:textId="1532CCAC" w:rsidR="0084279A" w:rsidRDefault="007E2D42">
      <w:r>
        <w:t>Conflict on the floor isn’t a sign of failure; it’s a sign of people who care enough to disagree. The goal isn’t to avoid tension, it’s to turn friction into progress. This framework gives frontline leaders a repeatable way to handle hard talks and daily flare-ups with professionalism, empathy, and results.</w:t>
      </w:r>
    </w:p>
    <w:p w14:paraId="516F592C" w14:textId="77777777" w:rsidR="0084279A" w:rsidRDefault="007E2D42">
      <w:pPr>
        <w:pStyle w:val="Heading2"/>
      </w:pPr>
      <w:r>
        <w:t>1. The Leadership Mindset</w:t>
      </w:r>
    </w:p>
    <w:p w14:paraId="37BCE000" w14:textId="77777777" w:rsidR="0084279A" w:rsidRDefault="007E2D42">
      <w:r>
        <w:t>Before you speak, check your intent. If you’re trying to win, you’ll lose people. If you’re trying to understand, you’ll win both the person and the problem.</w:t>
      </w:r>
    </w:p>
    <w:p w14:paraId="63EA32DE" w14:textId="77777777" w:rsidR="0084279A" w:rsidRDefault="007E2D42">
      <w:r>
        <w:t>Ask yourself:</w:t>
      </w:r>
    </w:p>
    <w:p w14:paraId="2AAE6ACE" w14:textId="77777777" w:rsidR="0084279A" w:rsidRDefault="007E2D42">
      <w:pPr>
        <w:pStyle w:val="ListBullet"/>
      </w:pPr>
      <w:r>
        <w:t>Am I calm enough to listen?</w:t>
      </w:r>
    </w:p>
    <w:p w14:paraId="004439DB" w14:textId="77777777" w:rsidR="0084279A" w:rsidRDefault="007E2D42">
      <w:pPr>
        <w:pStyle w:val="ListBullet"/>
      </w:pPr>
      <w:r>
        <w:t>Do I want resolution, or validation?</w:t>
      </w:r>
    </w:p>
    <w:p w14:paraId="546C31F1" w14:textId="77777777" w:rsidR="0084279A" w:rsidRDefault="007E2D42">
      <w:pPr>
        <w:pStyle w:val="ListBullet"/>
      </w:pPr>
      <w:r>
        <w:t>Can I separate behavior from the person?</w:t>
      </w:r>
    </w:p>
    <w:p w14:paraId="55C4CAE9" w14:textId="77777777" w:rsidR="0084279A" w:rsidRDefault="007E2D42">
      <w:pPr>
        <w:pStyle w:val="Heading2"/>
      </w:pPr>
      <w:r>
        <w:t>2. The 5-Step Difficult Conversation Framework</w:t>
      </w:r>
    </w:p>
    <w:p w14:paraId="79A92522" w14:textId="77777777" w:rsidR="0084279A" w:rsidRDefault="007E2D42">
      <w:pPr>
        <w:pStyle w:val="ListNumber"/>
      </w:pPr>
      <w:r>
        <w:t>Step 1: Prepare, Don’t Wing It.</w:t>
      </w:r>
    </w:p>
    <w:p w14:paraId="6902770B" w14:textId="26AA7CCB" w:rsidR="0084279A" w:rsidRDefault="007E2D42">
      <w:r>
        <w:t>Write down the issue in one sentence: “We’re missing our dock cutoff because the staging area isn’t cleared.”</w:t>
      </w:r>
      <w:r>
        <w:br/>
        <w:t>Clarify your goal: what outcome you want, not just what you want to say.</w:t>
      </w:r>
      <w:r>
        <w:br/>
        <w:t>Collect facts; no rumors, no “they said.”</w:t>
      </w:r>
      <w:r>
        <w:br/>
        <w:t>Pick the right time (never in public, never mid-crisis).</w:t>
      </w:r>
    </w:p>
    <w:p w14:paraId="1E9DDE34" w14:textId="77777777" w:rsidR="0084279A" w:rsidRDefault="007E2D42">
      <w:pPr>
        <w:pStyle w:val="ListNumber"/>
      </w:pPr>
      <w:r>
        <w:t>Step 2: Start with Care, Not Blame.</w:t>
      </w:r>
    </w:p>
    <w:p w14:paraId="29623860" w14:textId="77777777" w:rsidR="0084279A" w:rsidRDefault="007E2D42">
      <w:r>
        <w:t>Open with intent: “I want to help us fix this before it becomes a bigger issue.”</w:t>
      </w:r>
      <w:r>
        <w:br/>
        <w:t>Keep tone calm, posture open, and volume low.</w:t>
      </w:r>
      <w:r>
        <w:br/>
        <w:t>Lead with respect, even if the message is hard.</w:t>
      </w:r>
    </w:p>
    <w:p w14:paraId="3819794B" w14:textId="77777777" w:rsidR="0084279A" w:rsidRDefault="007E2D42">
      <w:pPr>
        <w:pStyle w:val="ListNumber"/>
      </w:pPr>
      <w:r>
        <w:t>Step 3: Describe the Behavior, Not the Person.</w:t>
      </w:r>
    </w:p>
    <w:p w14:paraId="444EF17C" w14:textId="77777777" w:rsidR="0084279A" w:rsidRDefault="007E2D42">
      <w:r>
        <w:t>Use the See–Say–Impact model: “I saw three pallets left blocking the fire lane yesterday. That delays staging and violates safety rules.”</w:t>
      </w:r>
      <w:r>
        <w:br/>
        <w:t>Avoid labels like lazy, careless, or unmotivated. Those kill trust instantly.</w:t>
      </w:r>
    </w:p>
    <w:p w14:paraId="23930794" w14:textId="77777777" w:rsidR="0084279A" w:rsidRDefault="007E2D42">
      <w:pPr>
        <w:pStyle w:val="ListNumber"/>
      </w:pPr>
      <w:r>
        <w:t>Step 4: Listen Like a Coach.</w:t>
      </w:r>
    </w:p>
    <w:p w14:paraId="5A9670F6" w14:textId="284AE534" w:rsidR="0084279A" w:rsidRDefault="007E2D42">
      <w:r>
        <w:t>Ask open questions: “What’s getting in the way?” “What do you think should change?”</w:t>
      </w:r>
      <w:r>
        <w:br/>
        <w:t>Don’t interrupt silence; it’s where truth lives.</w:t>
      </w:r>
      <w:r>
        <w:br/>
      </w:r>
      <w:proofErr w:type="gramStart"/>
      <w:r>
        <w:t>Reflect back</w:t>
      </w:r>
      <w:proofErr w:type="gramEnd"/>
      <w:r>
        <w:t xml:space="preserve"> what you heard: “So, you’re saying the new staging policy slowed you down.”</w:t>
      </w:r>
    </w:p>
    <w:p w14:paraId="5878700C" w14:textId="77777777" w:rsidR="0084279A" w:rsidRDefault="007E2D42">
      <w:pPr>
        <w:pStyle w:val="ListNumber"/>
      </w:pPr>
      <w:r>
        <w:lastRenderedPageBreak/>
        <w:t>Step 5: Close with a Clear Plan.</w:t>
      </w:r>
    </w:p>
    <w:p w14:paraId="1F6F5EAB" w14:textId="05281D51" w:rsidR="0084279A" w:rsidRDefault="007E2D42">
      <w:r>
        <w:t>Agree on one specific next action: “Let’s set up a five-minute cleanup check before breaks.”</w:t>
      </w:r>
      <w:r>
        <w:br/>
        <w:t>Confirm understanding: “I’ll check back Friday to see how it’s going.”</w:t>
      </w:r>
      <w:r>
        <w:br/>
        <w:t>End on commitment, not consequences, unless this is a final warning, then say it plainly and respectfully.</w:t>
      </w:r>
    </w:p>
    <w:p w14:paraId="0E8F8597" w14:textId="77777777" w:rsidR="0084279A" w:rsidRDefault="007E2D42">
      <w:pPr>
        <w:pStyle w:val="Heading2"/>
      </w:pPr>
      <w:r>
        <w:t>3. Conflict Resolution Ladder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2159"/>
        <w:gridCol w:w="2158"/>
        <w:gridCol w:w="2158"/>
      </w:tblGrid>
      <w:tr w:rsidR="0084279A" w14:paraId="7463B4AD" w14:textId="77777777">
        <w:tc>
          <w:tcPr>
            <w:tcW w:w="2160" w:type="dxa"/>
          </w:tcPr>
          <w:p w14:paraId="33049F90" w14:textId="77777777" w:rsidR="0084279A" w:rsidRDefault="007E2D42">
            <w:r>
              <w:t>Level</w:t>
            </w:r>
          </w:p>
        </w:tc>
        <w:tc>
          <w:tcPr>
            <w:tcW w:w="2160" w:type="dxa"/>
          </w:tcPr>
          <w:p w14:paraId="536A2982" w14:textId="77777777" w:rsidR="0084279A" w:rsidRDefault="007E2D42">
            <w:r>
              <w:t>Type of Conflict</w:t>
            </w:r>
          </w:p>
        </w:tc>
        <w:tc>
          <w:tcPr>
            <w:tcW w:w="2160" w:type="dxa"/>
          </w:tcPr>
          <w:p w14:paraId="2AC74408" w14:textId="77777777" w:rsidR="0084279A" w:rsidRDefault="007E2D42">
            <w:r>
              <w:t>Example</w:t>
            </w:r>
          </w:p>
        </w:tc>
        <w:tc>
          <w:tcPr>
            <w:tcW w:w="2160" w:type="dxa"/>
          </w:tcPr>
          <w:p w14:paraId="3989BEA6" w14:textId="77777777" w:rsidR="0084279A" w:rsidRDefault="007E2D42">
            <w:r>
              <w:t>Resolution Method</w:t>
            </w:r>
          </w:p>
        </w:tc>
      </w:tr>
      <w:tr w:rsidR="0084279A" w14:paraId="1B2456C7" w14:textId="77777777">
        <w:tc>
          <w:tcPr>
            <w:tcW w:w="2160" w:type="dxa"/>
          </w:tcPr>
          <w:p w14:paraId="301750E7" w14:textId="77777777" w:rsidR="0084279A" w:rsidRDefault="007E2D42">
            <w:r>
              <w:t>1</w:t>
            </w:r>
          </w:p>
        </w:tc>
        <w:tc>
          <w:tcPr>
            <w:tcW w:w="2160" w:type="dxa"/>
          </w:tcPr>
          <w:p w14:paraId="098771BB" w14:textId="77777777" w:rsidR="0084279A" w:rsidRDefault="007E2D42">
            <w:r>
              <w:t>Simple misunderstanding</w:t>
            </w:r>
          </w:p>
        </w:tc>
        <w:tc>
          <w:tcPr>
            <w:tcW w:w="2160" w:type="dxa"/>
          </w:tcPr>
          <w:p w14:paraId="2C22D52C" w14:textId="77777777" w:rsidR="0084279A" w:rsidRDefault="007E2D42">
            <w:r>
              <w:t>Wrong pick label, schedule mix-up</w:t>
            </w:r>
          </w:p>
        </w:tc>
        <w:tc>
          <w:tcPr>
            <w:tcW w:w="2160" w:type="dxa"/>
          </w:tcPr>
          <w:p w14:paraId="4F58C257" w14:textId="77777777" w:rsidR="0084279A" w:rsidRDefault="007E2D42">
            <w:r>
              <w:t>Clarify facts, document process</w:t>
            </w:r>
          </w:p>
        </w:tc>
      </w:tr>
      <w:tr w:rsidR="0084279A" w14:paraId="7C94ED04" w14:textId="77777777">
        <w:tc>
          <w:tcPr>
            <w:tcW w:w="2160" w:type="dxa"/>
          </w:tcPr>
          <w:p w14:paraId="5C21DB98" w14:textId="77777777" w:rsidR="0084279A" w:rsidRDefault="007E2D42">
            <w:r>
              <w:t>2</w:t>
            </w:r>
          </w:p>
        </w:tc>
        <w:tc>
          <w:tcPr>
            <w:tcW w:w="2160" w:type="dxa"/>
          </w:tcPr>
          <w:p w14:paraId="19F2451E" w14:textId="77777777" w:rsidR="0084279A" w:rsidRDefault="007E2D42">
            <w:r>
              <w:t>Behavior conflict</w:t>
            </w:r>
          </w:p>
        </w:tc>
        <w:tc>
          <w:tcPr>
            <w:tcW w:w="2160" w:type="dxa"/>
          </w:tcPr>
          <w:p w14:paraId="7E523CC7" w14:textId="77777777" w:rsidR="0084279A" w:rsidRDefault="007E2D42">
            <w:r>
              <w:t>Repeated lateness, negative tone</w:t>
            </w:r>
          </w:p>
        </w:tc>
        <w:tc>
          <w:tcPr>
            <w:tcW w:w="2160" w:type="dxa"/>
          </w:tcPr>
          <w:p w14:paraId="33F296EE" w14:textId="77777777" w:rsidR="0084279A" w:rsidRDefault="007E2D42">
            <w:r>
              <w:t>5-step conversation framework</w:t>
            </w:r>
          </w:p>
        </w:tc>
      </w:tr>
      <w:tr w:rsidR="0084279A" w14:paraId="61C27328" w14:textId="77777777">
        <w:tc>
          <w:tcPr>
            <w:tcW w:w="2160" w:type="dxa"/>
          </w:tcPr>
          <w:p w14:paraId="7855BA5F" w14:textId="77777777" w:rsidR="0084279A" w:rsidRDefault="007E2D42">
            <w:r>
              <w:t>3</w:t>
            </w:r>
          </w:p>
        </w:tc>
        <w:tc>
          <w:tcPr>
            <w:tcW w:w="2160" w:type="dxa"/>
          </w:tcPr>
          <w:p w14:paraId="0BDBBB89" w14:textId="77777777" w:rsidR="0084279A" w:rsidRDefault="007E2D42">
            <w:r>
              <w:t>Peer dispute</w:t>
            </w:r>
          </w:p>
        </w:tc>
        <w:tc>
          <w:tcPr>
            <w:tcW w:w="2160" w:type="dxa"/>
          </w:tcPr>
          <w:p w14:paraId="07B63557" w14:textId="77777777" w:rsidR="0084279A" w:rsidRDefault="007E2D42">
            <w:r>
              <w:t>Picker vs. packer argument</w:t>
            </w:r>
          </w:p>
        </w:tc>
        <w:tc>
          <w:tcPr>
            <w:tcW w:w="2160" w:type="dxa"/>
          </w:tcPr>
          <w:p w14:paraId="7428F16A" w14:textId="77777777" w:rsidR="0084279A" w:rsidRDefault="007E2D42">
            <w:r>
              <w:t>Supervisor mediation, reset expectations</w:t>
            </w:r>
          </w:p>
        </w:tc>
      </w:tr>
      <w:tr w:rsidR="0084279A" w14:paraId="551BE590" w14:textId="77777777">
        <w:tc>
          <w:tcPr>
            <w:tcW w:w="2160" w:type="dxa"/>
          </w:tcPr>
          <w:p w14:paraId="7BC8A4E9" w14:textId="77777777" w:rsidR="0084279A" w:rsidRDefault="007E2D42">
            <w:r>
              <w:t>4</w:t>
            </w:r>
          </w:p>
        </w:tc>
        <w:tc>
          <w:tcPr>
            <w:tcW w:w="2160" w:type="dxa"/>
          </w:tcPr>
          <w:p w14:paraId="5B6B879D" w14:textId="77777777" w:rsidR="0084279A" w:rsidRDefault="007E2D42">
            <w:r>
              <w:t>Team vs. management tension</w:t>
            </w:r>
          </w:p>
        </w:tc>
        <w:tc>
          <w:tcPr>
            <w:tcW w:w="2160" w:type="dxa"/>
          </w:tcPr>
          <w:p w14:paraId="473E6D5F" w14:textId="77777777" w:rsidR="0084279A" w:rsidRDefault="007E2D42">
            <w:r>
              <w:t>Policy or overtime disputes</w:t>
            </w:r>
          </w:p>
        </w:tc>
        <w:tc>
          <w:tcPr>
            <w:tcW w:w="2160" w:type="dxa"/>
          </w:tcPr>
          <w:p w14:paraId="40F6BF76" w14:textId="77777777" w:rsidR="0084279A" w:rsidRDefault="007E2D42">
            <w:r>
              <w:t>Cross-functional meeting, neutral facilitation</w:t>
            </w:r>
          </w:p>
        </w:tc>
      </w:tr>
      <w:tr w:rsidR="0084279A" w14:paraId="2292A93F" w14:textId="77777777">
        <w:tc>
          <w:tcPr>
            <w:tcW w:w="2160" w:type="dxa"/>
          </w:tcPr>
          <w:p w14:paraId="2A429B08" w14:textId="77777777" w:rsidR="0084279A" w:rsidRDefault="007E2D42">
            <w:r>
              <w:t>5</w:t>
            </w:r>
          </w:p>
        </w:tc>
        <w:tc>
          <w:tcPr>
            <w:tcW w:w="2160" w:type="dxa"/>
          </w:tcPr>
          <w:p w14:paraId="584253F4" w14:textId="77777777" w:rsidR="0084279A" w:rsidRDefault="007E2D42">
            <w:r>
              <w:t>Toxic behavior or harassment</w:t>
            </w:r>
          </w:p>
        </w:tc>
        <w:tc>
          <w:tcPr>
            <w:tcW w:w="2160" w:type="dxa"/>
          </w:tcPr>
          <w:p w14:paraId="039B8D83" w14:textId="77777777" w:rsidR="0084279A" w:rsidRDefault="007E2D42">
            <w:r>
              <w:t>Intimidation, disrespect, bullying</w:t>
            </w:r>
          </w:p>
        </w:tc>
        <w:tc>
          <w:tcPr>
            <w:tcW w:w="2160" w:type="dxa"/>
          </w:tcPr>
          <w:p w14:paraId="01909437" w14:textId="77777777" w:rsidR="0084279A" w:rsidRDefault="007E2D42">
            <w:r>
              <w:t>HR escalation, formal investigation</w:t>
            </w:r>
          </w:p>
        </w:tc>
      </w:tr>
    </w:tbl>
    <w:p w14:paraId="6F739041" w14:textId="77777777" w:rsidR="0084279A" w:rsidRDefault="007E2D42">
      <w:pPr>
        <w:pStyle w:val="Heading2"/>
      </w:pPr>
      <w:r>
        <w:t>4. Conversation Ground Rules</w:t>
      </w:r>
    </w:p>
    <w:p w14:paraId="3F720610" w14:textId="77777777" w:rsidR="0084279A" w:rsidRDefault="007E2D42">
      <w:pPr>
        <w:pStyle w:val="ListBullet"/>
      </w:pPr>
      <w:r>
        <w:t>Private location, neutral tone, two chairs at equal height.</w:t>
      </w:r>
    </w:p>
    <w:p w14:paraId="145F5A06" w14:textId="77777777" w:rsidR="0084279A" w:rsidRDefault="007E2D42">
      <w:pPr>
        <w:pStyle w:val="ListBullet"/>
      </w:pPr>
      <w:r>
        <w:t>Speak last, not first.</w:t>
      </w:r>
    </w:p>
    <w:p w14:paraId="290D533A" w14:textId="10608B7A" w:rsidR="0084279A" w:rsidRDefault="007E2D42">
      <w:pPr>
        <w:pStyle w:val="ListBullet"/>
      </w:pPr>
      <w:r>
        <w:t>Keep notes factual: date, behavior, response, agreed action.</w:t>
      </w:r>
    </w:p>
    <w:p w14:paraId="7F3E90A3" w14:textId="77777777" w:rsidR="0084279A" w:rsidRDefault="007E2D42">
      <w:pPr>
        <w:pStyle w:val="ListBullet"/>
      </w:pPr>
      <w:r>
        <w:t>Follow up in writing for accountability.</w:t>
      </w:r>
    </w:p>
    <w:p w14:paraId="1E3FC2BD" w14:textId="4131DB15" w:rsidR="0084279A" w:rsidRDefault="007E2D42">
      <w:pPr>
        <w:pStyle w:val="ListBullet"/>
      </w:pPr>
      <w:r>
        <w:t>Never let a first warning be a surprise. Coaching should always come first.</w:t>
      </w:r>
    </w:p>
    <w:p w14:paraId="0F1E9A84" w14:textId="77777777" w:rsidR="0084279A" w:rsidRDefault="007E2D42">
      <w:pPr>
        <w:pStyle w:val="Heading2"/>
      </w:pPr>
      <w:r>
        <w:t>5. Language That Works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8"/>
        <w:gridCol w:w="2876"/>
      </w:tblGrid>
      <w:tr w:rsidR="0084279A" w14:paraId="38D12229" w14:textId="77777777">
        <w:tc>
          <w:tcPr>
            <w:tcW w:w="2880" w:type="dxa"/>
          </w:tcPr>
          <w:p w14:paraId="241A62DE" w14:textId="77777777" w:rsidR="0084279A" w:rsidRDefault="007E2D42">
            <w:r>
              <w:t>Situation</w:t>
            </w:r>
          </w:p>
        </w:tc>
        <w:tc>
          <w:tcPr>
            <w:tcW w:w="2880" w:type="dxa"/>
          </w:tcPr>
          <w:p w14:paraId="234F98DF" w14:textId="77777777" w:rsidR="0084279A" w:rsidRDefault="007E2D42">
            <w:r>
              <w:t>Instead of Saying</w:t>
            </w:r>
          </w:p>
        </w:tc>
        <w:tc>
          <w:tcPr>
            <w:tcW w:w="2880" w:type="dxa"/>
          </w:tcPr>
          <w:p w14:paraId="3FA85BA8" w14:textId="77777777" w:rsidR="0084279A" w:rsidRDefault="007E2D42">
            <w:r>
              <w:t>Say This</w:t>
            </w:r>
          </w:p>
        </w:tc>
      </w:tr>
      <w:tr w:rsidR="0084279A" w14:paraId="753DDB45" w14:textId="77777777">
        <w:tc>
          <w:tcPr>
            <w:tcW w:w="2880" w:type="dxa"/>
          </w:tcPr>
          <w:p w14:paraId="4A184879" w14:textId="77777777" w:rsidR="0084279A" w:rsidRDefault="007E2D42">
            <w:r>
              <w:t>Missed target</w:t>
            </w:r>
          </w:p>
        </w:tc>
        <w:tc>
          <w:tcPr>
            <w:tcW w:w="2880" w:type="dxa"/>
          </w:tcPr>
          <w:p w14:paraId="20A13209" w14:textId="77777777" w:rsidR="0084279A" w:rsidRDefault="007E2D42">
            <w:r>
              <w:t>You’re underperforming.</w:t>
            </w:r>
          </w:p>
        </w:tc>
        <w:tc>
          <w:tcPr>
            <w:tcW w:w="2880" w:type="dxa"/>
          </w:tcPr>
          <w:p w14:paraId="63094235" w14:textId="77777777" w:rsidR="0084279A" w:rsidRDefault="007E2D42">
            <w:r>
              <w:t>Let’s look at what’s blocking you from hitting target.</w:t>
            </w:r>
          </w:p>
        </w:tc>
      </w:tr>
      <w:tr w:rsidR="0084279A" w14:paraId="2794B84C" w14:textId="77777777">
        <w:tc>
          <w:tcPr>
            <w:tcW w:w="2880" w:type="dxa"/>
          </w:tcPr>
          <w:p w14:paraId="6111D51C" w14:textId="77777777" w:rsidR="0084279A" w:rsidRDefault="007E2D42">
            <w:r>
              <w:t>Safety violation</w:t>
            </w:r>
          </w:p>
        </w:tc>
        <w:tc>
          <w:tcPr>
            <w:tcW w:w="2880" w:type="dxa"/>
          </w:tcPr>
          <w:p w14:paraId="04297482" w14:textId="77777777" w:rsidR="0084279A" w:rsidRDefault="007E2D42">
            <w:r>
              <w:t>You’re careless.</w:t>
            </w:r>
          </w:p>
        </w:tc>
        <w:tc>
          <w:tcPr>
            <w:tcW w:w="2880" w:type="dxa"/>
          </w:tcPr>
          <w:p w14:paraId="456750D4" w14:textId="77777777" w:rsidR="0084279A" w:rsidRDefault="007E2D42">
            <w:r>
              <w:t>That move puts you and others at risk. Let’s fix it together.</w:t>
            </w:r>
          </w:p>
        </w:tc>
      </w:tr>
      <w:tr w:rsidR="0084279A" w14:paraId="571B2CFC" w14:textId="77777777">
        <w:tc>
          <w:tcPr>
            <w:tcW w:w="2880" w:type="dxa"/>
          </w:tcPr>
          <w:p w14:paraId="0F6F08F0" w14:textId="77777777" w:rsidR="0084279A" w:rsidRDefault="007E2D42">
            <w:r>
              <w:t>Poor attitude</w:t>
            </w:r>
          </w:p>
        </w:tc>
        <w:tc>
          <w:tcPr>
            <w:tcW w:w="2880" w:type="dxa"/>
          </w:tcPr>
          <w:p w14:paraId="31B6A40C" w14:textId="77777777" w:rsidR="0084279A" w:rsidRDefault="007E2D42">
            <w:r>
              <w:t>You need to change your attitude.</w:t>
            </w:r>
          </w:p>
        </w:tc>
        <w:tc>
          <w:tcPr>
            <w:tcW w:w="2880" w:type="dxa"/>
          </w:tcPr>
          <w:p w14:paraId="46C0376D" w14:textId="77777777" w:rsidR="0084279A" w:rsidRDefault="007E2D42">
            <w:r>
              <w:t>I’ve noticed frustration lately. What’s driving that?</w:t>
            </w:r>
          </w:p>
        </w:tc>
      </w:tr>
      <w:tr w:rsidR="0084279A" w14:paraId="12F19EAF" w14:textId="77777777">
        <w:tc>
          <w:tcPr>
            <w:tcW w:w="2880" w:type="dxa"/>
          </w:tcPr>
          <w:p w14:paraId="489997F6" w14:textId="77777777" w:rsidR="0084279A" w:rsidRDefault="007E2D42">
            <w:r>
              <w:t>Peer conflict</w:t>
            </w:r>
          </w:p>
        </w:tc>
        <w:tc>
          <w:tcPr>
            <w:tcW w:w="2880" w:type="dxa"/>
          </w:tcPr>
          <w:p w14:paraId="47679F18" w14:textId="77777777" w:rsidR="0084279A" w:rsidRDefault="007E2D42">
            <w:r>
              <w:t>You two need to work it out.</w:t>
            </w:r>
          </w:p>
        </w:tc>
        <w:tc>
          <w:tcPr>
            <w:tcW w:w="2880" w:type="dxa"/>
          </w:tcPr>
          <w:p w14:paraId="6D4F36AE" w14:textId="77777777" w:rsidR="0084279A" w:rsidRDefault="007E2D42">
            <w:r>
              <w:t>Let’s talk about what each of you needs to work better together.</w:t>
            </w:r>
          </w:p>
        </w:tc>
      </w:tr>
    </w:tbl>
    <w:p w14:paraId="5A616196" w14:textId="77777777" w:rsidR="0084279A" w:rsidRDefault="007E2D42">
      <w:pPr>
        <w:pStyle w:val="Heading2"/>
      </w:pPr>
      <w:r>
        <w:t>6. Conflict Debrief Checklist</w:t>
      </w:r>
    </w:p>
    <w:p w14:paraId="64E9924E" w14:textId="77777777" w:rsidR="0084279A" w:rsidRDefault="007E2D42">
      <w:pPr>
        <w:pStyle w:val="ListBullet"/>
      </w:pPr>
      <w:r>
        <w:t>Did I stay calm the whole time?</w:t>
      </w:r>
    </w:p>
    <w:p w14:paraId="6F9E99DE" w14:textId="77777777" w:rsidR="0084279A" w:rsidRDefault="007E2D42">
      <w:pPr>
        <w:pStyle w:val="ListBullet"/>
      </w:pPr>
      <w:r>
        <w:t>Did I listen more than I spoke?</w:t>
      </w:r>
    </w:p>
    <w:p w14:paraId="3281CA31" w14:textId="77777777" w:rsidR="0084279A" w:rsidRDefault="007E2D42">
      <w:pPr>
        <w:pStyle w:val="ListBullet"/>
      </w:pPr>
      <w:r>
        <w:t>Did I end with an action, not emotion?</w:t>
      </w:r>
    </w:p>
    <w:p w14:paraId="38368D0C" w14:textId="77777777" w:rsidR="0084279A" w:rsidRDefault="007E2D42">
      <w:pPr>
        <w:pStyle w:val="ListBullet"/>
      </w:pPr>
      <w:r>
        <w:lastRenderedPageBreak/>
        <w:t>What did I learn about the person?</w:t>
      </w:r>
    </w:p>
    <w:p w14:paraId="1FCDD7A2" w14:textId="77777777" w:rsidR="0084279A" w:rsidRDefault="007E2D42">
      <w:pPr>
        <w:pStyle w:val="ListBullet"/>
      </w:pPr>
      <w:r>
        <w:t>What could I do better next time?</w:t>
      </w:r>
    </w:p>
    <w:p w14:paraId="36D62643" w14:textId="77777777" w:rsidR="0084279A" w:rsidRDefault="007E2D42">
      <w:r>
        <w:t>Log short notes weekly. Over time, you’ll build a map of where your leadership improves or slips.</w:t>
      </w:r>
    </w:p>
    <w:p w14:paraId="5086ABF6" w14:textId="77777777" w:rsidR="0084279A" w:rsidRDefault="007E2D42">
      <w:pPr>
        <w:pStyle w:val="Heading2"/>
      </w:pPr>
      <w:r>
        <w:t>7. Metrics That Prove Progress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2876"/>
        <w:gridCol w:w="2877"/>
      </w:tblGrid>
      <w:tr w:rsidR="0084279A" w14:paraId="169674A1" w14:textId="77777777">
        <w:tc>
          <w:tcPr>
            <w:tcW w:w="2880" w:type="dxa"/>
          </w:tcPr>
          <w:p w14:paraId="597FCB1E" w14:textId="77777777" w:rsidR="0084279A" w:rsidRDefault="007E2D42">
            <w:r>
              <w:t>Metric</w:t>
            </w:r>
          </w:p>
        </w:tc>
        <w:tc>
          <w:tcPr>
            <w:tcW w:w="2880" w:type="dxa"/>
          </w:tcPr>
          <w:p w14:paraId="16A01412" w14:textId="77777777" w:rsidR="0084279A" w:rsidRDefault="007E2D42">
            <w:r>
              <w:t>Target</w:t>
            </w:r>
          </w:p>
        </w:tc>
        <w:tc>
          <w:tcPr>
            <w:tcW w:w="2880" w:type="dxa"/>
          </w:tcPr>
          <w:p w14:paraId="162EA5AC" w14:textId="77777777" w:rsidR="0084279A" w:rsidRDefault="007E2D42">
            <w:r>
              <w:t>Tracking Method</w:t>
            </w:r>
          </w:p>
        </w:tc>
      </w:tr>
      <w:tr w:rsidR="0084279A" w14:paraId="56F72222" w14:textId="77777777">
        <w:tc>
          <w:tcPr>
            <w:tcW w:w="2880" w:type="dxa"/>
          </w:tcPr>
          <w:p w14:paraId="2505005C" w14:textId="77777777" w:rsidR="0084279A" w:rsidRDefault="007E2D42">
            <w:r>
              <w:t>Repeat conflict rate</w:t>
            </w:r>
          </w:p>
        </w:tc>
        <w:tc>
          <w:tcPr>
            <w:tcW w:w="2880" w:type="dxa"/>
          </w:tcPr>
          <w:p w14:paraId="4BEB81EB" w14:textId="77777777" w:rsidR="0084279A" w:rsidRDefault="007E2D42">
            <w:r>
              <w:t>&lt;10%</w:t>
            </w:r>
          </w:p>
        </w:tc>
        <w:tc>
          <w:tcPr>
            <w:tcW w:w="2880" w:type="dxa"/>
          </w:tcPr>
          <w:p w14:paraId="24E3EC90" w14:textId="77777777" w:rsidR="0084279A" w:rsidRDefault="007E2D42">
            <w:r>
              <w:t>Track recurrence by person/issue</w:t>
            </w:r>
          </w:p>
        </w:tc>
      </w:tr>
      <w:tr w:rsidR="0084279A" w14:paraId="4D39650E" w14:textId="77777777">
        <w:tc>
          <w:tcPr>
            <w:tcW w:w="2880" w:type="dxa"/>
          </w:tcPr>
          <w:p w14:paraId="61E559AD" w14:textId="77777777" w:rsidR="0084279A" w:rsidRDefault="007E2D42">
            <w:r>
              <w:t>Follow-up compliance</w:t>
            </w:r>
          </w:p>
        </w:tc>
        <w:tc>
          <w:tcPr>
            <w:tcW w:w="2880" w:type="dxa"/>
          </w:tcPr>
          <w:p w14:paraId="36AE2E32" w14:textId="77777777" w:rsidR="0084279A" w:rsidRDefault="007E2D42">
            <w:r>
              <w:t>100%</w:t>
            </w:r>
          </w:p>
        </w:tc>
        <w:tc>
          <w:tcPr>
            <w:tcW w:w="2880" w:type="dxa"/>
          </w:tcPr>
          <w:p w14:paraId="532F00AA" w14:textId="77777777" w:rsidR="0084279A" w:rsidRDefault="007E2D42">
            <w:r>
              <w:t>Review within 7 days</w:t>
            </w:r>
          </w:p>
        </w:tc>
      </w:tr>
      <w:tr w:rsidR="0084279A" w14:paraId="5CC82295" w14:textId="77777777">
        <w:tc>
          <w:tcPr>
            <w:tcW w:w="2880" w:type="dxa"/>
          </w:tcPr>
          <w:p w14:paraId="2DE6A81F" w14:textId="77777777" w:rsidR="0084279A" w:rsidRDefault="007E2D42">
            <w:r>
              <w:t>Supervisor resolution success</w:t>
            </w:r>
          </w:p>
        </w:tc>
        <w:tc>
          <w:tcPr>
            <w:tcW w:w="2880" w:type="dxa"/>
          </w:tcPr>
          <w:p w14:paraId="04CC8588" w14:textId="77777777" w:rsidR="0084279A" w:rsidRDefault="007E2D42">
            <w:r>
              <w:t>&gt;80%</w:t>
            </w:r>
          </w:p>
        </w:tc>
        <w:tc>
          <w:tcPr>
            <w:tcW w:w="2880" w:type="dxa"/>
          </w:tcPr>
          <w:p w14:paraId="352B64D5" w14:textId="77777777" w:rsidR="0084279A" w:rsidRDefault="007E2D42">
            <w:r>
              <w:t>No HR escalation needed</w:t>
            </w:r>
          </w:p>
        </w:tc>
      </w:tr>
      <w:tr w:rsidR="0084279A" w14:paraId="215F968B" w14:textId="77777777">
        <w:tc>
          <w:tcPr>
            <w:tcW w:w="2880" w:type="dxa"/>
          </w:tcPr>
          <w:p w14:paraId="04E39ADB" w14:textId="77777777" w:rsidR="0084279A" w:rsidRDefault="007E2D42">
            <w:r>
              <w:t>Employee satisfaction</w:t>
            </w:r>
          </w:p>
        </w:tc>
        <w:tc>
          <w:tcPr>
            <w:tcW w:w="2880" w:type="dxa"/>
          </w:tcPr>
          <w:p w14:paraId="2AB8662D" w14:textId="77777777" w:rsidR="0084279A" w:rsidRDefault="007E2D42">
            <w:r>
              <w:t>+10 points</w:t>
            </w:r>
          </w:p>
        </w:tc>
        <w:tc>
          <w:tcPr>
            <w:tcW w:w="2880" w:type="dxa"/>
          </w:tcPr>
          <w:p w14:paraId="7F34A309" w14:textId="77777777" w:rsidR="0084279A" w:rsidRDefault="007E2D42">
            <w:r>
              <w:t>Post-conflict pulse survey</w:t>
            </w:r>
          </w:p>
        </w:tc>
      </w:tr>
    </w:tbl>
    <w:p w14:paraId="6B1F1927" w14:textId="77777777" w:rsidR="0084279A" w:rsidRDefault="007E2D42">
      <w:pPr>
        <w:pStyle w:val="Heading2"/>
      </w:pPr>
      <w:r>
        <w:t>8. Field Rule</w:t>
      </w:r>
    </w:p>
    <w:p w14:paraId="2314D206" w14:textId="4A4B8517" w:rsidR="0084279A" w:rsidRDefault="007E2D42">
      <w:r>
        <w:t>You can’t control emotions, only tone and timing. When voices rise, lower yours. When tempers flare, pause. When blame starts, bring facts. Leadership in conflict isn’t about being right; it’s about keeping the conversation alive long enough to fix the problem.</w:t>
      </w:r>
    </w:p>
    <w:sectPr w:rsidR="0084279A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95B64" w14:textId="77777777" w:rsidR="003D3275" w:rsidRDefault="003D3275" w:rsidP="003D3275">
      <w:pPr>
        <w:spacing w:after="0" w:line="240" w:lineRule="auto"/>
      </w:pPr>
      <w:r>
        <w:separator/>
      </w:r>
    </w:p>
  </w:endnote>
  <w:endnote w:type="continuationSeparator" w:id="0">
    <w:p w14:paraId="2DAEB2B2" w14:textId="77777777" w:rsidR="003D3275" w:rsidRDefault="003D3275" w:rsidP="003D3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BAC43" w14:textId="5FBED7C2" w:rsidR="003D3275" w:rsidRDefault="003D3275">
    <w:pPr>
      <w:pStyle w:val="Footer"/>
    </w:pPr>
    <w:r>
      <w:t>CAMM Consulting</w:t>
    </w:r>
  </w:p>
  <w:p w14:paraId="58815DC0" w14:textId="77777777" w:rsidR="003D3275" w:rsidRDefault="003D32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E83CA" w14:textId="77777777" w:rsidR="003D3275" w:rsidRDefault="003D3275" w:rsidP="003D3275">
      <w:pPr>
        <w:spacing w:after="0" w:line="240" w:lineRule="auto"/>
      </w:pPr>
      <w:r>
        <w:separator/>
      </w:r>
    </w:p>
  </w:footnote>
  <w:footnote w:type="continuationSeparator" w:id="0">
    <w:p w14:paraId="36C149D0" w14:textId="77777777" w:rsidR="003D3275" w:rsidRDefault="003D3275" w:rsidP="003D32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21478132">
    <w:abstractNumId w:val="8"/>
  </w:num>
  <w:num w:numId="2" w16cid:durableId="1345479145">
    <w:abstractNumId w:val="6"/>
  </w:num>
  <w:num w:numId="3" w16cid:durableId="928778489">
    <w:abstractNumId w:val="5"/>
  </w:num>
  <w:num w:numId="4" w16cid:durableId="921833756">
    <w:abstractNumId w:val="4"/>
  </w:num>
  <w:num w:numId="5" w16cid:durableId="1475027689">
    <w:abstractNumId w:val="7"/>
  </w:num>
  <w:num w:numId="6" w16cid:durableId="1801992904">
    <w:abstractNumId w:val="3"/>
  </w:num>
  <w:num w:numId="7" w16cid:durableId="877357131">
    <w:abstractNumId w:val="2"/>
  </w:num>
  <w:num w:numId="8" w16cid:durableId="1462335132">
    <w:abstractNumId w:val="1"/>
  </w:num>
  <w:num w:numId="9" w16cid:durableId="304699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17DB0"/>
    <w:rsid w:val="00326F90"/>
    <w:rsid w:val="003D3275"/>
    <w:rsid w:val="007E2D42"/>
    <w:rsid w:val="0084279A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96A0B9"/>
  <w14:defaultImageDpi w14:val="300"/>
  <w15:docId w15:val="{D3931DE0-7894-46FB-A159-7E4FFBC4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682</Words>
  <Characters>3599</Characters>
  <Application>Microsoft Office Word</Application>
  <DocSecurity>0</DocSecurity>
  <Lines>137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William Quinn</cp:lastModifiedBy>
  <cp:revision>3</cp:revision>
  <dcterms:created xsi:type="dcterms:W3CDTF">2025-11-09T14:47:00Z</dcterms:created>
  <dcterms:modified xsi:type="dcterms:W3CDTF">2025-11-09T14:54:00Z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4d113dd1-2258-4007-bbe7-1b8da55ed8a7</vt:lpwstr>
  </property>
</Properties>
</file>