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81B28" w14:textId="77777777" w:rsidR="00267A29" w:rsidRDefault="004B182A">
      <w:pPr>
        <w:pStyle w:val="Heading1"/>
      </w:pPr>
      <w:r>
        <w:t>Appendix S: Contractor &amp; Temp Worker Integration — Make Every Day-One Count</w:t>
      </w:r>
    </w:p>
    <w:p w14:paraId="093698EA" w14:textId="75E00BEA" w:rsidR="00267A29" w:rsidRDefault="004B182A">
      <w:r>
        <w:t xml:space="preserve">Most warehouses run 20–40% temporary labor. That’s fine, unless they’re treated like second-class citizens. When temps don’t get real onboarding, they don’t perform, they quit faster, and they hurt safety stats. This playbook makes sure every worker who walks through your </w:t>
      </w:r>
      <w:proofErr w:type="gramStart"/>
      <w:r>
        <w:t>doors</w:t>
      </w:r>
      <w:proofErr w:type="gramEnd"/>
      <w:r>
        <w:t xml:space="preserve"> adds value safely and quickly, even if they’re only with you for 60 days.</w:t>
      </w:r>
    </w:p>
    <w:p w14:paraId="0E950926" w14:textId="77777777" w:rsidR="00267A29" w:rsidRDefault="004B182A">
      <w:pPr>
        <w:pStyle w:val="Heading2"/>
      </w:pPr>
      <w:r>
        <w:t>1. Start with the Golden Rule</w:t>
      </w:r>
    </w:p>
    <w:p w14:paraId="068CBCDE" w14:textId="77777777" w:rsidR="00267A29" w:rsidRDefault="004B182A">
      <w:r>
        <w:t>If they wear your vest, they deserve your standard.</w:t>
      </w:r>
    </w:p>
    <w:p w14:paraId="60363DC1" w14:textId="77777777" w:rsidR="00267A29" w:rsidRDefault="004B182A">
      <w:r>
        <w:t>Temps represent your brand to your customers and permanent team. Give them:</w:t>
      </w:r>
    </w:p>
    <w:p w14:paraId="1BEBFC4B" w14:textId="77777777" w:rsidR="00267A29" w:rsidRDefault="004B182A">
      <w:pPr>
        <w:pStyle w:val="ListBullet"/>
      </w:pPr>
      <w:r>
        <w:t>The same safety briefing as full-time staff</w:t>
      </w:r>
    </w:p>
    <w:p w14:paraId="473A814B" w14:textId="77777777" w:rsidR="00267A29" w:rsidRDefault="004B182A">
      <w:pPr>
        <w:pStyle w:val="ListBullet"/>
      </w:pPr>
      <w:r>
        <w:t>The same supervisor introductions</w:t>
      </w:r>
    </w:p>
    <w:p w14:paraId="2A7EEEFE" w14:textId="77777777" w:rsidR="00267A29" w:rsidRDefault="004B182A">
      <w:pPr>
        <w:pStyle w:val="ListBullet"/>
      </w:pPr>
      <w:r>
        <w:t>The same equipment training</w:t>
      </w:r>
    </w:p>
    <w:p w14:paraId="62A34A75" w14:textId="77777777" w:rsidR="00267A29" w:rsidRDefault="004B182A">
      <w:pPr>
        <w:pStyle w:val="ListBullet"/>
      </w:pPr>
      <w:r>
        <w:t>The same feedback loop</w:t>
      </w:r>
    </w:p>
    <w:p w14:paraId="2D6C4F95" w14:textId="34575AAC" w:rsidR="00267A29" w:rsidRDefault="004B182A">
      <w:r>
        <w:t xml:space="preserve">They might only stay 8 weeks, but their performance will </w:t>
      </w:r>
      <w:proofErr w:type="gramStart"/>
      <w:r>
        <w:t>impact</w:t>
      </w:r>
      <w:proofErr w:type="gramEnd"/>
      <w:r>
        <w:t xml:space="preserve"> your customers’ next order.</w:t>
      </w:r>
    </w:p>
    <w:p w14:paraId="2F35E23E" w14:textId="77777777" w:rsidR="00267A29" w:rsidRDefault="004B182A">
      <w:pPr>
        <w:pStyle w:val="Heading2"/>
      </w:pPr>
      <w:r>
        <w:t>2. Day-One Orientation Checklist (60-Minute Model)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267A29" w14:paraId="24830E71" w14:textId="77777777">
        <w:tc>
          <w:tcPr>
            <w:tcW w:w="2880" w:type="dxa"/>
          </w:tcPr>
          <w:p w14:paraId="41353991" w14:textId="77777777" w:rsidR="00267A29" w:rsidRDefault="004B182A">
            <w:r>
              <w:t>Topic</w:t>
            </w:r>
          </w:p>
        </w:tc>
        <w:tc>
          <w:tcPr>
            <w:tcW w:w="2880" w:type="dxa"/>
          </w:tcPr>
          <w:p w14:paraId="31EE4FBC" w14:textId="77777777" w:rsidR="00267A29" w:rsidRDefault="004B182A">
            <w:r>
              <w:t>Goal</w:t>
            </w:r>
          </w:p>
        </w:tc>
        <w:tc>
          <w:tcPr>
            <w:tcW w:w="2880" w:type="dxa"/>
          </w:tcPr>
          <w:p w14:paraId="1E75B3E5" w14:textId="77777777" w:rsidR="00267A29" w:rsidRDefault="004B182A">
            <w:r>
              <w:t>Time</w:t>
            </w:r>
          </w:p>
        </w:tc>
      </w:tr>
      <w:tr w:rsidR="00267A29" w14:paraId="7121C2F4" w14:textId="77777777">
        <w:tc>
          <w:tcPr>
            <w:tcW w:w="2880" w:type="dxa"/>
          </w:tcPr>
          <w:p w14:paraId="52CDCC02" w14:textId="77777777" w:rsidR="00267A29" w:rsidRDefault="004B182A">
            <w:r>
              <w:t>Welcome &amp; Expectations</w:t>
            </w:r>
          </w:p>
        </w:tc>
        <w:tc>
          <w:tcPr>
            <w:tcW w:w="2880" w:type="dxa"/>
          </w:tcPr>
          <w:p w14:paraId="3C184317" w14:textId="77777777" w:rsidR="00267A29" w:rsidRDefault="004B182A">
            <w:r>
              <w:t>Set tone: safety, respect, teamwork</w:t>
            </w:r>
          </w:p>
        </w:tc>
        <w:tc>
          <w:tcPr>
            <w:tcW w:w="2880" w:type="dxa"/>
          </w:tcPr>
          <w:p w14:paraId="09D2A572" w14:textId="77777777" w:rsidR="00267A29" w:rsidRDefault="004B182A">
            <w:r>
              <w:t>10 min</w:t>
            </w:r>
          </w:p>
        </w:tc>
      </w:tr>
      <w:tr w:rsidR="00267A29" w14:paraId="2D740361" w14:textId="77777777">
        <w:tc>
          <w:tcPr>
            <w:tcW w:w="2880" w:type="dxa"/>
          </w:tcPr>
          <w:p w14:paraId="374101DA" w14:textId="77777777" w:rsidR="00267A29" w:rsidRDefault="004B182A">
            <w:r>
              <w:t>Safety Orientation</w:t>
            </w:r>
          </w:p>
        </w:tc>
        <w:tc>
          <w:tcPr>
            <w:tcW w:w="2880" w:type="dxa"/>
          </w:tcPr>
          <w:p w14:paraId="53F0E1BC" w14:textId="77777777" w:rsidR="00267A29" w:rsidRDefault="004B182A">
            <w:r>
              <w:t>Cover PPE, emergency exits, near-miss reporting, and stop-work authority</w:t>
            </w:r>
          </w:p>
        </w:tc>
        <w:tc>
          <w:tcPr>
            <w:tcW w:w="2880" w:type="dxa"/>
          </w:tcPr>
          <w:p w14:paraId="5B10C575" w14:textId="77777777" w:rsidR="00267A29" w:rsidRDefault="004B182A">
            <w:r>
              <w:t>15 min</w:t>
            </w:r>
          </w:p>
        </w:tc>
      </w:tr>
      <w:tr w:rsidR="00267A29" w14:paraId="445A6A82" w14:textId="77777777">
        <w:tc>
          <w:tcPr>
            <w:tcW w:w="2880" w:type="dxa"/>
          </w:tcPr>
          <w:p w14:paraId="56B26CF7" w14:textId="77777777" w:rsidR="00267A29" w:rsidRDefault="004B182A">
            <w:r>
              <w:t>Workstation Walkthrough</w:t>
            </w:r>
          </w:p>
        </w:tc>
        <w:tc>
          <w:tcPr>
            <w:tcW w:w="2880" w:type="dxa"/>
          </w:tcPr>
          <w:p w14:paraId="160B1993" w14:textId="77777777" w:rsidR="00267A29" w:rsidRDefault="004B182A">
            <w:r>
              <w:t>Show picking, packing, or dock process areas they’ll work in</w:t>
            </w:r>
          </w:p>
        </w:tc>
        <w:tc>
          <w:tcPr>
            <w:tcW w:w="2880" w:type="dxa"/>
          </w:tcPr>
          <w:p w14:paraId="42E0C7B6" w14:textId="77777777" w:rsidR="00267A29" w:rsidRDefault="004B182A">
            <w:r>
              <w:t>15 min</w:t>
            </w:r>
          </w:p>
        </w:tc>
      </w:tr>
      <w:tr w:rsidR="00267A29" w14:paraId="78892780" w14:textId="77777777">
        <w:tc>
          <w:tcPr>
            <w:tcW w:w="2880" w:type="dxa"/>
          </w:tcPr>
          <w:p w14:paraId="5BB4CB73" w14:textId="77777777" w:rsidR="00267A29" w:rsidRDefault="004B182A">
            <w:r>
              <w:t>Shadow &amp; Buddy Assignment</w:t>
            </w:r>
          </w:p>
        </w:tc>
        <w:tc>
          <w:tcPr>
            <w:tcW w:w="2880" w:type="dxa"/>
          </w:tcPr>
          <w:p w14:paraId="41EDECE5" w14:textId="77777777" w:rsidR="00267A29" w:rsidRDefault="004B182A">
            <w:r>
              <w:t>Pair with trained associate for Day 1</w:t>
            </w:r>
          </w:p>
        </w:tc>
        <w:tc>
          <w:tcPr>
            <w:tcW w:w="2880" w:type="dxa"/>
          </w:tcPr>
          <w:p w14:paraId="5FA5D92B" w14:textId="77777777" w:rsidR="00267A29" w:rsidRDefault="004B182A">
            <w:r>
              <w:t>10 min</w:t>
            </w:r>
          </w:p>
        </w:tc>
      </w:tr>
      <w:tr w:rsidR="00267A29" w14:paraId="7D265DB7" w14:textId="77777777">
        <w:tc>
          <w:tcPr>
            <w:tcW w:w="2880" w:type="dxa"/>
          </w:tcPr>
          <w:p w14:paraId="40BD5462" w14:textId="77777777" w:rsidR="00267A29" w:rsidRDefault="004B182A">
            <w:r>
              <w:t>Admin &amp; Timekeeping</w:t>
            </w:r>
          </w:p>
        </w:tc>
        <w:tc>
          <w:tcPr>
            <w:tcW w:w="2880" w:type="dxa"/>
          </w:tcPr>
          <w:p w14:paraId="3A5B093F" w14:textId="77777777" w:rsidR="00267A29" w:rsidRDefault="004B182A">
            <w:r>
              <w:t>Badge setup, clock-in/out rules, lunch/break policy</w:t>
            </w:r>
          </w:p>
        </w:tc>
        <w:tc>
          <w:tcPr>
            <w:tcW w:w="2880" w:type="dxa"/>
          </w:tcPr>
          <w:p w14:paraId="517E80F7" w14:textId="77777777" w:rsidR="00267A29" w:rsidRDefault="004B182A">
            <w:r>
              <w:t>5 min</w:t>
            </w:r>
          </w:p>
        </w:tc>
      </w:tr>
      <w:tr w:rsidR="00267A29" w14:paraId="74CE1FC7" w14:textId="77777777">
        <w:tc>
          <w:tcPr>
            <w:tcW w:w="2880" w:type="dxa"/>
          </w:tcPr>
          <w:p w14:paraId="43E63B74" w14:textId="77777777" w:rsidR="00267A29" w:rsidRDefault="004B182A">
            <w:r>
              <w:t>Closing Huddle</w:t>
            </w:r>
          </w:p>
        </w:tc>
        <w:tc>
          <w:tcPr>
            <w:tcW w:w="2880" w:type="dxa"/>
          </w:tcPr>
          <w:p w14:paraId="7283A249" w14:textId="77777777" w:rsidR="00267A29" w:rsidRDefault="004B182A">
            <w:r>
              <w:t>Answer questions, reinforce that feedback is welcome</w:t>
            </w:r>
          </w:p>
        </w:tc>
        <w:tc>
          <w:tcPr>
            <w:tcW w:w="2880" w:type="dxa"/>
          </w:tcPr>
          <w:p w14:paraId="3EF5BFDC" w14:textId="77777777" w:rsidR="00267A29" w:rsidRDefault="004B182A">
            <w:r>
              <w:t>5 min</w:t>
            </w:r>
          </w:p>
        </w:tc>
      </w:tr>
    </w:tbl>
    <w:p w14:paraId="22A612BA" w14:textId="77777777" w:rsidR="00267A29" w:rsidRDefault="004B182A">
      <w:r>
        <w:t>Pro Tip: Print a simple Day-1 checklist and have the buddy initial each section. Post it in the huddle area so everyone sees the standard.</w:t>
      </w:r>
    </w:p>
    <w:p w14:paraId="58291FBE" w14:textId="77777777" w:rsidR="00267A29" w:rsidRDefault="004B182A">
      <w:pPr>
        <w:pStyle w:val="Heading2"/>
      </w:pPr>
      <w:r>
        <w:t>3. Performance Management for Temps</w:t>
      </w:r>
    </w:p>
    <w:p w14:paraId="3CB3A260" w14:textId="77777777" w:rsidR="00267A29" w:rsidRDefault="004B182A">
      <w:r>
        <w:t>First 72 Hours:</w:t>
      </w:r>
    </w:p>
    <w:p w14:paraId="52691B5C" w14:textId="43258ED4" w:rsidR="00267A29" w:rsidRDefault="004B182A">
      <w:pPr>
        <w:pStyle w:val="ListBullet"/>
      </w:pPr>
      <w:r>
        <w:t>Supervisors check in each shift.  “How’s the pace? Anything confusing?”</w:t>
      </w:r>
    </w:p>
    <w:p w14:paraId="254B7423" w14:textId="77777777" w:rsidR="00267A29" w:rsidRDefault="004B182A">
      <w:pPr>
        <w:pStyle w:val="ListBullet"/>
      </w:pPr>
      <w:r>
        <w:t>Buddy monitors quality and safety adherence.</w:t>
      </w:r>
    </w:p>
    <w:p w14:paraId="5AB322C7" w14:textId="77777777" w:rsidR="00267A29" w:rsidRDefault="004B182A">
      <w:pPr>
        <w:pStyle w:val="ListBullet"/>
      </w:pPr>
      <w:r>
        <w:lastRenderedPageBreak/>
        <w:t>Any issue = coach immediately, don’t wait for the agency call.</w:t>
      </w:r>
    </w:p>
    <w:p w14:paraId="254A11BF" w14:textId="77777777" w:rsidR="00267A29" w:rsidRDefault="004B182A">
      <w:r>
        <w:t>Week 2:</w:t>
      </w:r>
    </w:p>
    <w:p w14:paraId="2597A3FB" w14:textId="77777777" w:rsidR="00267A29" w:rsidRDefault="004B182A">
      <w:pPr>
        <w:pStyle w:val="ListBullet"/>
      </w:pPr>
      <w:r>
        <w:t>Add temp names to shift huddles and recognition boards.</w:t>
      </w:r>
    </w:p>
    <w:p w14:paraId="457A949F" w14:textId="77777777" w:rsidR="00267A29" w:rsidRDefault="004B182A">
      <w:pPr>
        <w:pStyle w:val="ListBullet"/>
      </w:pPr>
      <w:r>
        <w:t>Track productivity and attendance like everyone else.</w:t>
      </w:r>
    </w:p>
    <w:p w14:paraId="0AA479B2" w14:textId="77777777" w:rsidR="00267A29" w:rsidRDefault="004B182A">
      <w:pPr>
        <w:pStyle w:val="ListBullet"/>
      </w:pPr>
      <w:r>
        <w:t>Identify top 10% performers early for conversion.</w:t>
      </w:r>
    </w:p>
    <w:p w14:paraId="62DD64A6" w14:textId="77777777" w:rsidR="00267A29" w:rsidRDefault="004B182A">
      <w:pPr>
        <w:pStyle w:val="Heading2"/>
      </w:pPr>
      <w:r>
        <w:t>4. Conversion Path for High Performers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267A29" w14:paraId="3664DF47" w14:textId="77777777">
        <w:tc>
          <w:tcPr>
            <w:tcW w:w="4320" w:type="dxa"/>
          </w:tcPr>
          <w:p w14:paraId="626B1CFA" w14:textId="77777777" w:rsidR="00267A29" w:rsidRDefault="004B182A">
            <w:r>
              <w:t>Step</w:t>
            </w:r>
          </w:p>
        </w:tc>
        <w:tc>
          <w:tcPr>
            <w:tcW w:w="4320" w:type="dxa"/>
          </w:tcPr>
          <w:p w14:paraId="42439982" w14:textId="77777777" w:rsidR="00267A29" w:rsidRDefault="004B182A">
            <w:r>
              <w:t>Action</w:t>
            </w:r>
          </w:p>
        </w:tc>
      </w:tr>
      <w:tr w:rsidR="00267A29" w14:paraId="1A18F8BD" w14:textId="77777777">
        <w:tc>
          <w:tcPr>
            <w:tcW w:w="4320" w:type="dxa"/>
          </w:tcPr>
          <w:p w14:paraId="56D67278" w14:textId="77777777" w:rsidR="00267A29" w:rsidRDefault="004B182A">
            <w:r>
              <w:t>Supervisor nomination</w:t>
            </w:r>
          </w:p>
        </w:tc>
        <w:tc>
          <w:tcPr>
            <w:tcW w:w="4320" w:type="dxa"/>
          </w:tcPr>
          <w:p w14:paraId="7BF250F6" w14:textId="77777777" w:rsidR="00267A29" w:rsidRDefault="004B182A">
            <w:r>
              <w:t>Document metrics (attendance, quality, teamwork)</w:t>
            </w:r>
          </w:p>
        </w:tc>
      </w:tr>
      <w:tr w:rsidR="00267A29" w14:paraId="65049DA9" w14:textId="77777777">
        <w:tc>
          <w:tcPr>
            <w:tcW w:w="4320" w:type="dxa"/>
          </w:tcPr>
          <w:p w14:paraId="4B0B1871" w14:textId="77777777" w:rsidR="00267A29" w:rsidRDefault="004B182A">
            <w:r>
              <w:t>Manager review</w:t>
            </w:r>
          </w:p>
        </w:tc>
        <w:tc>
          <w:tcPr>
            <w:tcW w:w="4320" w:type="dxa"/>
          </w:tcPr>
          <w:p w14:paraId="03B58038" w14:textId="77777777" w:rsidR="00267A29" w:rsidRDefault="004B182A">
            <w:r>
              <w:t>Verify 30-day clean record</w:t>
            </w:r>
          </w:p>
        </w:tc>
      </w:tr>
      <w:tr w:rsidR="00267A29" w14:paraId="6136B297" w14:textId="77777777">
        <w:tc>
          <w:tcPr>
            <w:tcW w:w="4320" w:type="dxa"/>
          </w:tcPr>
          <w:p w14:paraId="7D215ADF" w14:textId="77777777" w:rsidR="00267A29" w:rsidRDefault="004B182A">
            <w:r>
              <w:t>HR approval</w:t>
            </w:r>
          </w:p>
        </w:tc>
        <w:tc>
          <w:tcPr>
            <w:tcW w:w="4320" w:type="dxa"/>
          </w:tcPr>
          <w:p w14:paraId="03A80E3B" w14:textId="77777777" w:rsidR="00267A29" w:rsidRDefault="004B182A">
            <w:r>
              <w:t>Confirm agency contract buyout terms</w:t>
            </w:r>
          </w:p>
        </w:tc>
      </w:tr>
      <w:tr w:rsidR="00267A29" w14:paraId="00595802" w14:textId="77777777">
        <w:tc>
          <w:tcPr>
            <w:tcW w:w="4320" w:type="dxa"/>
          </w:tcPr>
          <w:p w14:paraId="0A6E3DCD" w14:textId="77777777" w:rsidR="00267A29" w:rsidRDefault="004B182A">
            <w:r>
              <w:t>Conversion offer</w:t>
            </w:r>
          </w:p>
        </w:tc>
        <w:tc>
          <w:tcPr>
            <w:tcW w:w="4320" w:type="dxa"/>
          </w:tcPr>
          <w:p w14:paraId="42458703" w14:textId="77777777" w:rsidR="00267A29" w:rsidRDefault="004B182A">
            <w:r>
              <w:t>Transition within 45 days if terms met</w:t>
            </w:r>
          </w:p>
        </w:tc>
      </w:tr>
    </w:tbl>
    <w:p w14:paraId="7E91F700" w14:textId="77777777" w:rsidR="00267A29" w:rsidRDefault="004B182A">
      <w:r>
        <w:t>Guideline: Build agency agreements with pre-approved conversion windows (30, 60, or 90 days). Include volume-based discounts to encourage retention instead of constant churn.</w:t>
      </w:r>
    </w:p>
    <w:p w14:paraId="40BDB6A2" w14:textId="77777777" w:rsidR="00267A29" w:rsidRDefault="004B182A">
      <w:pPr>
        <w:pStyle w:val="Heading2"/>
      </w:pPr>
      <w:r>
        <w:t>5. Legal &amp; Compliance Basics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267A29" w14:paraId="7B9ED240" w14:textId="77777777">
        <w:tc>
          <w:tcPr>
            <w:tcW w:w="4320" w:type="dxa"/>
          </w:tcPr>
          <w:p w14:paraId="491441D6" w14:textId="77777777" w:rsidR="00267A29" w:rsidRDefault="004B182A">
            <w:r>
              <w:t>Topic</w:t>
            </w:r>
          </w:p>
        </w:tc>
        <w:tc>
          <w:tcPr>
            <w:tcW w:w="4320" w:type="dxa"/>
          </w:tcPr>
          <w:p w14:paraId="292E988B" w14:textId="77777777" w:rsidR="00267A29" w:rsidRDefault="004B182A">
            <w:r>
              <w:t>Leader Responsibility</w:t>
            </w:r>
          </w:p>
        </w:tc>
      </w:tr>
      <w:tr w:rsidR="00267A29" w14:paraId="513EB4AE" w14:textId="77777777">
        <w:tc>
          <w:tcPr>
            <w:tcW w:w="4320" w:type="dxa"/>
          </w:tcPr>
          <w:p w14:paraId="16F4E594" w14:textId="77777777" w:rsidR="00267A29" w:rsidRDefault="004B182A">
            <w:r>
              <w:t>Classification</w:t>
            </w:r>
          </w:p>
        </w:tc>
        <w:tc>
          <w:tcPr>
            <w:tcW w:w="4320" w:type="dxa"/>
          </w:tcPr>
          <w:p w14:paraId="4C1809D9" w14:textId="77777777" w:rsidR="00267A29" w:rsidRDefault="004B182A">
            <w:r>
              <w:t>Temps are employees of the staffing agency, not you. Don’t direct pay, don’t change terms unilaterally.</w:t>
            </w:r>
          </w:p>
        </w:tc>
      </w:tr>
      <w:tr w:rsidR="00267A29" w14:paraId="3FB3EBFD" w14:textId="77777777">
        <w:tc>
          <w:tcPr>
            <w:tcW w:w="4320" w:type="dxa"/>
          </w:tcPr>
          <w:p w14:paraId="6DA651CC" w14:textId="77777777" w:rsidR="00267A29" w:rsidRDefault="004B182A">
            <w:r>
              <w:t>Worker’s Comp</w:t>
            </w:r>
          </w:p>
        </w:tc>
        <w:tc>
          <w:tcPr>
            <w:tcW w:w="4320" w:type="dxa"/>
          </w:tcPr>
          <w:p w14:paraId="209CF01A" w14:textId="77777777" w:rsidR="00267A29" w:rsidRDefault="004B182A">
            <w:r>
              <w:t>Ensure agency provides valid coverage certificate. Report all injuries to both your EHS lead and the agency.</w:t>
            </w:r>
          </w:p>
        </w:tc>
      </w:tr>
      <w:tr w:rsidR="00267A29" w14:paraId="3BAF272E" w14:textId="77777777">
        <w:tc>
          <w:tcPr>
            <w:tcW w:w="4320" w:type="dxa"/>
          </w:tcPr>
          <w:p w14:paraId="74711AE1" w14:textId="77777777" w:rsidR="00267A29" w:rsidRDefault="004B182A">
            <w:r>
              <w:t>I-9 / Documentation</w:t>
            </w:r>
          </w:p>
        </w:tc>
        <w:tc>
          <w:tcPr>
            <w:tcW w:w="4320" w:type="dxa"/>
          </w:tcPr>
          <w:p w14:paraId="32211F01" w14:textId="77777777" w:rsidR="00267A29" w:rsidRDefault="004B182A">
            <w:r>
              <w:t>Agencies handle employment verification, but confirm process is compliant and documented before first shift.</w:t>
            </w:r>
          </w:p>
        </w:tc>
      </w:tr>
      <w:tr w:rsidR="00267A29" w14:paraId="6F78FFC7" w14:textId="77777777">
        <w:tc>
          <w:tcPr>
            <w:tcW w:w="4320" w:type="dxa"/>
          </w:tcPr>
          <w:p w14:paraId="497EE3EE" w14:textId="77777777" w:rsidR="00267A29" w:rsidRDefault="004B182A">
            <w:r>
              <w:t>Safety Ownership</w:t>
            </w:r>
          </w:p>
        </w:tc>
        <w:tc>
          <w:tcPr>
            <w:tcW w:w="4320" w:type="dxa"/>
          </w:tcPr>
          <w:p w14:paraId="23FB0199" w14:textId="77777777" w:rsidR="00267A29" w:rsidRDefault="004B182A">
            <w:r>
              <w:t>You own the worksite safety environment — temps must receive your site-specific safety orientation every time.</w:t>
            </w:r>
          </w:p>
        </w:tc>
      </w:tr>
      <w:tr w:rsidR="00267A29" w14:paraId="7040FE6D" w14:textId="77777777">
        <w:tc>
          <w:tcPr>
            <w:tcW w:w="4320" w:type="dxa"/>
          </w:tcPr>
          <w:p w14:paraId="0FF97426" w14:textId="77777777" w:rsidR="00267A29" w:rsidRDefault="004B182A">
            <w:r>
              <w:t>Discipline &amp; Termination</w:t>
            </w:r>
          </w:p>
        </w:tc>
        <w:tc>
          <w:tcPr>
            <w:tcW w:w="4320" w:type="dxa"/>
          </w:tcPr>
          <w:p w14:paraId="6FE99D35" w14:textId="77777777" w:rsidR="00267A29" w:rsidRDefault="004B182A">
            <w:r>
              <w:t>All terminations or reassignments go through the staffing partner — never handle directly.</w:t>
            </w:r>
          </w:p>
        </w:tc>
      </w:tr>
    </w:tbl>
    <w:p w14:paraId="086D8553" w14:textId="77777777" w:rsidR="00267A29" w:rsidRDefault="004B182A">
      <w:r>
        <w:t>Rule of Thumb: You manage the work, not the employment. Stay in your lane, but own your floor’s culture.</w:t>
      </w:r>
    </w:p>
    <w:p w14:paraId="6CA08004" w14:textId="77777777" w:rsidR="00267A29" w:rsidRDefault="004B182A">
      <w:pPr>
        <w:pStyle w:val="Heading2"/>
      </w:pPr>
      <w:r>
        <w:t>6. Supervisor Coaching Tips</w:t>
      </w:r>
    </w:p>
    <w:p w14:paraId="645C0280" w14:textId="77777777" w:rsidR="00267A29" w:rsidRDefault="004B182A">
      <w:pPr>
        <w:pStyle w:val="ListBullet"/>
      </w:pPr>
      <w:r>
        <w:t>Use first names. No “the temps.”</w:t>
      </w:r>
    </w:p>
    <w:p w14:paraId="38D8DBD1" w14:textId="77777777" w:rsidR="00267A29" w:rsidRDefault="004B182A">
      <w:pPr>
        <w:pStyle w:val="ListBullet"/>
      </w:pPr>
      <w:r>
        <w:t>Include temps in huddles, lunches, and celebrations.</w:t>
      </w:r>
    </w:p>
    <w:p w14:paraId="7275A94E" w14:textId="686DF47A" w:rsidR="00267A29" w:rsidRDefault="004B182A">
      <w:pPr>
        <w:pStyle w:val="ListBullet"/>
      </w:pPr>
      <w:r>
        <w:t>Track their performance side by side with full-time staff; visible accountability drives consistency.</w:t>
      </w:r>
    </w:p>
    <w:p w14:paraId="26ED0102" w14:textId="77777777" w:rsidR="00267A29" w:rsidRDefault="004B182A">
      <w:pPr>
        <w:pStyle w:val="ListBullet"/>
      </w:pPr>
      <w:r>
        <w:t>Rotate buddies weekly to prevent cliques.</w:t>
      </w:r>
    </w:p>
    <w:p w14:paraId="6D4C8450" w14:textId="77777777" w:rsidR="00267A29" w:rsidRDefault="004B182A">
      <w:pPr>
        <w:pStyle w:val="ListBullet"/>
      </w:pPr>
      <w:r>
        <w:t>Praise publicly, correct privately.</w:t>
      </w:r>
    </w:p>
    <w:p w14:paraId="2B7CE20E" w14:textId="77777777" w:rsidR="00267A29" w:rsidRDefault="004B182A">
      <w:r>
        <w:t>Good supervision converts temps faster than any HR policy.</w:t>
      </w:r>
    </w:p>
    <w:p w14:paraId="70F909A0" w14:textId="77777777" w:rsidR="00267A29" w:rsidRDefault="004B182A">
      <w:pPr>
        <w:pStyle w:val="Heading2"/>
      </w:pPr>
      <w:r>
        <w:lastRenderedPageBreak/>
        <w:t>7. Success Metrics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267A29" w14:paraId="14E306BC" w14:textId="77777777">
        <w:tc>
          <w:tcPr>
            <w:tcW w:w="2880" w:type="dxa"/>
          </w:tcPr>
          <w:p w14:paraId="1CF33776" w14:textId="77777777" w:rsidR="00267A29" w:rsidRDefault="004B182A">
            <w:r>
              <w:t>Metric</w:t>
            </w:r>
          </w:p>
        </w:tc>
        <w:tc>
          <w:tcPr>
            <w:tcW w:w="2880" w:type="dxa"/>
          </w:tcPr>
          <w:p w14:paraId="39A378EB" w14:textId="77777777" w:rsidR="00267A29" w:rsidRDefault="004B182A">
            <w:r>
              <w:t>Target</w:t>
            </w:r>
          </w:p>
        </w:tc>
        <w:tc>
          <w:tcPr>
            <w:tcW w:w="2880" w:type="dxa"/>
          </w:tcPr>
          <w:p w14:paraId="4F629B0C" w14:textId="77777777" w:rsidR="00267A29" w:rsidRDefault="004B182A">
            <w:r>
              <w:t>Measurement</w:t>
            </w:r>
          </w:p>
        </w:tc>
      </w:tr>
      <w:tr w:rsidR="00267A29" w14:paraId="152ADEAF" w14:textId="77777777">
        <w:tc>
          <w:tcPr>
            <w:tcW w:w="2880" w:type="dxa"/>
          </w:tcPr>
          <w:p w14:paraId="648618EF" w14:textId="77777777" w:rsidR="00267A29" w:rsidRDefault="004B182A">
            <w:r>
              <w:t>Temp 30-day retention</w:t>
            </w:r>
          </w:p>
        </w:tc>
        <w:tc>
          <w:tcPr>
            <w:tcW w:w="2880" w:type="dxa"/>
          </w:tcPr>
          <w:p w14:paraId="07778356" w14:textId="77777777" w:rsidR="00267A29" w:rsidRDefault="004B182A">
            <w:r>
              <w:t>75%+</w:t>
            </w:r>
          </w:p>
        </w:tc>
        <w:tc>
          <w:tcPr>
            <w:tcW w:w="2880" w:type="dxa"/>
          </w:tcPr>
          <w:p w14:paraId="0EF62D0C" w14:textId="77777777" w:rsidR="00267A29" w:rsidRDefault="004B182A">
            <w:r>
              <w:t>Agency report</w:t>
            </w:r>
          </w:p>
        </w:tc>
      </w:tr>
      <w:tr w:rsidR="00267A29" w14:paraId="404F0E31" w14:textId="77777777">
        <w:tc>
          <w:tcPr>
            <w:tcW w:w="2880" w:type="dxa"/>
          </w:tcPr>
          <w:p w14:paraId="28AD9154" w14:textId="77777777" w:rsidR="00267A29" w:rsidRDefault="004B182A">
            <w:r>
              <w:t>Conversion rate</w:t>
            </w:r>
          </w:p>
        </w:tc>
        <w:tc>
          <w:tcPr>
            <w:tcW w:w="2880" w:type="dxa"/>
          </w:tcPr>
          <w:p w14:paraId="25AD0E5F" w14:textId="77777777" w:rsidR="00267A29" w:rsidRDefault="004B182A">
            <w:r>
              <w:t>15–20%</w:t>
            </w:r>
          </w:p>
        </w:tc>
        <w:tc>
          <w:tcPr>
            <w:tcW w:w="2880" w:type="dxa"/>
          </w:tcPr>
          <w:p w14:paraId="7B0D1798" w14:textId="77777777" w:rsidR="00267A29" w:rsidRDefault="004B182A">
            <w:r>
              <w:t>Monthly HR dashboard</w:t>
            </w:r>
          </w:p>
        </w:tc>
      </w:tr>
      <w:tr w:rsidR="00267A29" w14:paraId="20F20772" w14:textId="77777777">
        <w:tc>
          <w:tcPr>
            <w:tcW w:w="2880" w:type="dxa"/>
          </w:tcPr>
          <w:p w14:paraId="33E03DE6" w14:textId="77777777" w:rsidR="00267A29" w:rsidRDefault="004B182A">
            <w:r>
              <w:t>Onboarding completion</w:t>
            </w:r>
          </w:p>
        </w:tc>
        <w:tc>
          <w:tcPr>
            <w:tcW w:w="2880" w:type="dxa"/>
          </w:tcPr>
          <w:p w14:paraId="3CB38110" w14:textId="77777777" w:rsidR="00267A29" w:rsidRDefault="004B182A">
            <w:r>
              <w:t>100%</w:t>
            </w:r>
          </w:p>
        </w:tc>
        <w:tc>
          <w:tcPr>
            <w:tcW w:w="2880" w:type="dxa"/>
          </w:tcPr>
          <w:p w14:paraId="4D6B1ADA" w14:textId="77777777" w:rsidR="00267A29" w:rsidRDefault="004B182A">
            <w:r>
              <w:t>Signed Day-1 checklist</w:t>
            </w:r>
          </w:p>
        </w:tc>
      </w:tr>
      <w:tr w:rsidR="00267A29" w14:paraId="497BE77E" w14:textId="77777777">
        <w:tc>
          <w:tcPr>
            <w:tcW w:w="2880" w:type="dxa"/>
          </w:tcPr>
          <w:p w14:paraId="001469A0" w14:textId="77777777" w:rsidR="00267A29" w:rsidRDefault="004B182A">
            <w:r>
              <w:t>Safety incidents (temps vs. FTEs)</w:t>
            </w:r>
          </w:p>
        </w:tc>
        <w:tc>
          <w:tcPr>
            <w:tcW w:w="2880" w:type="dxa"/>
          </w:tcPr>
          <w:p w14:paraId="2A24BDFF" w14:textId="77777777" w:rsidR="00267A29" w:rsidRDefault="004B182A">
            <w:r>
              <w:t>No variance</w:t>
            </w:r>
          </w:p>
        </w:tc>
        <w:tc>
          <w:tcPr>
            <w:tcW w:w="2880" w:type="dxa"/>
          </w:tcPr>
          <w:p w14:paraId="5E99B32E" w14:textId="77777777" w:rsidR="00267A29" w:rsidRDefault="004B182A">
            <w:r>
              <w:t>EHS log comparison</w:t>
            </w:r>
          </w:p>
        </w:tc>
      </w:tr>
    </w:tbl>
    <w:p w14:paraId="316CA950" w14:textId="77777777" w:rsidR="00267A29" w:rsidRDefault="004B182A">
      <w:r>
        <w:t>ROI Example: One Midwest DC added 60-minute temp onboarding and a buddy system, reducing first-week quits by 38% and injuries by 22% in peak season.</w:t>
      </w:r>
    </w:p>
    <w:p w14:paraId="30A8220D" w14:textId="77777777" w:rsidR="00267A29" w:rsidRDefault="004B182A">
      <w:pPr>
        <w:pStyle w:val="Heading2"/>
      </w:pPr>
      <w:r>
        <w:t>8. Field Lesson</w:t>
      </w:r>
    </w:p>
    <w:p w14:paraId="3D2F2B35" w14:textId="77777777" w:rsidR="00267A29" w:rsidRDefault="004B182A">
      <w:r>
        <w:t>Every warehouse leader eventually learns this the hard way: If you don’t train temps like teammates, you’ll manage them like problems. Start strong, treat them equally, and you’ll build a deeper labor bench without constant rehires.</w:t>
      </w:r>
    </w:p>
    <w:sectPr w:rsidR="00267A29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C9222" w14:textId="77777777" w:rsidR="00202CEF" w:rsidRDefault="00202CEF" w:rsidP="00202CEF">
      <w:pPr>
        <w:spacing w:after="0" w:line="240" w:lineRule="auto"/>
      </w:pPr>
      <w:r>
        <w:separator/>
      </w:r>
    </w:p>
  </w:endnote>
  <w:endnote w:type="continuationSeparator" w:id="0">
    <w:p w14:paraId="3326A224" w14:textId="77777777" w:rsidR="00202CEF" w:rsidRDefault="00202CEF" w:rsidP="00202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D89EB" w14:textId="20755471" w:rsidR="00202CEF" w:rsidRDefault="00202CEF">
    <w:pPr>
      <w:pStyle w:val="Footer"/>
    </w:pPr>
    <w:r>
      <w:t>CAMM Consulting</w:t>
    </w:r>
  </w:p>
  <w:p w14:paraId="0C05A116" w14:textId="77777777" w:rsidR="00202CEF" w:rsidRDefault="00202C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9BEC5" w14:textId="77777777" w:rsidR="00202CEF" w:rsidRDefault="00202CEF" w:rsidP="00202CEF">
      <w:pPr>
        <w:spacing w:after="0" w:line="240" w:lineRule="auto"/>
      </w:pPr>
      <w:r>
        <w:separator/>
      </w:r>
    </w:p>
  </w:footnote>
  <w:footnote w:type="continuationSeparator" w:id="0">
    <w:p w14:paraId="150C15F6" w14:textId="77777777" w:rsidR="00202CEF" w:rsidRDefault="00202CEF" w:rsidP="00202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5904397">
    <w:abstractNumId w:val="8"/>
  </w:num>
  <w:num w:numId="2" w16cid:durableId="32584665">
    <w:abstractNumId w:val="6"/>
  </w:num>
  <w:num w:numId="3" w16cid:durableId="1669361003">
    <w:abstractNumId w:val="5"/>
  </w:num>
  <w:num w:numId="4" w16cid:durableId="1053311584">
    <w:abstractNumId w:val="4"/>
  </w:num>
  <w:num w:numId="5" w16cid:durableId="795872477">
    <w:abstractNumId w:val="7"/>
  </w:num>
  <w:num w:numId="6" w16cid:durableId="1968391615">
    <w:abstractNumId w:val="3"/>
  </w:num>
  <w:num w:numId="7" w16cid:durableId="2119521483">
    <w:abstractNumId w:val="2"/>
  </w:num>
  <w:num w:numId="8" w16cid:durableId="1617564927">
    <w:abstractNumId w:val="1"/>
  </w:num>
  <w:num w:numId="9" w16cid:durableId="1984500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02CEF"/>
    <w:rsid w:val="00267A29"/>
    <w:rsid w:val="0029639D"/>
    <w:rsid w:val="00317DB0"/>
    <w:rsid w:val="00326F90"/>
    <w:rsid w:val="004B182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4AE34A"/>
  <w14:defaultImageDpi w14:val="300"/>
  <w15:docId w15:val="{D3931DE0-7894-46FB-A159-7E4FFBC4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3509</Characters>
  <Application>Microsoft Office Word</Application>
  <DocSecurity>0</DocSecurity>
  <Lines>127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William Quinn</cp:lastModifiedBy>
  <cp:revision>3</cp:revision>
  <dcterms:created xsi:type="dcterms:W3CDTF">2025-11-09T14:44:00Z</dcterms:created>
  <dcterms:modified xsi:type="dcterms:W3CDTF">2025-11-09T14:54:00Z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2a805bf4-4fd5-40c5-bd34-4a9aab8b6dc6</vt:lpwstr>
  </property>
</Properties>
</file>