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32" w:rsidRDefault="006A3E32" w:rsidP="00926970">
      <w:pPr>
        <w:pBdr>
          <w:top w:val="single" w:sz="4" w:space="1" w:color="auto"/>
          <w:left w:val="single" w:sz="4" w:space="4" w:color="auto"/>
          <w:bottom w:val="single" w:sz="4" w:space="1" w:color="auto"/>
          <w:right w:val="single" w:sz="4" w:space="4" w:color="auto"/>
          <w:bar w:val="single" w:sz="4" w:color="auto"/>
        </w:pBdr>
        <w:rPr>
          <w:rFonts w:ascii="Arial" w:hAnsi="Arial"/>
          <w:b/>
        </w:rPr>
      </w:pPr>
    </w:p>
    <w:p w:rsidR="00345955" w:rsidRDefault="00345955" w:rsidP="00926970">
      <w:pPr>
        <w:pBdr>
          <w:top w:val="single" w:sz="4" w:space="1" w:color="auto"/>
          <w:left w:val="single" w:sz="4" w:space="4" w:color="auto"/>
          <w:bottom w:val="single" w:sz="4" w:space="1" w:color="auto"/>
          <w:right w:val="single" w:sz="4" w:space="4" w:color="auto"/>
          <w:bar w:val="single" w:sz="4" w:color="auto"/>
        </w:pBdr>
        <w:rPr>
          <w:rFonts w:ascii="Arial" w:hAnsi="Arial"/>
          <w:sz w:val="22"/>
        </w:rPr>
      </w:pPr>
      <w:r w:rsidRPr="001769B3">
        <w:rPr>
          <w:rFonts w:ascii="Arial" w:hAnsi="Arial"/>
          <w:b/>
        </w:rPr>
        <w:t>County:</w:t>
      </w:r>
      <w:r w:rsidR="002B6971">
        <w:rPr>
          <w:rFonts w:ascii="Arial" w:hAnsi="Arial"/>
          <w:b/>
        </w:rPr>
        <w:t xml:space="preserve"> </w:t>
      </w:r>
      <w:r>
        <w:rPr>
          <w:rFonts w:ascii="Arial" w:hAnsi="Arial"/>
          <w:sz w:val="22"/>
        </w:rPr>
        <w:t>__</w:t>
      </w:r>
      <w:r w:rsidR="000F61D0" w:rsidRPr="000F61D0">
        <w:rPr>
          <w:rFonts w:ascii="Arial" w:hAnsi="Arial"/>
          <w:sz w:val="22"/>
          <w:u w:val="single"/>
        </w:rPr>
        <w:t>SAN JOAQUIN</w:t>
      </w:r>
      <w:r>
        <w:rPr>
          <w:rFonts w:ascii="Arial" w:hAnsi="Arial"/>
          <w:sz w:val="22"/>
        </w:rPr>
        <w:t>______________________</w:t>
      </w:r>
    </w:p>
    <w:p w:rsidR="00345955" w:rsidRDefault="00345955" w:rsidP="00926970">
      <w:pPr>
        <w:pBdr>
          <w:top w:val="single" w:sz="4" w:space="1" w:color="auto"/>
          <w:left w:val="single" w:sz="4" w:space="4" w:color="auto"/>
          <w:bottom w:val="single" w:sz="4" w:space="1" w:color="auto"/>
          <w:right w:val="single" w:sz="4" w:space="4" w:color="auto"/>
          <w:bar w:val="single" w:sz="4" w:color="auto"/>
        </w:pBdr>
        <w:rPr>
          <w:rFonts w:ascii="Arial" w:hAnsi="Arial"/>
          <w:sz w:val="22"/>
        </w:rPr>
      </w:pPr>
    </w:p>
    <w:p w:rsidR="00345955" w:rsidRPr="001769B3" w:rsidRDefault="00345955" w:rsidP="00926970">
      <w:pPr>
        <w:pBdr>
          <w:top w:val="single" w:sz="4" w:space="1" w:color="auto"/>
          <w:left w:val="single" w:sz="4" w:space="4" w:color="auto"/>
          <w:bottom w:val="single" w:sz="4" w:space="1" w:color="auto"/>
          <w:right w:val="single" w:sz="4" w:space="4" w:color="auto"/>
          <w:bar w:val="single" w:sz="4" w:color="auto"/>
        </w:pBdr>
        <w:jc w:val="center"/>
        <w:rPr>
          <w:rFonts w:ascii="Arial" w:hAnsi="Arial"/>
          <w:b/>
          <w:sz w:val="22"/>
        </w:rPr>
      </w:pPr>
      <w:r w:rsidRPr="001769B3">
        <w:rPr>
          <w:rFonts w:ascii="Arial" w:hAnsi="Arial"/>
          <w:b/>
          <w:sz w:val="22"/>
        </w:rPr>
        <w:t>PROPOSED PENALTY PERIOD</w:t>
      </w:r>
    </w:p>
    <w:p w:rsidR="00926970" w:rsidRDefault="00926970" w:rsidP="00926970">
      <w:pPr>
        <w:pBdr>
          <w:top w:val="single" w:sz="4" w:space="1" w:color="auto"/>
          <w:left w:val="single" w:sz="4" w:space="4" w:color="auto"/>
          <w:bottom w:val="single" w:sz="4" w:space="1" w:color="auto"/>
          <w:right w:val="single" w:sz="4" w:space="4" w:color="auto"/>
          <w:bar w:val="single" w:sz="4" w:color="auto"/>
        </w:pBdr>
        <w:rPr>
          <w:rFonts w:ascii="Arial" w:hAnsi="Arial"/>
          <w:sz w:val="22"/>
        </w:rPr>
      </w:pPr>
    </w:p>
    <w:p w:rsidR="00926970" w:rsidRDefault="001769B3" w:rsidP="001769B3">
      <w:pPr>
        <w:pBdr>
          <w:top w:val="single" w:sz="4" w:space="1" w:color="auto"/>
          <w:left w:val="single" w:sz="4" w:space="4" w:color="auto"/>
          <w:bottom w:val="single" w:sz="4" w:space="1" w:color="auto"/>
          <w:right w:val="single" w:sz="4" w:space="4" w:color="auto"/>
          <w:bar w:val="single" w:sz="4" w:color="auto"/>
        </w:pBdr>
        <w:jc w:val="both"/>
        <w:rPr>
          <w:rFonts w:ascii="Arial" w:hAnsi="Arial"/>
          <w:sz w:val="22"/>
        </w:rPr>
      </w:pPr>
      <w:r>
        <w:rPr>
          <w:rFonts w:ascii="Arial" w:hAnsi="Arial"/>
          <w:sz w:val="22"/>
        </w:rPr>
        <w:tab/>
      </w:r>
      <w:r>
        <w:rPr>
          <w:rFonts w:ascii="Arial" w:hAnsi="Arial"/>
          <w:sz w:val="22"/>
        </w:rPr>
        <w:tab/>
      </w:r>
      <w:r w:rsidRPr="001769B3">
        <w:rPr>
          <w:rFonts w:ascii="Arial" w:hAnsi="Arial"/>
          <w:b/>
        </w:rPr>
        <w:t>CalWORKs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1769B3">
        <w:rPr>
          <w:rFonts w:ascii="Arial" w:hAnsi="Arial"/>
          <w:b/>
        </w:rPr>
        <w:t>CalFresh</w:t>
      </w:r>
    </w:p>
    <w:p w:rsidR="0039245A" w:rsidRDefault="0039245A" w:rsidP="00926970">
      <w:pPr>
        <w:pBdr>
          <w:top w:val="single" w:sz="4" w:space="1" w:color="auto"/>
          <w:left w:val="single" w:sz="4" w:space="4" w:color="auto"/>
          <w:bottom w:val="single" w:sz="4" w:space="1" w:color="auto"/>
          <w:right w:val="single" w:sz="4" w:space="4" w:color="auto"/>
          <w:bar w:val="single" w:sz="4" w:color="auto"/>
        </w:pBdr>
        <w:rPr>
          <w:rFonts w:ascii="Arial" w:hAnsi="Arial"/>
          <w:sz w:val="22"/>
        </w:rPr>
      </w:pPr>
    </w:p>
    <w:p w:rsidR="0039245A" w:rsidRDefault="001769B3" w:rsidP="00926970">
      <w:pPr>
        <w:pBdr>
          <w:top w:val="single" w:sz="4" w:space="1" w:color="auto"/>
          <w:left w:val="single" w:sz="4" w:space="4" w:color="auto"/>
          <w:bottom w:val="single" w:sz="4" w:space="1" w:color="auto"/>
          <w:right w:val="single" w:sz="4" w:space="4" w:color="auto"/>
          <w:bar w:val="single" w:sz="4" w:color="auto"/>
        </w:pBdr>
        <w:rPr>
          <w:rFonts w:ascii="Arial" w:hAnsi="Arial"/>
        </w:rPr>
      </w:pPr>
      <w:r w:rsidRPr="001769B3">
        <w:rPr>
          <w:rFonts w:ascii="Arial" w:hAnsi="Arial"/>
        </w:rPr>
        <w:t>_</w:t>
      </w:r>
      <w:r w:rsidR="000F61D0">
        <w:rPr>
          <w:rFonts w:ascii="Arial" w:hAnsi="Arial"/>
          <w:u w:val="single"/>
        </w:rPr>
        <w:t>X</w:t>
      </w:r>
      <w:r w:rsidRPr="001769B3">
        <w:rPr>
          <w:rFonts w:ascii="Arial" w:hAnsi="Arial"/>
        </w:rPr>
        <w:t>_ 6 Months  ___ 12 Months  ___ Two Years</w:t>
      </w:r>
      <w:r>
        <w:rPr>
          <w:rFonts w:ascii="Arial" w:hAnsi="Arial"/>
        </w:rPr>
        <w:tab/>
      </w:r>
      <w:r>
        <w:rPr>
          <w:rFonts w:ascii="Arial" w:hAnsi="Arial"/>
        </w:rPr>
        <w:tab/>
        <w:t xml:space="preserve">     _</w:t>
      </w:r>
      <w:r w:rsidR="000F61D0">
        <w:rPr>
          <w:rFonts w:ascii="Arial" w:hAnsi="Arial"/>
          <w:u w:val="single"/>
        </w:rPr>
        <w:t>X</w:t>
      </w:r>
      <w:r>
        <w:rPr>
          <w:rFonts w:ascii="Arial" w:hAnsi="Arial"/>
        </w:rPr>
        <w:t>_ 12 Months    ___ 24 Months</w:t>
      </w:r>
    </w:p>
    <w:p w:rsidR="001769B3" w:rsidRDefault="001769B3" w:rsidP="00926970">
      <w:pPr>
        <w:pBdr>
          <w:top w:val="single" w:sz="4" w:space="1" w:color="auto"/>
          <w:left w:val="single" w:sz="4" w:space="4" w:color="auto"/>
          <w:bottom w:val="single" w:sz="4" w:space="1" w:color="auto"/>
          <w:right w:val="single" w:sz="4" w:space="4" w:color="auto"/>
          <w:bar w:val="single" w:sz="4" w:color="auto"/>
        </w:pBdr>
        <w:rPr>
          <w:rFonts w:ascii="Arial" w:hAnsi="Arial"/>
        </w:rPr>
      </w:pPr>
    </w:p>
    <w:p w:rsidR="0039245A" w:rsidRDefault="001769B3" w:rsidP="00926970">
      <w:pPr>
        <w:pBdr>
          <w:top w:val="single" w:sz="4" w:space="1" w:color="auto"/>
          <w:left w:val="single" w:sz="4" w:space="4" w:color="auto"/>
          <w:bottom w:val="single" w:sz="4" w:space="1" w:color="auto"/>
          <w:right w:val="single" w:sz="4" w:space="4" w:color="auto"/>
          <w:bar w:val="single" w:sz="4" w:color="auto"/>
        </w:pBdr>
        <w:rPr>
          <w:rFonts w:ascii="Arial" w:hAnsi="Arial"/>
        </w:rPr>
      </w:pPr>
      <w:r>
        <w:rPr>
          <w:rFonts w:ascii="Arial" w:hAnsi="Arial"/>
          <w:sz w:val="22"/>
        </w:rPr>
        <w:tab/>
      </w:r>
      <w:r w:rsidRPr="001769B3">
        <w:rPr>
          <w:rFonts w:ascii="Arial" w:hAnsi="Arial"/>
        </w:rPr>
        <w:t xml:space="preserve">___ Four Years  ___ </w:t>
      </w:r>
      <w:r>
        <w:rPr>
          <w:rFonts w:ascii="Arial" w:hAnsi="Arial"/>
        </w:rPr>
        <w:t>Permanent</w:t>
      </w:r>
      <w:r>
        <w:rPr>
          <w:rFonts w:ascii="Arial" w:hAnsi="Arial"/>
        </w:rPr>
        <w:tab/>
      </w:r>
      <w:r>
        <w:rPr>
          <w:rFonts w:ascii="Arial" w:hAnsi="Arial"/>
        </w:rPr>
        <w:tab/>
      </w:r>
      <w:r>
        <w:rPr>
          <w:rFonts w:ascii="Arial" w:hAnsi="Arial"/>
        </w:rPr>
        <w:tab/>
        <w:t xml:space="preserve">     ___ Ten Years    ___ Permanent</w:t>
      </w:r>
    </w:p>
    <w:p w:rsidR="001769B3" w:rsidRDefault="001769B3" w:rsidP="00926970">
      <w:pPr>
        <w:pBdr>
          <w:top w:val="single" w:sz="4" w:space="1" w:color="auto"/>
          <w:left w:val="single" w:sz="4" w:space="4" w:color="auto"/>
          <w:bottom w:val="single" w:sz="4" w:space="1" w:color="auto"/>
          <w:right w:val="single" w:sz="4" w:space="4" w:color="auto"/>
          <w:bar w:val="single" w:sz="4" w:color="auto"/>
        </w:pBdr>
        <w:rPr>
          <w:rFonts w:ascii="Arial" w:hAnsi="Arial"/>
        </w:rPr>
      </w:pPr>
    </w:p>
    <w:p w:rsidR="0039245A" w:rsidRDefault="001769B3" w:rsidP="001769B3">
      <w:pPr>
        <w:pBdr>
          <w:top w:val="single" w:sz="4" w:space="1" w:color="auto"/>
          <w:left w:val="single" w:sz="4" w:space="4" w:color="auto"/>
          <w:bottom w:val="single" w:sz="4" w:space="1" w:color="auto"/>
          <w:right w:val="single" w:sz="4" w:space="4" w:color="auto"/>
          <w:bar w:val="single" w:sz="4" w:color="auto"/>
        </w:pBdr>
        <w:ind w:firstLine="720"/>
        <w:rPr>
          <w:rFonts w:ascii="Arial" w:hAnsi="Arial"/>
          <w:sz w:val="22"/>
        </w:rPr>
      </w:pPr>
      <w:r w:rsidRPr="001769B3">
        <w:rPr>
          <w:rFonts w:ascii="Arial" w:hAnsi="Arial"/>
        </w:rPr>
        <w:t>___</w:t>
      </w:r>
      <w:r>
        <w:rPr>
          <w:rFonts w:ascii="Arial" w:hAnsi="Arial"/>
        </w:rPr>
        <w:t xml:space="preserve"> Active</w:t>
      </w:r>
      <w:r>
        <w:rPr>
          <w:rFonts w:ascii="Arial" w:hAnsi="Arial"/>
        </w:rPr>
        <w:tab/>
        <w:t xml:space="preserve"> _</w:t>
      </w:r>
      <w:r w:rsidR="000F61D0" w:rsidRPr="000F61D0">
        <w:rPr>
          <w:rFonts w:ascii="Arial" w:hAnsi="Arial"/>
          <w:u w:val="single"/>
        </w:rPr>
        <w:t>X</w:t>
      </w:r>
      <w:r>
        <w:rPr>
          <w:rFonts w:ascii="Arial" w:hAnsi="Arial"/>
        </w:rPr>
        <w:t>_ Closed</w:t>
      </w:r>
      <w:r>
        <w:rPr>
          <w:rFonts w:ascii="Arial" w:hAnsi="Arial"/>
        </w:rPr>
        <w:tab/>
      </w:r>
      <w:r>
        <w:rPr>
          <w:rFonts w:ascii="Arial" w:hAnsi="Arial"/>
        </w:rPr>
        <w:tab/>
      </w:r>
      <w:r>
        <w:rPr>
          <w:rFonts w:ascii="Arial" w:hAnsi="Arial"/>
        </w:rPr>
        <w:tab/>
        <w:t xml:space="preserve">     ___ Active</w:t>
      </w:r>
      <w:r>
        <w:rPr>
          <w:rFonts w:ascii="Arial" w:hAnsi="Arial"/>
        </w:rPr>
        <w:tab/>
        <w:t xml:space="preserve">       _</w:t>
      </w:r>
      <w:r w:rsidR="000F61D0">
        <w:rPr>
          <w:rFonts w:ascii="Arial" w:hAnsi="Arial"/>
          <w:u w:val="single"/>
        </w:rPr>
        <w:t>X</w:t>
      </w:r>
      <w:r>
        <w:rPr>
          <w:rFonts w:ascii="Arial" w:hAnsi="Arial"/>
        </w:rPr>
        <w:t>_ Closed</w:t>
      </w:r>
    </w:p>
    <w:p w:rsidR="00926970" w:rsidRDefault="00926970" w:rsidP="00926970">
      <w:pPr>
        <w:pBdr>
          <w:top w:val="single" w:sz="4" w:space="1" w:color="auto"/>
          <w:left w:val="single" w:sz="4" w:space="4" w:color="auto"/>
          <w:bottom w:val="single" w:sz="4" w:space="1" w:color="auto"/>
          <w:right w:val="single" w:sz="4" w:space="4" w:color="auto"/>
          <w:bar w:val="single" w:sz="4" w:color="auto"/>
        </w:pBdr>
        <w:jc w:val="center"/>
        <w:rPr>
          <w:rFonts w:ascii="Arial" w:hAnsi="Arial"/>
          <w:sz w:val="22"/>
        </w:rPr>
      </w:pPr>
    </w:p>
    <w:tbl>
      <w:tblPr>
        <w:tblStyle w:val="TableGrid"/>
        <w:tblW w:w="0" w:type="auto"/>
        <w:tblLook w:val="04A0" w:firstRow="1" w:lastRow="0" w:firstColumn="1" w:lastColumn="0" w:noHBand="0" w:noVBand="1"/>
      </w:tblPr>
      <w:tblGrid>
        <w:gridCol w:w="4788"/>
        <w:gridCol w:w="4788"/>
      </w:tblGrid>
      <w:tr w:rsidR="00222474" w:rsidTr="00926970">
        <w:tc>
          <w:tcPr>
            <w:tcW w:w="4788" w:type="dxa"/>
            <w:tcBorders>
              <w:top w:val="nil"/>
              <w:left w:val="nil"/>
              <w:bottom w:val="nil"/>
              <w:right w:val="nil"/>
            </w:tcBorders>
          </w:tcPr>
          <w:p w:rsidR="00222474" w:rsidRDefault="00222474" w:rsidP="00345955">
            <w:pPr>
              <w:jc w:val="center"/>
              <w:rPr>
                <w:rFonts w:ascii="Arial" w:hAnsi="Arial"/>
                <w:sz w:val="22"/>
              </w:rPr>
            </w:pPr>
          </w:p>
        </w:tc>
        <w:tc>
          <w:tcPr>
            <w:tcW w:w="4788" w:type="dxa"/>
            <w:tcBorders>
              <w:top w:val="nil"/>
              <w:left w:val="nil"/>
              <w:bottom w:val="nil"/>
              <w:right w:val="nil"/>
            </w:tcBorders>
          </w:tcPr>
          <w:p w:rsidR="00222474" w:rsidRDefault="00222474" w:rsidP="00345955">
            <w:pPr>
              <w:jc w:val="center"/>
              <w:rPr>
                <w:rFonts w:ascii="Arial" w:hAnsi="Arial"/>
                <w:sz w:val="22"/>
              </w:rPr>
            </w:pPr>
          </w:p>
        </w:tc>
      </w:tr>
    </w:tbl>
    <w:p w:rsidR="00345955" w:rsidRDefault="00345955" w:rsidP="00DE2707">
      <w:pPr>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E2707" w:rsidTr="00475397">
        <w:trPr>
          <w:trHeight w:val="63"/>
          <w:jc w:val="center"/>
        </w:trPr>
        <w:tc>
          <w:tcPr>
            <w:tcW w:w="4428" w:type="dxa"/>
            <w:tcBorders>
              <w:top w:val="single" w:sz="8" w:space="0" w:color="auto"/>
              <w:left w:val="nil"/>
              <w:bottom w:val="nil"/>
            </w:tcBorders>
            <w:vAlign w:val="bottom"/>
          </w:tcPr>
          <w:p w:rsidR="00DE2707" w:rsidRDefault="00DE2707" w:rsidP="00BB4867">
            <w:pPr>
              <w:rPr>
                <w:rFonts w:ascii="Arial" w:hAnsi="Arial"/>
                <w:caps/>
                <w:sz w:val="14"/>
              </w:rPr>
            </w:pPr>
            <w:r>
              <w:rPr>
                <w:rFonts w:ascii="Arial" w:hAnsi="Arial"/>
                <w:caps/>
                <w:sz w:val="14"/>
              </w:rPr>
              <w:t>Person</w:t>
            </w:r>
          </w:p>
        </w:tc>
        <w:tc>
          <w:tcPr>
            <w:tcW w:w="4428" w:type="dxa"/>
            <w:tcBorders>
              <w:top w:val="single" w:sz="8" w:space="0" w:color="auto"/>
              <w:bottom w:val="nil"/>
              <w:right w:val="nil"/>
            </w:tcBorders>
            <w:vAlign w:val="bottom"/>
          </w:tcPr>
          <w:p w:rsidR="00DE2707" w:rsidRDefault="00747D8A" w:rsidP="00BB4867">
            <w:pPr>
              <w:rPr>
                <w:rFonts w:ascii="Arial" w:hAnsi="Arial"/>
                <w:caps/>
                <w:sz w:val="14"/>
              </w:rPr>
            </w:pPr>
            <w:r>
              <w:rPr>
                <w:rFonts w:ascii="Arial" w:hAnsi="Arial"/>
                <w:caps/>
                <w:sz w:val="14"/>
              </w:rPr>
              <w:t>Street</w:t>
            </w:r>
            <w:r w:rsidR="00DE2707">
              <w:rPr>
                <w:rFonts w:ascii="Arial" w:hAnsi="Arial"/>
                <w:caps/>
                <w:sz w:val="14"/>
              </w:rPr>
              <w:t xml:space="preserve"> Address</w:t>
            </w:r>
          </w:p>
        </w:tc>
      </w:tr>
      <w:tr w:rsidR="00DE2707" w:rsidTr="00475397">
        <w:trPr>
          <w:trHeight w:val="541"/>
          <w:jc w:val="center"/>
        </w:trPr>
        <w:tc>
          <w:tcPr>
            <w:tcW w:w="4428" w:type="dxa"/>
            <w:tcBorders>
              <w:top w:val="nil"/>
              <w:left w:val="nil"/>
              <w:bottom w:val="nil"/>
            </w:tcBorders>
            <w:vAlign w:val="center"/>
          </w:tcPr>
          <w:p w:rsidR="00DE2707" w:rsidRDefault="000F61D0" w:rsidP="00BB4867">
            <w:pPr>
              <w:pStyle w:val="Heading1"/>
              <w:rPr>
                <w:color w:val="auto"/>
                <w:sz w:val="22"/>
              </w:rPr>
            </w:pPr>
            <w:r w:rsidRPr="00E54D67">
              <w:rPr>
                <w:color w:val="auto"/>
                <w:sz w:val="22"/>
                <w:highlight w:val="black"/>
              </w:rPr>
              <w:t>KRISTINA MORA</w:t>
            </w:r>
          </w:p>
        </w:tc>
        <w:tc>
          <w:tcPr>
            <w:tcW w:w="4428" w:type="dxa"/>
            <w:tcBorders>
              <w:top w:val="nil"/>
              <w:bottom w:val="nil"/>
              <w:right w:val="nil"/>
            </w:tcBorders>
            <w:vAlign w:val="center"/>
          </w:tcPr>
          <w:p w:rsidR="00DE2707" w:rsidRDefault="000F61D0" w:rsidP="00BB4867">
            <w:pPr>
              <w:rPr>
                <w:rFonts w:ascii="Arial" w:hAnsi="Arial"/>
                <w:b/>
                <w:sz w:val="22"/>
              </w:rPr>
            </w:pPr>
            <w:r w:rsidRPr="00E54D67">
              <w:rPr>
                <w:rFonts w:ascii="Arial" w:hAnsi="Arial"/>
                <w:b/>
                <w:sz w:val="22"/>
                <w:highlight w:val="black"/>
              </w:rPr>
              <w:t>839 S FILBERT ST</w:t>
            </w:r>
          </w:p>
        </w:tc>
      </w:tr>
      <w:tr w:rsidR="00DE2707" w:rsidTr="00475397">
        <w:trPr>
          <w:trHeight w:val="79"/>
          <w:jc w:val="center"/>
        </w:trPr>
        <w:tc>
          <w:tcPr>
            <w:tcW w:w="4428" w:type="dxa"/>
            <w:tcBorders>
              <w:left w:val="nil"/>
              <w:bottom w:val="nil"/>
            </w:tcBorders>
            <w:vAlign w:val="bottom"/>
          </w:tcPr>
          <w:p w:rsidR="00DE2707" w:rsidRDefault="00DE2707" w:rsidP="00BB4867">
            <w:pPr>
              <w:rPr>
                <w:rFonts w:ascii="Arial" w:hAnsi="Arial"/>
                <w:caps/>
                <w:sz w:val="14"/>
              </w:rPr>
            </w:pPr>
            <w:r>
              <w:rPr>
                <w:rFonts w:ascii="Arial" w:hAnsi="Arial"/>
                <w:caps/>
                <w:sz w:val="14"/>
              </w:rPr>
              <w:t>Case No.</w:t>
            </w:r>
          </w:p>
        </w:tc>
        <w:tc>
          <w:tcPr>
            <w:tcW w:w="4428" w:type="dxa"/>
            <w:tcBorders>
              <w:bottom w:val="nil"/>
              <w:right w:val="nil"/>
            </w:tcBorders>
            <w:vAlign w:val="bottom"/>
          </w:tcPr>
          <w:p w:rsidR="00DE2707" w:rsidRDefault="00747D8A" w:rsidP="00BB4867">
            <w:pPr>
              <w:rPr>
                <w:rFonts w:ascii="Arial" w:hAnsi="Arial"/>
                <w:caps/>
                <w:sz w:val="14"/>
              </w:rPr>
            </w:pPr>
            <w:r>
              <w:rPr>
                <w:rFonts w:ascii="Arial" w:hAnsi="Arial"/>
                <w:caps/>
                <w:sz w:val="14"/>
              </w:rPr>
              <w:t>City, State, zip Code</w:t>
            </w:r>
          </w:p>
        </w:tc>
      </w:tr>
      <w:tr w:rsidR="00DE2707" w:rsidTr="00475397">
        <w:trPr>
          <w:trHeight w:val="542"/>
          <w:jc w:val="center"/>
        </w:trPr>
        <w:tc>
          <w:tcPr>
            <w:tcW w:w="4428" w:type="dxa"/>
            <w:tcBorders>
              <w:top w:val="nil"/>
              <w:left w:val="nil"/>
              <w:bottom w:val="nil"/>
            </w:tcBorders>
            <w:vAlign w:val="center"/>
          </w:tcPr>
          <w:p w:rsidR="00DE2707" w:rsidRPr="008E26B6" w:rsidRDefault="000F61D0" w:rsidP="00BB4867">
            <w:pPr>
              <w:rPr>
                <w:rFonts w:ascii="Arial" w:hAnsi="Arial"/>
                <w:b/>
                <w:sz w:val="22"/>
              </w:rPr>
            </w:pPr>
            <w:r w:rsidRPr="00E54D67">
              <w:rPr>
                <w:rFonts w:ascii="Arial" w:hAnsi="Arial"/>
                <w:b/>
                <w:sz w:val="22"/>
                <w:highlight w:val="black"/>
              </w:rPr>
              <w:t>0644997</w:t>
            </w:r>
          </w:p>
        </w:tc>
        <w:tc>
          <w:tcPr>
            <w:tcW w:w="4428" w:type="dxa"/>
            <w:tcBorders>
              <w:top w:val="nil"/>
              <w:bottom w:val="nil"/>
              <w:right w:val="nil"/>
            </w:tcBorders>
            <w:vAlign w:val="center"/>
          </w:tcPr>
          <w:p w:rsidR="00DE2707" w:rsidRDefault="000F61D0" w:rsidP="00BB4867">
            <w:pPr>
              <w:pStyle w:val="Heading3"/>
            </w:pPr>
            <w:r w:rsidRPr="00E54D67">
              <w:rPr>
                <w:highlight w:val="black"/>
              </w:rPr>
              <w:t>STOCKTON, CA 95205-7128</w:t>
            </w:r>
          </w:p>
        </w:tc>
      </w:tr>
      <w:tr w:rsidR="00DE2707" w:rsidTr="00475397">
        <w:trPr>
          <w:trHeight w:val="63"/>
          <w:jc w:val="center"/>
        </w:trPr>
        <w:tc>
          <w:tcPr>
            <w:tcW w:w="4428" w:type="dxa"/>
            <w:tcBorders>
              <w:left w:val="nil"/>
              <w:bottom w:val="nil"/>
            </w:tcBorders>
            <w:vAlign w:val="bottom"/>
          </w:tcPr>
          <w:p w:rsidR="00DE2707" w:rsidRDefault="00DE2707" w:rsidP="00BB4867">
            <w:pPr>
              <w:rPr>
                <w:rFonts w:ascii="Arial" w:hAnsi="Arial"/>
                <w:caps/>
                <w:sz w:val="14"/>
              </w:rPr>
            </w:pPr>
            <w:r>
              <w:rPr>
                <w:rFonts w:ascii="Arial" w:hAnsi="Arial"/>
                <w:caps/>
                <w:sz w:val="14"/>
              </w:rPr>
              <w:t>SSN</w:t>
            </w:r>
          </w:p>
        </w:tc>
        <w:tc>
          <w:tcPr>
            <w:tcW w:w="4428" w:type="dxa"/>
            <w:tcBorders>
              <w:bottom w:val="nil"/>
              <w:right w:val="nil"/>
            </w:tcBorders>
            <w:vAlign w:val="bottom"/>
          </w:tcPr>
          <w:p w:rsidR="00DE2707" w:rsidRDefault="00DE2707" w:rsidP="00BB4867">
            <w:pPr>
              <w:rPr>
                <w:rFonts w:ascii="Arial" w:hAnsi="Arial"/>
                <w:caps/>
                <w:sz w:val="14"/>
              </w:rPr>
            </w:pPr>
            <w:r>
              <w:rPr>
                <w:rFonts w:ascii="Arial" w:hAnsi="Arial"/>
                <w:caps/>
                <w:sz w:val="14"/>
              </w:rPr>
              <w:t>Phone                                                     Language</w:t>
            </w:r>
          </w:p>
        </w:tc>
      </w:tr>
      <w:tr w:rsidR="00DE2707" w:rsidTr="00475397">
        <w:trPr>
          <w:trHeight w:val="542"/>
          <w:jc w:val="center"/>
        </w:trPr>
        <w:tc>
          <w:tcPr>
            <w:tcW w:w="4428" w:type="dxa"/>
            <w:tcBorders>
              <w:top w:val="nil"/>
              <w:left w:val="nil"/>
              <w:bottom w:val="single" w:sz="8" w:space="0" w:color="auto"/>
            </w:tcBorders>
            <w:vAlign w:val="center"/>
          </w:tcPr>
          <w:p w:rsidR="00DE2707" w:rsidRPr="00FE6B0E" w:rsidRDefault="000F61D0" w:rsidP="00BB4867">
            <w:pPr>
              <w:rPr>
                <w:rFonts w:ascii="Arial" w:hAnsi="Arial"/>
                <w:b/>
                <w:sz w:val="22"/>
              </w:rPr>
            </w:pPr>
            <w:r w:rsidRPr="00E54D67">
              <w:rPr>
                <w:rFonts w:ascii="Arial" w:hAnsi="Arial"/>
                <w:b/>
                <w:sz w:val="22"/>
                <w:highlight w:val="black"/>
              </w:rPr>
              <w:t>604-48-7475</w:t>
            </w:r>
          </w:p>
        </w:tc>
        <w:tc>
          <w:tcPr>
            <w:tcW w:w="4428" w:type="dxa"/>
            <w:tcBorders>
              <w:top w:val="nil"/>
              <w:bottom w:val="single" w:sz="8" w:space="0" w:color="auto"/>
              <w:right w:val="nil"/>
            </w:tcBorders>
            <w:vAlign w:val="center"/>
          </w:tcPr>
          <w:p w:rsidR="00DE2707" w:rsidRDefault="000F61D0" w:rsidP="00BB4867">
            <w:pPr>
              <w:rPr>
                <w:rFonts w:ascii="Arial" w:hAnsi="Arial"/>
                <w:b/>
                <w:sz w:val="22"/>
              </w:rPr>
            </w:pPr>
            <w:r w:rsidRPr="00E54D67">
              <w:rPr>
                <w:rFonts w:ascii="Arial" w:hAnsi="Arial"/>
                <w:b/>
                <w:sz w:val="22"/>
                <w:highlight w:val="black"/>
              </w:rPr>
              <w:t>209-271-1717</w:t>
            </w:r>
            <w:r>
              <w:rPr>
                <w:rFonts w:ascii="Arial" w:hAnsi="Arial"/>
                <w:b/>
                <w:sz w:val="22"/>
              </w:rPr>
              <w:t xml:space="preserve">                   ENGLISH</w:t>
            </w:r>
          </w:p>
        </w:tc>
      </w:tr>
    </w:tbl>
    <w:p w:rsidR="007F7634" w:rsidRDefault="007F7634" w:rsidP="007F7634">
      <w:pPr>
        <w:rPr>
          <w:rFonts w:ascii="Arial" w:hAnsi="Arial"/>
          <w:b/>
          <w:sz w:val="22"/>
        </w:rPr>
      </w:pPr>
    </w:p>
    <w:p w:rsidR="00DE2707" w:rsidRPr="007F7634" w:rsidRDefault="007F7634" w:rsidP="007F7634">
      <w:pPr>
        <w:jc w:val="both"/>
        <w:rPr>
          <w:rFonts w:ascii="Arial" w:hAnsi="Arial"/>
          <w:b/>
          <w:sz w:val="22"/>
        </w:rPr>
      </w:pPr>
      <w:r>
        <w:rPr>
          <w:rFonts w:ascii="Arial" w:hAnsi="Arial"/>
          <w:b/>
          <w:sz w:val="22"/>
        </w:rPr>
        <w:t>JURISDICTION</w:t>
      </w:r>
      <w:r w:rsidR="006A3E32">
        <w:rPr>
          <w:rFonts w:ascii="Arial" w:hAnsi="Arial"/>
          <w:b/>
          <w:sz w:val="22"/>
        </w:rPr>
        <w:t>:</w:t>
      </w:r>
    </w:p>
    <w:p w:rsidR="00DE2707" w:rsidRDefault="00DE2707" w:rsidP="00DE2707">
      <w:pPr>
        <w:rPr>
          <w:rFonts w:ascii="Arial" w:hAnsi="Arial"/>
          <w:sz w:val="22"/>
        </w:rPr>
      </w:pPr>
    </w:p>
    <w:p w:rsidR="00DE2707" w:rsidRDefault="00DE2707" w:rsidP="00DE2707">
      <w:pPr>
        <w:pStyle w:val="Heading2"/>
        <w:rPr>
          <w:b w:val="0"/>
          <w:sz w:val="22"/>
        </w:rPr>
      </w:pPr>
      <w:r>
        <w:rPr>
          <w:b w:val="0"/>
          <w:sz w:val="22"/>
        </w:rPr>
        <w:t>A.</w:t>
      </w:r>
      <w:r>
        <w:rPr>
          <w:b w:val="0"/>
          <w:sz w:val="22"/>
        </w:rPr>
        <w:tab/>
        <w:t>Status of Prosecution</w:t>
      </w:r>
    </w:p>
    <w:p w:rsidR="00DE2707" w:rsidRDefault="00DE2707" w:rsidP="00DE2707">
      <w:pPr>
        <w:rPr>
          <w:rFonts w:ascii="Arial" w:hAnsi="Arial"/>
          <w:sz w:val="22"/>
        </w:rPr>
      </w:pPr>
    </w:p>
    <w:tbl>
      <w:tblPr>
        <w:tblW w:w="9783"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3"/>
      </w:tblGrid>
      <w:tr w:rsidR="00DE2707" w:rsidTr="00345955">
        <w:trPr>
          <w:trHeight w:val="1844"/>
          <w:jc w:val="center"/>
        </w:trPr>
        <w:tc>
          <w:tcPr>
            <w:tcW w:w="9783" w:type="dxa"/>
            <w:tcBorders>
              <w:top w:val="single" w:sz="4" w:space="0" w:color="auto"/>
              <w:left w:val="single" w:sz="4" w:space="0" w:color="auto"/>
              <w:bottom w:val="single" w:sz="4" w:space="0" w:color="auto"/>
              <w:right w:val="single" w:sz="4" w:space="0" w:color="auto"/>
            </w:tcBorders>
            <w:vAlign w:val="center"/>
          </w:tcPr>
          <w:p w:rsidR="00DE2707" w:rsidRDefault="00DE2707" w:rsidP="00BB4867">
            <w:pPr>
              <w:ind w:left="720" w:hanging="720"/>
              <w:jc w:val="center"/>
              <w:rPr>
                <w:rFonts w:ascii="Arial" w:hAnsi="Arial"/>
                <w:sz w:val="22"/>
              </w:rPr>
            </w:pPr>
          </w:p>
          <w:p w:rsidR="00DE2707" w:rsidRDefault="00747D8A" w:rsidP="00BB4867">
            <w:pPr>
              <w:pStyle w:val="BodyTextIndent3"/>
              <w:rPr>
                <w:sz w:val="22"/>
              </w:rPr>
            </w:pPr>
            <w:r>
              <w:rPr>
                <w:sz w:val="22"/>
              </w:rPr>
              <w:t>_</w:t>
            </w:r>
            <w:r w:rsidR="000F61D0">
              <w:rPr>
                <w:sz w:val="22"/>
                <w:u w:val="single"/>
              </w:rPr>
              <w:t>X</w:t>
            </w:r>
            <w:r>
              <w:rPr>
                <w:sz w:val="22"/>
              </w:rPr>
              <w:t>_</w:t>
            </w:r>
            <w:r w:rsidR="00DE2707">
              <w:rPr>
                <w:sz w:val="22"/>
              </w:rPr>
              <w:tab/>
              <w:t>The case will not be referred to the DA for prosecution because of an agreement with the prosecutor such as monetary limit thresholds for resulting overpayments or overissuances</w:t>
            </w:r>
            <w:r>
              <w:rPr>
                <w:sz w:val="22"/>
              </w:rPr>
              <w:t>;</w:t>
            </w:r>
          </w:p>
          <w:p w:rsidR="00DE2707" w:rsidRDefault="00DE2707" w:rsidP="00BB4867">
            <w:pPr>
              <w:ind w:left="720" w:hanging="720"/>
              <w:jc w:val="center"/>
              <w:rPr>
                <w:rFonts w:ascii="Arial" w:hAnsi="Arial"/>
                <w:sz w:val="22"/>
              </w:rPr>
            </w:pPr>
          </w:p>
          <w:p w:rsidR="00DE2707" w:rsidRDefault="00747D8A" w:rsidP="00BB4867">
            <w:pPr>
              <w:pStyle w:val="BodyTextIndent3"/>
              <w:rPr>
                <w:sz w:val="22"/>
              </w:rPr>
            </w:pPr>
            <w:r>
              <w:rPr>
                <w:sz w:val="22"/>
              </w:rPr>
              <w:t>___</w:t>
            </w:r>
            <w:r w:rsidR="00DE2707">
              <w:rPr>
                <w:sz w:val="22"/>
              </w:rPr>
              <w:tab/>
              <w:t xml:space="preserve">The case was referred to the DA but was </w:t>
            </w:r>
            <w:r w:rsidR="001769B3">
              <w:rPr>
                <w:sz w:val="22"/>
              </w:rPr>
              <w:t>rejected</w:t>
            </w:r>
            <w:r w:rsidR="00DE2707">
              <w:rPr>
                <w:sz w:val="22"/>
              </w:rPr>
              <w:t xml:space="preserve"> for prosecution.</w:t>
            </w:r>
          </w:p>
          <w:p w:rsidR="00DE2707" w:rsidRDefault="00DE2707" w:rsidP="00BB4867">
            <w:pPr>
              <w:ind w:left="720" w:hanging="720"/>
              <w:jc w:val="center"/>
              <w:rPr>
                <w:rFonts w:ascii="Arial" w:hAnsi="Arial"/>
                <w:sz w:val="22"/>
              </w:rPr>
            </w:pPr>
          </w:p>
          <w:p w:rsidR="00DE2707" w:rsidRDefault="00747D8A" w:rsidP="00BB4867">
            <w:pPr>
              <w:pStyle w:val="BodyTextIndent3"/>
              <w:rPr>
                <w:sz w:val="22"/>
              </w:rPr>
            </w:pPr>
            <w:r>
              <w:rPr>
                <w:sz w:val="22"/>
              </w:rPr>
              <w:t>___</w:t>
            </w:r>
            <w:r w:rsidR="00DE2707">
              <w:rPr>
                <w:sz w:val="22"/>
              </w:rPr>
              <w:tab/>
              <w:t>The case was referred to the DA or the court but the factual issues in that case are different in this case.</w:t>
            </w:r>
          </w:p>
          <w:p w:rsidR="00DE2707" w:rsidRDefault="00DE2707" w:rsidP="00BB4867">
            <w:pPr>
              <w:ind w:left="720" w:hanging="720"/>
              <w:jc w:val="center"/>
              <w:rPr>
                <w:rFonts w:ascii="Arial" w:hAnsi="Arial"/>
                <w:sz w:val="22"/>
              </w:rPr>
            </w:pPr>
          </w:p>
          <w:p w:rsidR="00DE2707" w:rsidRDefault="00747D8A" w:rsidP="00BB4867">
            <w:pPr>
              <w:pStyle w:val="BodyTextIndent3"/>
              <w:rPr>
                <w:sz w:val="22"/>
              </w:rPr>
            </w:pPr>
            <w:r>
              <w:rPr>
                <w:sz w:val="22"/>
              </w:rPr>
              <w:t>___</w:t>
            </w:r>
            <w:r w:rsidR="00DE2707">
              <w:rPr>
                <w:sz w:val="22"/>
              </w:rPr>
              <w:tab/>
              <w:t>The case has not yet been referred to the DA for prosecution.</w:t>
            </w:r>
          </w:p>
          <w:p w:rsidR="00DE2707" w:rsidRDefault="00DE2707" w:rsidP="00BB4867">
            <w:pPr>
              <w:pStyle w:val="BodyTextIndent3"/>
              <w:rPr>
                <w:sz w:val="22"/>
              </w:rPr>
            </w:pPr>
          </w:p>
        </w:tc>
      </w:tr>
    </w:tbl>
    <w:p w:rsidR="00DE2707" w:rsidRDefault="00DE2707" w:rsidP="00DE2707">
      <w:pPr>
        <w:pStyle w:val="BodyTextIndent3"/>
        <w:rPr>
          <w:sz w:val="22"/>
        </w:rPr>
      </w:pPr>
    </w:p>
    <w:p w:rsidR="00DE2707" w:rsidRDefault="00DE2707" w:rsidP="00DE2707">
      <w:pPr>
        <w:pStyle w:val="BodyTextIndent3"/>
        <w:numPr>
          <w:ilvl w:val="0"/>
          <w:numId w:val="1"/>
        </w:numPr>
        <w:tabs>
          <w:tab w:val="clear" w:pos="720"/>
        </w:tabs>
        <w:rPr>
          <w:b/>
          <w:sz w:val="22"/>
        </w:rPr>
      </w:pPr>
      <w:r w:rsidRPr="00475397">
        <w:rPr>
          <w:b/>
          <w:sz w:val="22"/>
        </w:rPr>
        <w:t>Address Determination</w:t>
      </w:r>
    </w:p>
    <w:p w:rsidR="006A3E32" w:rsidRPr="00475397" w:rsidRDefault="006A3E32" w:rsidP="006A3E32">
      <w:pPr>
        <w:pStyle w:val="BodyTextIndent3"/>
        <w:ind w:firstLine="0"/>
        <w:rPr>
          <w:b/>
          <w:sz w:val="22"/>
        </w:rPr>
      </w:pPr>
    </w:p>
    <w:p w:rsidR="00DE2707" w:rsidRPr="00475397" w:rsidRDefault="00DE2707" w:rsidP="00DE2707">
      <w:pPr>
        <w:pStyle w:val="BodyTextIndent"/>
        <w:rPr>
          <w:b/>
        </w:rPr>
      </w:pPr>
      <w:r w:rsidRPr="00475397">
        <w:rPr>
          <w:b/>
        </w:rPr>
        <w:t>The county at the hearing will affirm that the address used by the State at the time the State sent notice of this hearing was appropriate (e.g., as reflected in current county records, last known address with no reports of changed addresses, etc.)</w:t>
      </w:r>
    </w:p>
    <w:p w:rsidR="00C13FAC" w:rsidRDefault="00C13FAC" w:rsidP="00C13FAC">
      <w:pPr>
        <w:pStyle w:val="BodyTextIndent"/>
        <w:ind w:left="0"/>
      </w:pPr>
    </w:p>
    <w:p w:rsidR="001769B3" w:rsidRDefault="000F61D0" w:rsidP="00C13FAC">
      <w:pPr>
        <w:pStyle w:val="BodyTextIndent"/>
        <w:ind w:left="0"/>
      </w:pPr>
      <w:r>
        <w:t>*** Respondent has an active MediCal case in San Joaquin County at this address.</w:t>
      </w:r>
      <w:r w:rsidR="00C13FAC">
        <w:t xml:space="preserve"> </w:t>
      </w:r>
      <w:r w:rsidR="00C13FAC" w:rsidRPr="00C13FAC">
        <w:rPr>
          <w:b/>
        </w:rPr>
        <w:t>(Attachment 1)</w:t>
      </w:r>
    </w:p>
    <w:p w:rsidR="006A3E32" w:rsidRDefault="006A3E32" w:rsidP="00DE2707">
      <w:pPr>
        <w:pStyle w:val="BodyTextIndent"/>
      </w:pPr>
    </w:p>
    <w:p w:rsidR="006A3E32" w:rsidRDefault="006A3E32" w:rsidP="00DE2707">
      <w:pPr>
        <w:pStyle w:val="BodyTextIndent"/>
      </w:pPr>
    </w:p>
    <w:p w:rsidR="00DE2707" w:rsidRPr="001769B3" w:rsidRDefault="00DE2707" w:rsidP="00DE2707">
      <w:pPr>
        <w:rPr>
          <w:rFonts w:ascii="Arial" w:hAnsi="Arial"/>
          <w:b/>
        </w:rPr>
      </w:pPr>
      <w:r w:rsidRPr="001769B3">
        <w:rPr>
          <w:rFonts w:ascii="Arial" w:hAnsi="Arial"/>
          <w:b/>
        </w:rPr>
        <w:t>IPV ALLEGATION:</w:t>
      </w:r>
    </w:p>
    <w:p w:rsidR="00DE2707" w:rsidRPr="001769B3" w:rsidRDefault="00DE2707" w:rsidP="00DE2707">
      <w:pPr>
        <w:rPr>
          <w:rFonts w:ascii="Arial" w:hAnsi="Arial"/>
        </w:rPr>
      </w:pPr>
    </w:p>
    <w:p w:rsidR="00DE2707" w:rsidRPr="001769B3" w:rsidRDefault="00DE2707" w:rsidP="00DE2707">
      <w:pPr>
        <w:numPr>
          <w:ilvl w:val="0"/>
          <w:numId w:val="2"/>
        </w:numPr>
        <w:tabs>
          <w:tab w:val="left" w:pos="4"/>
        </w:tabs>
        <w:ind w:right="-547"/>
        <w:rPr>
          <w:rFonts w:ascii="Arial" w:hAnsi="Arial"/>
          <w:b/>
        </w:rPr>
      </w:pPr>
      <w:r w:rsidRPr="001769B3">
        <w:rPr>
          <w:rFonts w:ascii="Arial" w:hAnsi="Arial"/>
          <w:b/>
        </w:rPr>
        <w:t xml:space="preserve">Describe the </w:t>
      </w:r>
      <w:r w:rsidRPr="001769B3">
        <w:rPr>
          <w:rFonts w:ascii="Arial" w:hAnsi="Arial"/>
          <w:b/>
          <w:u w:val="single"/>
        </w:rPr>
        <w:t>action(s)</w:t>
      </w:r>
      <w:r w:rsidRPr="001769B3">
        <w:rPr>
          <w:rFonts w:ascii="Arial" w:hAnsi="Arial"/>
          <w:b/>
        </w:rPr>
        <w:t xml:space="preserve"> the person took and/or the </w:t>
      </w:r>
      <w:r w:rsidRPr="001769B3">
        <w:rPr>
          <w:rFonts w:ascii="Arial" w:hAnsi="Arial"/>
          <w:b/>
          <w:u w:val="single"/>
        </w:rPr>
        <w:t>occurrence(s)</w:t>
      </w:r>
      <w:r w:rsidRPr="001769B3">
        <w:rPr>
          <w:rFonts w:ascii="Arial" w:hAnsi="Arial"/>
          <w:b/>
        </w:rPr>
        <w:t xml:space="preserve"> he/she failed to report which resulted in an Intentional Program Violation (IPV) as generally defined in regulation MPP Sections 20-300.1 and 20-351i.1. </w:t>
      </w:r>
    </w:p>
    <w:p w:rsidR="00DE2707" w:rsidRDefault="00DE2707" w:rsidP="00DE2707">
      <w:pPr>
        <w:tabs>
          <w:tab w:val="left" w:pos="4"/>
        </w:tabs>
        <w:ind w:left="360" w:right="-547"/>
        <w:rPr>
          <w:rFonts w:ascii="Arial" w:hAnsi="Arial"/>
          <w:sz w:val="22"/>
        </w:rPr>
      </w:pPr>
    </w:p>
    <w:p w:rsidR="00C13FAC" w:rsidRPr="00C13FAC" w:rsidRDefault="00C13FAC" w:rsidP="00DE2707">
      <w:pPr>
        <w:tabs>
          <w:tab w:val="left" w:pos="4"/>
        </w:tabs>
        <w:ind w:left="360" w:right="-547"/>
        <w:rPr>
          <w:rFonts w:ascii="Arial" w:hAnsi="Arial"/>
        </w:rPr>
      </w:pPr>
      <w:r w:rsidRPr="00E54D67">
        <w:rPr>
          <w:rFonts w:ascii="Arial" w:hAnsi="Arial"/>
          <w:highlight w:val="black"/>
        </w:rPr>
        <w:t>Kristina More</w:t>
      </w:r>
      <w:r>
        <w:rPr>
          <w:rFonts w:ascii="Arial" w:hAnsi="Arial"/>
        </w:rPr>
        <w:t xml:space="preserve"> worked for </w:t>
      </w:r>
      <w:r w:rsidRPr="00E54D67">
        <w:rPr>
          <w:rFonts w:ascii="Arial" w:hAnsi="Arial"/>
          <w:highlight w:val="black"/>
        </w:rPr>
        <w:t>Apple American Group, LLC/Applebee</w:t>
      </w:r>
      <w:r w:rsidR="00701122" w:rsidRPr="00E54D67">
        <w:rPr>
          <w:rFonts w:ascii="Arial" w:hAnsi="Arial"/>
          <w:highlight w:val="black"/>
        </w:rPr>
        <w:t>’</w:t>
      </w:r>
      <w:r w:rsidRPr="00E54D67">
        <w:rPr>
          <w:rFonts w:ascii="Arial" w:hAnsi="Arial"/>
          <w:highlight w:val="black"/>
        </w:rPr>
        <w:t>s</w:t>
      </w:r>
      <w:r>
        <w:rPr>
          <w:rFonts w:ascii="Arial" w:hAnsi="Arial"/>
        </w:rPr>
        <w:t xml:space="preserve"> from 02/27/2017 through 01/02/2018. The County received and IEVS Earnings report from EDD dated 07/01/2017 </w:t>
      </w:r>
      <w:r w:rsidRPr="00C13FAC">
        <w:rPr>
          <w:rFonts w:ascii="Arial" w:hAnsi="Arial"/>
          <w:b/>
        </w:rPr>
        <w:t>(Attachment 2)</w:t>
      </w:r>
      <w:r>
        <w:rPr>
          <w:rFonts w:ascii="Arial" w:hAnsi="Arial"/>
          <w:b/>
        </w:rPr>
        <w:t xml:space="preserve"> </w:t>
      </w:r>
      <w:r>
        <w:rPr>
          <w:rFonts w:ascii="Arial" w:hAnsi="Arial"/>
        </w:rPr>
        <w:t xml:space="preserve">which shows that the respondent’s household had earnings. The employment and wage verification provided by The WorkNumber verification system matches the Social Security Number in County Case Records and indicates that the respondent had earnings from the employer. </w:t>
      </w:r>
      <w:r w:rsidRPr="00C13FAC">
        <w:rPr>
          <w:rFonts w:ascii="Arial" w:hAnsi="Arial"/>
          <w:b/>
        </w:rPr>
        <w:t>(Attachment 3)</w:t>
      </w:r>
      <w:r>
        <w:rPr>
          <w:rFonts w:ascii="Arial" w:hAnsi="Arial"/>
        </w:rPr>
        <w:t xml:space="preserve"> The following chart is a breakdown of the income reported by the employer </w:t>
      </w:r>
      <w:r w:rsidRPr="00C13FAC">
        <w:rPr>
          <w:rFonts w:ascii="Arial" w:hAnsi="Arial"/>
          <w:b/>
        </w:rPr>
        <w:t>(Attachment 4)</w:t>
      </w:r>
      <w:r>
        <w:rPr>
          <w:rFonts w:ascii="Arial" w:hAnsi="Arial"/>
        </w:rPr>
        <w:t xml:space="preserve"> and what the respondent reported to the CWD.  </w:t>
      </w:r>
    </w:p>
    <w:p w:rsidR="00DE2707" w:rsidRDefault="00DE2707" w:rsidP="00DE2707">
      <w:pPr>
        <w:tabs>
          <w:tab w:val="left" w:pos="4"/>
        </w:tabs>
        <w:ind w:left="360" w:right="-547"/>
        <w:rPr>
          <w:rFonts w:ascii="Arial" w:hAnsi="Arial"/>
          <w:sz w:val="22"/>
        </w:rPr>
      </w:pPr>
    </w:p>
    <w:tbl>
      <w:tblPr>
        <w:tblW w:w="765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75"/>
        <w:gridCol w:w="3285"/>
      </w:tblGrid>
      <w:tr w:rsidR="00AF0B15" w:rsidTr="00C13FAC">
        <w:trPr>
          <w:cantSplit/>
          <w:jc w:val="center"/>
        </w:trPr>
        <w:tc>
          <w:tcPr>
            <w:tcW w:w="4365" w:type="dxa"/>
            <w:gridSpan w:val="2"/>
            <w:tcBorders>
              <w:bottom w:val="single" w:sz="4" w:space="0" w:color="auto"/>
            </w:tcBorders>
            <w:shd w:val="pct25" w:color="000000" w:fill="FFFFFF"/>
          </w:tcPr>
          <w:p w:rsidR="00AF0B15" w:rsidRDefault="00AF0B15" w:rsidP="00BB4867">
            <w:pPr>
              <w:tabs>
                <w:tab w:val="left" w:pos="4"/>
              </w:tabs>
              <w:ind w:right="-547"/>
              <w:rPr>
                <w:rFonts w:ascii="Arial" w:hAnsi="Arial"/>
                <w:sz w:val="22"/>
              </w:rPr>
            </w:pPr>
            <w:r>
              <w:rPr>
                <w:rFonts w:ascii="Arial" w:hAnsi="Arial"/>
                <w:sz w:val="22"/>
              </w:rPr>
              <w:t xml:space="preserve">           EMPLOYER REPORTED</w:t>
            </w:r>
          </w:p>
        </w:tc>
        <w:tc>
          <w:tcPr>
            <w:tcW w:w="3285" w:type="dxa"/>
            <w:tcBorders>
              <w:bottom w:val="single" w:sz="4" w:space="0" w:color="auto"/>
            </w:tcBorders>
            <w:shd w:val="pct25" w:color="000000" w:fill="FFFFFF"/>
          </w:tcPr>
          <w:p w:rsidR="00AF0B15" w:rsidRDefault="00AF0B15" w:rsidP="00BB4867">
            <w:pPr>
              <w:tabs>
                <w:tab w:val="left" w:pos="4"/>
              </w:tabs>
              <w:ind w:right="-547"/>
              <w:rPr>
                <w:rFonts w:ascii="Arial" w:hAnsi="Arial"/>
                <w:sz w:val="22"/>
              </w:rPr>
            </w:pPr>
            <w:r>
              <w:rPr>
                <w:rFonts w:ascii="Arial" w:hAnsi="Arial"/>
                <w:sz w:val="22"/>
              </w:rPr>
              <w:t>RESPONDENT REPORTED</w:t>
            </w:r>
          </w:p>
        </w:tc>
      </w:tr>
      <w:tr w:rsidR="00AF0B15" w:rsidTr="00C13FAC">
        <w:trPr>
          <w:jc w:val="center"/>
        </w:trPr>
        <w:tc>
          <w:tcPr>
            <w:tcW w:w="4365" w:type="dxa"/>
            <w:gridSpan w:val="2"/>
            <w:tcBorders>
              <w:top w:val="single" w:sz="4" w:space="0" w:color="auto"/>
              <w:left w:val="single" w:sz="4" w:space="0" w:color="auto"/>
              <w:bottom w:val="single" w:sz="4" w:space="0" w:color="auto"/>
              <w:right w:val="single" w:sz="4" w:space="0" w:color="auto"/>
            </w:tcBorders>
          </w:tcPr>
          <w:p w:rsidR="00C13FAC" w:rsidRDefault="00AF0B15" w:rsidP="0039245A">
            <w:pPr>
              <w:tabs>
                <w:tab w:val="left" w:pos="4"/>
              </w:tabs>
              <w:ind w:right="-547"/>
              <w:rPr>
                <w:rFonts w:ascii="Arial" w:hAnsi="Arial"/>
                <w:b/>
                <w:sz w:val="22"/>
              </w:rPr>
            </w:pPr>
            <w:r>
              <w:rPr>
                <w:rFonts w:ascii="Arial" w:hAnsi="Arial"/>
                <w:b/>
                <w:sz w:val="22"/>
              </w:rPr>
              <w:tab/>
            </w:r>
            <w:r w:rsidR="00C13FAC">
              <w:rPr>
                <w:rFonts w:ascii="Arial" w:hAnsi="Arial"/>
                <w:b/>
                <w:sz w:val="22"/>
              </w:rPr>
              <w:t>Employer:</w:t>
            </w:r>
          </w:p>
          <w:p w:rsidR="00AF0B15" w:rsidRPr="0044781A" w:rsidRDefault="00C13FAC" w:rsidP="00C13FAC">
            <w:pPr>
              <w:tabs>
                <w:tab w:val="left" w:pos="4"/>
              </w:tabs>
              <w:ind w:right="-547"/>
              <w:rPr>
                <w:rFonts w:ascii="Arial" w:hAnsi="Arial"/>
                <w:b/>
                <w:sz w:val="22"/>
              </w:rPr>
            </w:pPr>
            <w:r w:rsidRPr="00E54D67">
              <w:rPr>
                <w:rFonts w:ascii="Arial" w:hAnsi="Arial"/>
                <w:b/>
                <w:sz w:val="22"/>
                <w:highlight w:val="black"/>
              </w:rPr>
              <w:t>Apple American Group, LLC/Applebee’s</w:t>
            </w:r>
          </w:p>
        </w:tc>
        <w:tc>
          <w:tcPr>
            <w:tcW w:w="3285" w:type="dxa"/>
            <w:tcBorders>
              <w:top w:val="single" w:sz="4" w:space="0" w:color="auto"/>
              <w:left w:val="single" w:sz="4" w:space="0" w:color="auto"/>
              <w:bottom w:val="single" w:sz="4" w:space="0" w:color="auto"/>
              <w:right w:val="single" w:sz="4" w:space="0" w:color="auto"/>
            </w:tcBorders>
          </w:tcPr>
          <w:p w:rsidR="00AF0B15" w:rsidRDefault="00C13FAC" w:rsidP="009657C9">
            <w:pPr>
              <w:tabs>
                <w:tab w:val="left" w:pos="4"/>
              </w:tabs>
              <w:ind w:right="-547"/>
              <w:rPr>
                <w:rFonts w:ascii="Arial" w:hAnsi="Arial"/>
                <w:b/>
                <w:sz w:val="22"/>
              </w:rPr>
            </w:pPr>
            <w:r>
              <w:rPr>
                <w:rFonts w:ascii="Arial" w:hAnsi="Arial"/>
                <w:b/>
                <w:sz w:val="22"/>
              </w:rPr>
              <w:t>Name of Respondent:</w:t>
            </w:r>
          </w:p>
          <w:p w:rsidR="00C13FAC" w:rsidRDefault="00C13FAC" w:rsidP="009657C9">
            <w:pPr>
              <w:tabs>
                <w:tab w:val="left" w:pos="4"/>
              </w:tabs>
              <w:ind w:right="-547"/>
              <w:rPr>
                <w:rFonts w:ascii="Arial" w:hAnsi="Arial"/>
                <w:b/>
                <w:sz w:val="22"/>
              </w:rPr>
            </w:pPr>
            <w:r w:rsidRPr="00E54D67">
              <w:rPr>
                <w:rFonts w:ascii="Arial" w:hAnsi="Arial"/>
                <w:b/>
                <w:sz w:val="22"/>
                <w:highlight w:val="black"/>
              </w:rPr>
              <w:t>Kristina Mora</w:t>
            </w:r>
          </w:p>
        </w:tc>
      </w:tr>
      <w:tr w:rsidR="00AF0B15" w:rsidTr="00C13FAC">
        <w:trPr>
          <w:jc w:val="center"/>
        </w:trPr>
        <w:tc>
          <w:tcPr>
            <w:tcW w:w="1890" w:type="dxa"/>
            <w:tcBorders>
              <w:top w:val="single" w:sz="4" w:space="0" w:color="auto"/>
            </w:tcBorders>
          </w:tcPr>
          <w:p w:rsidR="00AF0B15" w:rsidRDefault="00AF0B15" w:rsidP="00BB4867">
            <w:pPr>
              <w:tabs>
                <w:tab w:val="left" w:pos="4"/>
              </w:tabs>
              <w:ind w:right="-547"/>
              <w:rPr>
                <w:rFonts w:ascii="Arial" w:hAnsi="Arial"/>
                <w:sz w:val="22"/>
              </w:rPr>
            </w:pPr>
            <w:r>
              <w:rPr>
                <w:rFonts w:ascii="Arial" w:hAnsi="Arial"/>
                <w:sz w:val="22"/>
              </w:rPr>
              <w:t>Date Paid:</w:t>
            </w:r>
            <w:r>
              <w:rPr>
                <w:rFonts w:ascii="Arial" w:hAnsi="Arial"/>
                <w:sz w:val="22"/>
              </w:rPr>
              <w:tab/>
            </w:r>
          </w:p>
        </w:tc>
        <w:tc>
          <w:tcPr>
            <w:tcW w:w="2475" w:type="dxa"/>
            <w:tcBorders>
              <w:top w:val="single" w:sz="4" w:space="0" w:color="auto"/>
            </w:tcBorders>
          </w:tcPr>
          <w:p w:rsidR="00AF0B15" w:rsidRDefault="00AF0B15" w:rsidP="00C13FAC">
            <w:pPr>
              <w:tabs>
                <w:tab w:val="left" w:pos="4"/>
              </w:tabs>
              <w:ind w:right="-547"/>
              <w:rPr>
                <w:rFonts w:ascii="Arial" w:hAnsi="Arial"/>
                <w:sz w:val="22"/>
              </w:rPr>
            </w:pPr>
            <w:r>
              <w:rPr>
                <w:rFonts w:ascii="Arial" w:hAnsi="Arial"/>
                <w:sz w:val="22"/>
              </w:rPr>
              <w:t>Gross Amount:</w:t>
            </w:r>
          </w:p>
        </w:tc>
        <w:tc>
          <w:tcPr>
            <w:tcW w:w="3285" w:type="dxa"/>
          </w:tcPr>
          <w:p w:rsidR="00AF0B15" w:rsidRDefault="00C13FAC" w:rsidP="00BB4867">
            <w:pPr>
              <w:tabs>
                <w:tab w:val="left" w:pos="4"/>
              </w:tabs>
              <w:ind w:right="-547"/>
              <w:rPr>
                <w:rFonts w:ascii="Arial" w:hAnsi="Arial"/>
                <w:sz w:val="22"/>
              </w:rPr>
            </w:pPr>
            <w:r>
              <w:rPr>
                <w:rFonts w:ascii="Arial" w:hAnsi="Arial"/>
                <w:sz w:val="22"/>
              </w:rPr>
              <w:t>Amount Reported:</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03/07/2017</w:t>
            </w:r>
          </w:p>
        </w:tc>
        <w:tc>
          <w:tcPr>
            <w:tcW w:w="2475" w:type="dxa"/>
          </w:tcPr>
          <w:p w:rsidR="00AF0B15" w:rsidRDefault="00C13FAC" w:rsidP="00C13FAC">
            <w:pPr>
              <w:tabs>
                <w:tab w:val="left" w:pos="702"/>
              </w:tabs>
              <w:ind w:right="-547"/>
              <w:rPr>
                <w:rFonts w:ascii="Arial" w:hAnsi="Arial"/>
                <w:sz w:val="22"/>
              </w:rPr>
            </w:pPr>
            <w:r>
              <w:rPr>
                <w:rFonts w:ascii="Arial" w:hAnsi="Arial"/>
                <w:sz w:val="22"/>
              </w:rPr>
              <w:t>$75.60</w:t>
            </w:r>
          </w:p>
        </w:tc>
        <w:tc>
          <w:tcPr>
            <w:tcW w:w="3285" w:type="dxa"/>
          </w:tcPr>
          <w:p w:rsidR="00AF0B15" w:rsidRDefault="00C13FAC"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03/21/2017</w:t>
            </w:r>
          </w:p>
        </w:tc>
        <w:tc>
          <w:tcPr>
            <w:tcW w:w="2475" w:type="dxa"/>
          </w:tcPr>
          <w:p w:rsidR="00AF0B15" w:rsidRDefault="00C13FAC" w:rsidP="00A75809">
            <w:pPr>
              <w:tabs>
                <w:tab w:val="left" w:pos="702"/>
              </w:tabs>
              <w:ind w:right="-547"/>
              <w:rPr>
                <w:rFonts w:ascii="Arial" w:hAnsi="Arial"/>
                <w:sz w:val="22"/>
              </w:rPr>
            </w:pPr>
            <w:r>
              <w:rPr>
                <w:rFonts w:ascii="Arial" w:hAnsi="Arial"/>
                <w:sz w:val="22"/>
              </w:rPr>
              <w:t>$846.62</w:t>
            </w:r>
          </w:p>
        </w:tc>
        <w:tc>
          <w:tcPr>
            <w:tcW w:w="3285" w:type="dxa"/>
          </w:tcPr>
          <w:p w:rsidR="00AF0B15" w:rsidRDefault="00C13FAC"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04/04/2017</w:t>
            </w:r>
          </w:p>
        </w:tc>
        <w:tc>
          <w:tcPr>
            <w:tcW w:w="2475" w:type="dxa"/>
          </w:tcPr>
          <w:p w:rsidR="00AF0B15" w:rsidRDefault="00C13FAC" w:rsidP="00A75809">
            <w:pPr>
              <w:tabs>
                <w:tab w:val="left" w:pos="702"/>
              </w:tabs>
              <w:ind w:right="-547"/>
              <w:rPr>
                <w:rFonts w:ascii="Arial" w:hAnsi="Arial"/>
                <w:sz w:val="22"/>
              </w:rPr>
            </w:pPr>
            <w:r>
              <w:rPr>
                <w:rFonts w:ascii="Arial" w:hAnsi="Arial"/>
                <w:sz w:val="22"/>
              </w:rPr>
              <w:t>$1,085.58</w:t>
            </w:r>
          </w:p>
        </w:tc>
        <w:tc>
          <w:tcPr>
            <w:tcW w:w="3285" w:type="dxa"/>
          </w:tcPr>
          <w:p w:rsidR="00AF0B15" w:rsidRDefault="00C13FAC"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04/18/2017</w:t>
            </w:r>
          </w:p>
        </w:tc>
        <w:tc>
          <w:tcPr>
            <w:tcW w:w="2475" w:type="dxa"/>
          </w:tcPr>
          <w:p w:rsidR="00AF0B15" w:rsidRDefault="00C13FAC" w:rsidP="00407B20">
            <w:pPr>
              <w:tabs>
                <w:tab w:val="left" w:pos="702"/>
              </w:tabs>
              <w:ind w:right="-547"/>
              <w:rPr>
                <w:rFonts w:ascii="Arial" w:hAnsi="Arial"/>
                <w:sz w:val="22"/>
              </w:rPr>
            </w:pPr>
            <w:r>
              <w:rPr>
                <w:rFonts w:ascii="Arial" w:hAnsi="Arial"/>
                <w:sz w:val="22"/>
              </w:rPr>
              <w:t>$994.53</w:t>
            </w:r>
          </w:p>
        </w:tc>
        <w:tc>
          <w:tcPr>
            <w:tcW w:w="3285" w:type="dxa"/>
          </w:tcPr>
          <w:p w:rsidR="00AF0B15" w:rsidRDefault="00C13FAC"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05/02/2017</w:t>
            </w:r>
          </w:p>
        </w:tc>
        <w:tc>
          <w:tcPr>
            <w:tcW w:w="2475" w:type="dxa"/>
          </w:tcPr>
          <w:p w:rsidR="00AF0B15" w:rsidRDefault="00C13FAC" w:rsidP="00A75809">
            <w:pPr>
              <w:tabs>
                <w:tab w:val="left" w:pos="702"/>
              </w:tabs>
              <w:ind w:right="-547"/>
              <w:rPr>
                <w:rFonts w:ascii="Arial" w:hAnsi="Arial"/>
                <w:sz w:val="22"/>
              </w:rPr>
            </w:pPr>
            <w:r>
              <w:rPr>
                <w:rFonts w:ascii="Arial" w:hAnsi="Arial"/>
                <w:sz w:val="22"/>
              </w:rPr>
              <w:t>$797.35</w:t>
            </w:r>
          </w:p>
        </w:tc>
        <w:tc>
          <w:tcPr>
            <w:tcW w:w="3285" w:type="dxa"/>
          </w:tcPr>
          <w:p w:rsidR="00AF0B15" w:rsidRDefault="00C13FAC"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05/16/2017</w:t>
            </w:r>
          </w:p>
        </w:tc>
        <w:tc>
          <w:tcPr>
            <w:tcW w:w="2475" w:type="dxa"/>
          </w:tcPr>
          <w:p w:rsidR="00AF0B15" w:rsidRDefault="00C13FAC" w:rsidP="00A75809">
            <w:pPr>
              <w:tabs>
                <w:tab w:val="left" w:pos="702"/>
              </w:tabs>
              <w:ind w:right="-547"/>
              <w:rPr>
                <w:rFonts w:ascii="Arial" w:hAnsi="Arial"/>
                <w:sz w:val="22"/>
              </w:rPr>
            </w:pPr>
            <w:r>
              <w:rPr>
                <w:rFonts w:ascii="Arial" w:hAnsi="Arial"/>
                <w:sz w:val="22"/>
              </w:rPr>
              <w:t>$414.60</w:t>
            </w:r>
          </w:p>
        </w:tc>
        <w:tc>
          <w:tcPr>
            <w:tcW w:w="3285" w:type="dxa"/>
          </w:tcPr>
          <w:p w:rsidR="00AF0B15" w:rsidRDefault="00C13FAC"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05/30/2017</w:t>
            </w:r>
          </w:p>
        </w:tc>
        <w:tc>
          <w:tcPr>
            <w:tcW w:w="2475" w:type="dxa"/>
          </w:tcPr>
          <w:p w:rsidR="00AF0B15" w:rsidRDefault="00C13FAC" w:rsidP="00A75809">
            <w:pPr>
              <w:tabs>
                <w:tab w:val="left" w:pos="702"/>
              </w:tabs>
              <w:ind w:right="-547"/>
              <w:rPr>
                <w:rFonts w:ascii="Arial" w:hAnsi="Arial"/>
                <w:sz w:val="22"/>
              </w:rPr>
            </w:pPr>
            <w:r>
              <w:rPr>
                <w:rFonts w:ascii="Arial" w:hAnsi="Arial"/>
                <w:sz w:val="22"/>
              </w:rPr>
              <w:t>$1,295.90</w:t>
            </w:r>
          </w:p>
        </w:tc>
        <w:tc>
          <w:tcPr>
            <w:tcW w:w="3285" w:type="dxa"/>
          </w:tcPr>
          <w:p w:rsidR="00AF0B15" w:rsidRDefault="00C13FAC"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C13FAC" w:rsidP="00A75809">
            <w:pPr>
              <w:tabs>
                <w:tab w:val="left" w:pos="342"/>
              </w:tabs>
              <w:ind w:right="-547"/>
              <w:rPr>
                <w:rFonts w:ascii="Arial" w:hAnsi="Arial"/>
                <w:sz w:val="22"/>
              </w:rPr>
            </w:pPr>
            <w:r>
              <w:rPr>
                <w:rFonts w:ascii="Arial" w:hAnsi="Arial"/>
                <w:sz w:val="22"/>
              </w:rPr>
              <w:t>06/13/2017</w:t>
            </w:r>
          </w:p>
        </w:tc>
        <w:tc>
          <w:tcPr>
            <w:tcW w:w="2475" w:type="dxa"/>
          </w:tcPr>
          <w:p w:rsidR="00AF0B15" w:rsidRDefault="00E941BB" w:rsidP="00A75809">
            <w:pPr>
              <w:tabs>
                <w:tab w:val="left" w:pos="702"/>
              </w:tabs>
              <w:ind w:right="-547"/>
              <w:rPr>
                <w:rFonts w:ascii="Arial" w:hAnsi="Arial"/>
                <w:sz w:val="22"/>
              </w:rPr>
            </w:pPr>
            <w:r>
              <w:rPr>
                <w:rFonts w:ascii="Arial" w:hAnsi="Arial"/>
                <w:sz w:val="22"/>
              </w:rPr>
              <w:t>$1,415.25</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A75809">
            <w:pPr>
              <w:tabs>
                <w:tab w:val="left" w:pos="342"/>
              </w:tabs>
              <w:ind w:right="-547"/>
              <w:rPr>
                <w:rFonts w:ascii="Arial" w:hAnsi="Arial"/>
                <w:sz w:val="22"/>
              </w:rPr>
            </w:pPr>
            <w:r>
              <w:rPr>
                <w:rFonts w:ascii="Arial" w:hAnsi="Arial"/>
                <w:sz w:val="22"/>
              </w:rPr>
              <w:t>06/27/2017</w:t>
            </w:r>
          </w:p>
        </w:tc>
        <w:tc>
          <w:tcPr>
            <w:tcW w:w="2475" w:type="dxa"/>
          </w:tcPr>
          <w:p w:rsidR="00AF0B15" w:rsidRDefault="00E941BB" w:rsidP="00A75809">
            <w:pPr>
              <w:tabs>
                <w:tab w:val="left" w:pos="702"/>
              </w:tabs>
              <w:ind w:right="-547"/>
              <w:rPr>
                <w:rFonts w:ascii="Arial" w:hAnsi="Arial"/>
                <w:sz w:val="22"/>
              </w:rPr>
            </w:pPr>
            <w:r>
              <w:rPr>
                <w:rFonts w:ascii="Arial" w:hAnsi="Arial"/>
                <w:sz w:val="22"/>
              </w:rPr>
              <w:t>$725.45</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A75809">
            <w:pPr>
              <w:tabs>
                <w:tab w:val="left" w:pos="342"/>
              </w:tabs>
              <w:ind w:right="-547"/>
              <w:rPr>
                <w:rFonts w:ascii="Arial" w:hAnsi="Arial"/>
                <w:sz w:val="22"/>
              </w:rPr>
            </w:pPr>
            <w:r>
              <w:rPr>
                <w:rFonts w:ascii="Arial" w:hAnsi="Arial"/>
                <w:sz w:val="22"/>
              </w:rPr>
              <w:t>07/11/2017</w:t>
            </w:r>
          </w:p>
        </w:tc>
        <w:tc>
          <w:tcPr>
            <w:tcW w:w="2475" w:type="dxa"/>
          </w:tcPr>
          <w:p w:rsidR="00AF0B15" w:rsidRDefault="00E941BB" w:rsidP="00950342">
            <w:pPr>
              <w:tabs>
                <w:tab w:val="left" w:pos="702"/>
              </w:tabs>
              <w:ind w:right="-547"/>
              <w:rPr>
                <w:rFonts w:ascii="Arial" w:hAnsi="Arial"/>
                <w:sz w:val="22"/>
              </w:rPr>
            </w:pPr>
            <w:r>
              <w:rPr>
                <w:rFonts w:ascii="Arial" w:hAnsi="Arial"/>
                <w:sz w:val="22"/>
              </w:rPr>
              <w:t>$640.42</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07/25/2017</w:t>
            </w:r>
          </w:p>
        </w:tc>
        <w:tc>
          <w:tcPr>
            <w:tcW w:w="2475" w:type="dxa"/>
          </w:tcPr>
          <w:p w:rsidR="00AF0B15" w:rsidRDefault="00E941BB" w:rsidP="00950342">
            <w:pPr>
              <w:tabs>
                <w:tab w:val="left" w:pos="702"/>
              </w:tabs>
              <w:ind w:right="-547"/>
              <w:rPr>
                <w:rFonts w:ascii="Arial" w:hAnsi="Arial"/>
                <w:sz w:val="22"/>
              </w:rPr>
            </w:pPr>
            <w:r>
              <w:rPr>
                <w:rFonts w:ascii="Arial" w:hAnsi="Arial"/>
                <w:sz w:val="22"/>
              </w:rPr>
              <w:t>$1,294.68</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08/08/2017</w:t>
            </w:r>
          </w:p>
        </w:tc>
        <w:tc>
          <w:tcPr>
            <w:tcW w:w="2475" w:type="dxa"/>
          </w:tcPr>
          <w:p w:rsidR="00AF0B15" w:rsidRDefault="00E941BB" w:rsidP="00E941BB">
            <w:pPr>
              <w:tabs>
                <w:tab w:val="left" w:pos="702"/>
              </w:tabs>
              <w:ind w:right="-547"/>
              <w:rPr>
                <w:rFonts w:ascii="Arial" w:hAnsi="Arial"/>
                <w:sz w:val="22"/>
              </w:rPr>
            </w:pPr>
            <w:r>
              <w:rPr>
                <w:rFonts w:ascii="Arial" w:hAnsi="Arial"/>
                <w:sz w:val="22"/>
              </w:rPr>
              <w:t>$1,146.96</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08/22/2017</w:t>
            </w:r>
          </w:p>
        </w:tc>
        <w:tc>
          <w:tcPr>
            <w:tcW w:w="2475" w:type="dxa"/>
          </w:tcPr>
          <w:p w:rsidR="00AF0B15" w:rsidRDefault="00E941BB" w:rsidP="00407B20">
            <w:pPr>
              <w:tabs>
                <w:tab w:val="left" w:pos="702"/>
              </w:tabs>
              <w:ind w:right="-547"/>
              <w:rPr>
                <w:rFonts w:ascii="Arial" w:hAnsi="Arial"/>
                <w:sz w:val="22"/>
              </w:rPr>
            </w:pPr>
            <w:r>
              <w:rPr>
                <w:rFonts w:ascii="Arial" w:hAnsi="Arial"/>
                <w:sz w:val="22"/>
              </w:rPr>
              <w:t>$814.71</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09/05/2017</w:t>
            </w:r>
          </w:p>
        </w:tc>
        <w:tc>
          <w:tcPr>
            <w:tcW w:w="2475" w:type="dxa"/>
          </w:tcPr>
          <w:p w:rsidR="00AF0B15" w:rsidRDefault="00E941BB" w:rsidP="00950342">
            <w:pPr>
              <w:tabs>
                <w:tab w:val="left" w:pos="702"/>
              </w:tabs>
              <w:ind w:right="-547"/>
              <w:rPr>
                <w:rFonts w:ascii="Arial" w:hAnsi="Arial"/>
                <w:sz w:val="22"/>
              </w:rPr>
            </w:pPr>
            <w:r>
              <w:rPr>
                <w:rFonts w:ascii="Arial" w:hAnsi="Arial"/>
                <w:sz w:val="22"/>
              </w:rPr>
              <w:t>$721.86</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09/19/2017</w:t>
            </w:r>
          </w:p>
        </w:tc>
        <w:tc>
          <w:tcPr>
            <w:tcW w:w="2475" w:type="dxa"/>
          </w:tcPr>
          <w:p w:rsidR="00AF0B15" w:rsidRDefault="00E941BB" w:rsidP="00950342">
            <w:pPr>
              <w:tabs>
                <w:tab w:val="left" w:pos="702"/>
              </w:tabs>
              <w:ind w:right="-547"/>
              <w:rPr>
                <w:rFonts w:ascii="Arial" w:hAnsi="Arial"/>
                <w:sz w:val="22"/>
              </w:rPr>
            </w:pPr>
            <w:r>
              <w:rPr>
                <w:rFonts w:ascii="Arial" w:hAnsi="Arial"/>
                <w:sz w:val="22"/>
              </w:rPr>
              <w:t>$925.01</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10/03/2017</w:t>
            </w:r>
          </w:p>
        </w:tc>
        <w:tc>
          <w:tcPr>
            <w:tcW w:w="2475" w:type="dxa"/>
          </w:tcPr>
          <w:p w:rsidR="00AF0B15" w:rsidRDefault="00E941BB" w:rsidP="00950342">
            <w:pPr>
              <w:tabs>
                <w:tab w:val="left" w:pos="702"/>
              </w:tabs>
              <w:ind w:right="-547"/>
              <w:rPr>
                <w:rFonts w:ascii="Arial" w:hAnsi="Arial"/>
                <w:sz w:val="22"/>
              </w:rPr>
            </w:pPr>
            <w:r>
              <w:rPr>
                <w:rFonts w:ascii="Arial" w:hAnsi="Arial"/>
                <w:sz w:val="22"/>
              </w:rPr>
              <w:t>$706.55</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10/17/2017</w:t>
            </w:r>
          </w:p>
        </w:tc>
        <w:tc>
          <w:tcPr>
            <w:tcW w:w="2475" w:type="dxa"/>
          </w:tcPr>
          <w:p w:rsidR="00AF0B15" w:rsidRDefault="00E941BB" w:rsidP="00950342">
            <w:pPr>
              <w:tabs>
                <w:tab w:val="left" w:pos="702"/>
              </w:tabs>
              <w:ind w:right="-547"/>
              <w:rPr>
                <w:rFonts w:ascii="Arial" w:hAnsi="Arial"/>
                <w:sz w:val="22"/>
              </w:rPr>
            </w:pPr>
            <w:r>
              <w:rPr>
                <w:rFonts w:ascii="Arial" w:hAnsi="Arial"/>
                <w:sz w:val="22"/>
              </w:rPr>
              <w:t>$1,161.96</w:t>
            </w:r>
          </w:p>
        </w:tc>
        <w:tc>
          <w:tcPr>
            <w:tcW w:w="3285" w:type="dxa"/>
          </w:tcPr>
          <w:p w:rsidR="00AF0B15" w:rsidRDefault="00E941BB" w:rsidP="00E1738A">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10/31/2017</w:t>
            </w:r>
          </w:p>
        </w:tc>
        <w:tc>
          <w:tcPr>
            <w:tcW w:w="2475" w:type="dxa"/>
          </w:tcPr>
          <w:p w:rsidR="00AF0B15" w:rsidRDefault="00E941BB" w:rsidP="00950342">
            <w:pPr>
              <w:tabs>
                <w:tab w:val="left" w:pos="702"/>
              </w:tabs>
              <w:ind w:right="-547"/>
              <w:rPr>
                <w:rFonts w:ascii="Arial" w:hAnsi="Arial"/>
                <w:sz w:val="22"/>
              </w:rPr>
            </w:pPr>
            <w:r>
              <w:rPr>
                <w:rFonts w:ascii="Arial" w:hAnsi="Arial"/>
                <w:sz w:val="22"/>
              </w:rPr>
              <w:t>$1,268.48</w:t>
            </w:r>
          </w:p>
        </w:tc>
        <w:tc>
          <w:tcPr>
            <w:tcW w:w="3285" w:type="dxa"/>
          </w:tcPr>
          <w:p w:rsidR="00AF0B15" w:rsidRDefault="00E941BB" w:rsidP="00E1738A">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11/14/2017</w:t>
            </w:r>
          </w:p>
        </w:tc>
        <w:tc>
          <w:tcPr>
            <w:tcW w:w="2475" w:type="dxa"/>
          </w:tcPr>
          <w:p w:rsidR="00AF0B15" w:rsidRDefault="00E941BB" w:rsidP="00950342">
            <w:pPr>
              <w:tabs>
                <w:tab w:val="left" w:pos="702"/>
              </w:tabs>
              <w:ind w:right="-547"/>
              <w:rPr>
                <w:rFonts w:ascii="Arial" w:hAnsi="Arial"/>
                <w:sz w:val="22"/>
              </w:rPr>
            </w:pPr>
            <w:r>
              <w:rPr>
                <w:rFonts w:ascii="Arial" w:hAnsi="Arial"/>
                <w:sz w:val="22"/>
              </w:rPr>
              <w:t>$1,362.79</w:t>
            </w:r>
          </w:p>
        </w:tc>
        <w:tc>
          <w:tcPr>
            <w:tcW w:w="3285" w:type="dxa"/>
          </w:tcPr>
          <w:p w:rsidR="00AF0B15" w:rsidRDefault="00E941BB" w:rsidP="00E1738A">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11/28/2017</w:t>
            </w:r>
          </w:p>
        </w:tc>
        <w:tc>
          <w:tcPr>
            <w:tcW w:w="2475" w:type="dxa"/>
          </w:tcPr>
          <w:p w:rsidR="00AF0B15" w:rsidRDefault="00E941BB" w:rsidP="00950342">
            <w:pPr>
              <w:tabs>
                <w:tab w:val="left" w:pos="702"/>
              </w:tabs>
              <w:ind w:right="-547"/>
              <w:rPr>
                <w:rFonts w:ascii="Arial" w:hAnsi="Arial"/>
                <w:sz w:val="22"/>
              </w:rPr>
            </w:pPr>
            <w:r>
              <w:rPr>
                <w:rFonts w:ascii="Arial" w:hAnsi="Arial"/>
                <w:sz w:val="22"/>
              </w:rPr>
              <w:t>$1,019.49</w:t>
            </w:r>
          </w:p>
        </w:tc>
        <w:tc>
          <w:tcPr>
            <w:tcW w:w="3285" w:type="dxa"/>
          </w:tcPr>
          <w:p w:rsidR="00AF0B15" w:rsidRDefault="00E941BB" w:rsidP="00E1738A">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12/12/2017</w:t>
            </w:r>
          </w:p>
        </w:tc>
        <w:tc>
          <w:tcPr>
            <w:tcW w:w="2475" w:type="dxa"/>
          </w:tcPr>
          <w:p w:rsidR="00AF0B15" w:rsidRDefault="00E941BB" w:rsidP="00950342">
            <w:pPr>
              <w:tabs>
                <w:tab w:val="left" w:pos="702"/>
              </w:tabs>
              <w:ind w:right="-547"/>
              <w:rPr>
                <w:rFonts w:ascii="Arial" w:hAnsi="Arial"/>
                <w:sz w:val="22"/>
              </w:rPr>
            </w:pPr>
            <w:r>
              <w:rPr>
                <w:rFonts w:ascii="Arial" w:hAnsi="Arial"/>
                <w:sz w:val="22"/>
              </w:rPr>
              <w:t>$911.75</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12/26/2017</w:t>
            </w:r>
          </w:p>
        </w:tc>
        <w:tc>
          <w:tcPr>
            <w:tcW w:w="2475" w:type="dxa"/>
          </w:tcPr>
          <w:p w:rsidR="00AF0B15" w:rsidRDefault="00E941BB" w:rsidP="00950342">
            <w:pPr>
              <w:tabs>
                <w:tab w:val="left" w:pos="702"/>
              </w:tabs>
              <w:ind w:right="-547"/>
              <w:rPr>
                <w:rFonts w:ascii="Arial" w:hAnsi="Arial"/>
                <w:sz w:val="22"/>
              </w:rPr>
            </w:pPr>
            <w:r>
              <w:rPr>
                <w:rFonts w:ascii="Arial" w:hAnsi="Arial"/>
                <w:sz w:val="22"/>
              </w:rPr>
              <w:t>$573.63</w:t>
            </w:r>
          </w:p>
        </w:tc>
        <w:tc>
          <w:tcPr>
            <w:tcW w:w="3285" w:type="dxa"/>
          </w:tcPr>
          <w:p w:rsidR="00AF0B15" w:rsidRDefault="00E941BB" w:rsidP="00BB4867">
            <w:pPr>
              <w:tabs>
                <w:tab w:val="left" w:pos="4"/>
              </w:tabs>
              <w:ind w:right="-547"/>
              <w:rPr>
                <w:rFonts w:ascii="Arial" w:hAnsi="Arial"/>
                <w:sz w:val="22"/>
              </w:rPr>
            </w:pPr>
            <w:r>
              <w:rPr>
                <w:rFonts w:ascii="Arial" w:hAnsi="Arial"/>
                <w:sz w:val="22"/>
              </w:rPr>
              <w:t>$0.00</w:t>
            </w:r>
          </w:p>
        </w:tc>
      </w:tr>
      <w:tr w:rsidR="00AF0B15" w:rsidTr="00C13FAC">
        <w:trPr>
          <w:jc w:val="center"/>
        </w:trPr>
        <w:tc>
          <w:tcPr>
            <w:tcW w:w="1890" w:type="dxa"/>
          </w:tcPr>
          <w:p w:rsidR="00AF0B15" w:rsidRDefault="00E941BB" w:rsidP="00950342">
            <w:pPr>
              <w:tabs>
                <w:tab w:val="left" w:pos="342"/>
              </w:tabs>
              <w:ind w:right="-547"/>
              <w:rPr>
                <w:rFonts w:ascii="Arial" w:hAnsi="Arial"/>
                <w:sz w:val="22"/>
              </w:rPr>
            </w:pPr>
            <w:r>
              <w:rPr>
                <w:rFonts w:ascii="Arial" w:hAnsi="Arial"/>
                <w:sz w:val="22"/>
              </w:rPr>
              <w:t>01/09/2018</w:t>
            </w:r>
          </w:p>
        </w:tc>
        <w:tc>
          <w:tcPr>
            <w:tcW w:w="2475" w:type="dxa"/>
          </w:tcPr>
          <w:p w:rsidR="00AF0B15" w:rsidRDefault="00E941BB" w:rsidP="00950342">
            <w:pPr>
              <w:tabs>
                <w:tab w:val="left" w:pos="702"/>
              </w:tabs>
              <w:ind w:right="-547"/>
              <w:rPr>
                <w:rFonts w:ascii="Arial" w:hAnsi="Arial"/>
                <w:sz w:val="22"/>
              </w:rPr>
            </w:pPr>
            <w:r>
              <w:rPr>
                <w:rFonts w:ascii="Arial" w:hAnsi="Arial"/>
                <w:sz w:val="22"/>
              </w:rPr>
              <w:t>$721.86</w:t>
            </w:r>
          </w:p>
        </w:tc>
        <w:tc>
          <w:tcPr>
            <w:tcW w:w="3285" w:type="dxa"/>
          </w:tcPr>
          <w:p w:rsidR="00AF0B15" w:rsidRDefault="00E941BB" w:rsidP="00BB4867">
            <w:pPr>
              <w:tabs>
                <w:tab w:val="left" w:pos="4"/>
              </w:tabs>
              <w:ind w:right="-547"/>
              <w:rPr>
                <w:rFonts w:ascii="Arial" w:hAnsi="Arial"/>
                <w:sz w:val="22"/>
              </w:rPr>
            </w:pPr>
            <w:r>
              <w:rPr>
                <w:rFonts w:ascii="Arial" w:hAnsi="Arial"/>
                <w:sz w:val="22"/>
              </w:rPr>
              <w:t>$721.86</w:t>
            </w:r>
          </w:p>
        </w:tc>
      </w:tr>
    </w:tbl>
    <w:p w:rsidR="00DE2707" w:rsidRDefault="00DE2707" w:rsidP="00DE2707">
      <w:pPr>
        <w:tabs>
          <w:tab w:val="left" w:pos="4"/>
        </w:tabs>
        <w:ind w:right="-547"/>
        <w:rPr>
          <w:rFonts w:ascii="Arial" w:hAnsi="Arial"/>
          <w:sz w:val="22"/>
        </w:rPr>
      </w:pPr>
    </w:p>
    <w:p w:rsidR="00DE2707" w:rsidRPr="001769B3" w:rsidRDefault="00DE2707" w:rsidP="00DE2707">
      <w:pPr>
        <w:numPr>
          <w:ilvl w:val="0"/>
          <w:numId w:val="2"/>
        </w:numPr>
        <w:rPr>
          <w:rFonts w:ascii="Arial" w:hAnsi="Arial"/>
          <w:b/>
        </w:rPr>
      </w:pPr>
      <w:r w:rsidRPr="001769B3">
        <w:rPr>
          <w:rFonts w:ascii="Arial" w:hAnsi="Arial"/>
          <w:b/>
        </w:rPr>
        <w:t xml:space="preserve">Describe why you believe the person’s actions and/or failure to report the occurrence was </w:t>
      </w:r>
      <w:r w:rsidRPr="001769B3">
        <w:rPr>
          <w:rFonts w:ascii="Arial" w:hAnsi="Arial"/>
          <w:b/>
          <w:u w:val="single"/>
        </w:rPr>
        <w:t>intentional</w:t>
      </w:r>
      <w:r w:rsidRPr="001769B3">
        <w:rPr>
          <w:rFonts w:ascii="Arial" w:hAnsi="Arial"/>
          <w:b/>
        </w:rPr>
        <w:t xml:space="preserve"> (on purpose). </w:t>
      </w:r>
    </w:p>
    <w:p w:rsidR="00DE2707" w:rsidRDefault="00DE2707" w:rsidP="00DE2707">
      <w:pPr>
        <w:ind w:left="360"/>
        <w:rPr>
          <w:rFonts w:ascii="Arial" w:hAnsi="Arial"/>
          <w:sz w:val="22"/>
          <w:u w:val="single"/>
        </w:rPr>
      </w:pPr>
    </w:p>
    <w:p w:rsidR="00741F25" w:rsidRDefault="00741F25" w:rsidP="00DE2707">
      <w:pPr>
        <w:ind w:left="360"/>
        <w:rPr>
          <w:rFonts w:ascii="Arial" w:hAnsi="Arial"/>
        </w:rPr>
      </w:pPr>
      <w:r w:rsidRPr="00741F25">
        <w:rPr>
          <w:rFonts w:ascii="Arial" w:hAnsi="Arial"/>
        </w:rPr>
        <w:t>The</w:t>
      </w:r>
      <w:r>
        <w:rPr>
          <w:rFonts w:ascii="Arial" w:hAnsi="Arial"/>
        </w:rPr>
        <w:t xml:space="preserve"> County contends that:</w:t>
      </w:r>
    </w:p>
    <w:p w:rsidR="00741F25" w:rsidRDefault="00741F25" w:rsidP="00DE2707">
      <w:pPr>
        <w:ind w:left="360"/>
        <w:rPr>
          <w:rFonts w:ascii="Arial" w:hAnsi="Arial"/>
        </w:rPr>
      </w:pPr>
    </w:p>
    <w:p w:rsidR="00E941BB" w:rsidRPr="009E56A4" w:rsidRDefault="00741F25" w:rsidP="00741F25">
      <w:pPr>
        <w:pStyle w:val="ListParagraph"/>
        <w:numPr>
          <w:ilvl w:val="0"/>
          <w:numId w:val="15"/>
        </w:numPr>
        <w:rPr>
          <w:rFonts w:ascii="Arial" w:hAnsi="Arial"/>
        </w:rPr>
      </w:pPr>
      <w:r>
        <w:rPr>
          <w:rFonts w:ascii="Arial" w:hAnsi="Arial"/>
        </w:rPr>
        <w:t xml:space="preserve">On 12/05/2016, the respondent completed a CalWORKs and CalFresh program add interview with EW. </w:t>
      </w:r>
      <w:r w:rsidRPr="00E54D67">
        <w:rPr>
          <w:rFonts w:ascii="Arial" w:hAnsi="Arial"/>
          <w:highlight w:val="black"/>
        </w:rPr>
        <w:t>J. Fine</w:t>
      </w:r>
      <w:r>
        <w:rPr>
          <w:rFonts w:ascii="Arial" w:hAnsi="Arial"/>
        </w:rPr>
        <w:t>. During the interview, the respondent indicated that she understood her rights and responsibilities and requirement to rep</w:t>
      </w:r>
      <w:r w:rsidR="00045799">
        <w:rPr>
          <w:rFonts w:ascii="Arial" w:hAnsi="Arial"/>
        </w:rPr>
        <w:t xml:space="preserve">ort all changes to the CWD. </w:t>
      </w:r>
      <w:r w:rsidR="00045799">
        <w:rPr>
          <w:rFonts w:ascii="Arial" w:hAnsi="Arial"/>
        </w:rPr>
        <w:lastRenderedPageBreak/>
        <w:t xml:space="preserve">EW </w:t>
      </w:r>
      <w:r w:rsidR="00045799" w:rsidRPr="00E54D67">
        <w:rPr>
          <w:rFonts w:ascii="Arial" w:hAnsi="Arial"/>
          <w:highlight w:val="black"/>
        </w:rPr>
        <w:t>Fine</w:t>
      </w:r>
      <w:r w:rsidR="00045799">
        <w:rPr>
          <w:rFonts w:ascii="Arial" w:hAnsi="Arial"/>
        </w:rPr>
        <w:t xml:space="preserve"> notated </w:t>
      </w:r>
      <w:r w:rsidR="009E56A4">
        <w:rPr>
          <w:rFonts w:ascii="Arial" w:hAnsi="Arial"/>
        </w:rPr>
        <w:t xml:space="preserve">in the case journal </w:t>
      </w:r>
      <w:r w:rsidR="00045799">
        <w:rPr>
          <w:rFonts w:ascii="Arial" w:hAnsi="Arial"/>
        </w:rPr>
        <w:t>that the respondent reported her income had ceased and she had applied for Unempl</w:t>
      </w:r>
      <w:r w:rsidR="009E56A4">
        <w:rPr>
          <w:rFonts w:ascii="Arial" w:hAnsi="Arial"/>
        </w:rPr>
        <w:t xml:space="preserve">oyment. EW </w:t>
      </w:r>
      <w:r w:rsidR="009E56A4" w:rsidRPr="00E54D67">
        <w:rPr>
          <w:rFonts w:ascii="Arial" w:hAnsi="Arial"/>
          <w:highlight w:val="black"/>
        </w:rPr>
        <w:t>Fine</w:t>
      </w:r>
      <w:r w:rsidR="009E56A4">
        <w:rPr>
          <w:rFonts w:ascii="Arial" w:hAnsi="Arial"/>
        </w:rPr>
        <w:t xml:space="preserve"> also notated in the case journal that the rights and responsibilities were reviewed and understood by the respondent.</w:t>
      </w:r>
      <w:r w:rsidR="009E56A4" w:rsidRPr="009E56A4">
        <w:rPr>
          <w:rFonts w:ascii="Arial" w:hAnsi="Arial"/>
          <w:b/>
        </w:rPr>
        <w:t>(Attachment 5)</w:t>
      </w:r>
    </w:p>
    <w:p w:rsidR="009E56A4" w:rsidRPr="009E56A4" w:rsidRDefault="009E56A4" w:rsidP="009E56A4">
      <w:pPr>
        <w:pStyle w:val="ListParagraph"/>
        <w:ind w:left="1185"/>
        <w:rPr>
          <w:rFonts w:ascii="Arial" w:hAnsi="Arial"/>
        </w:rPr>
      </w:pPr>
    </w:p>
    <w:p w:rsidR="009E56A4" w:rsidRDefault="009E56A4" w:rsidP="00741F25">
      <w:pPr>
        <w:pStyle w:val="ListParagraph"/>
        <w:numPr>
          <w:ilvl w:val="0"/>
          <w:numId w:val="15"/>
        </w:numPr>
        <w:rPr>
          <w:rFonts w:ascii="Arial" w:hAnsi="Arial"/>
        </w:rPr>
      </w:pPr>
      <w:r w:rsidRPr="009E56A4">
        <w:rPr>
          <w:rFonts w:ascii="Arial" w:hAnsi="Arial"/>
        </w:rPr>
        <w:t>On 02/27/2017</w:t>
      </w:r>
      <w:r>
        <w:rPr>
          <w:rFonts w:ascii="Arial" w:hAnsi="Arial"/>
        </w:rPr>
        <w:t xml:space="preserve">, </w:t>
      </w:r>
      <w:r w:rsidRPr="00E54D67">
        <w:rPr>
          <w:rFonts w:ascii="Arial" w:hAnsi="Arial"/>
          <w:highlight w:val="black"/>
        </w:rPr>
        <w:t>Kristina Mora</w:t>
      </w:r>
      <w:r>
        <w:rPr>
          <w:rFonts w:ascii="Arial" w:hAnsi="Arial"/>
        </w:rPr>
        <w:t xml:space="preserve"> was </w:t>
      </w:r>
      <w:r w:rsidR="002161D5">
        <w:rPr>
          <w:rFonts w:ascii="Arial" w:hAnsi="Arial"/>
        </w:rPr>
        <w:t>h</w:t>
      </w:r>
      <w:r>
        <w:rPr>
          <w:rFonts w:ascii="Arial" w:hAnsi="Arial"/>
        </w:rPr>
        <w:t xml:space="preserve">ired by </w:t>
      </w:r>
      <w:r w:rsidRPr="00E54D67">
        <w:rPr>
          <w:rFonts w:ascii="Arial" w:hAnsi="Arial"/>
          <w:highlight w:val="black"/>
        </w:rPr>
        <w:t>Apple American Group, LLC/Applebee’s</w:t>
      </w:r>
      <w:r>
        <w:rPr>
          <w:rFonts w:ascii="Arial" w:hAnsi="Arial"/>
        </w:rPr>
        <w:t>. She received her first check on 03/07/2017.</w:t>
      </w:r>
    </w:p>
    <w:p w:rsidR="009E56A4" w:rsidRPr="009E56A4" w:rsidRDefault="009E56A4" w:rsidP="009E56A4">
      <w:pPr>
        <w:pStyle w:val="ListParagraph"/>
        <w:rPr>
          <w:rFonts w:ascii="Arial" w:hAnsi="Arial"/>
        </w:rPr>
      </w:pPr>
    </w:p>
    <w:p w:rsidR="009E56A4" w:rsidRDefault="009E56A4" w:rsidP="00741F25">
      <w:pPr>
        <w:pStyle w:val="ListParagraph"/>
        <w:numPr>
          <w:ilvl w:val="0"/>
          <w:numId w:val="15"/>
        </w:numPr>
        <w:rPr>
          <w:rFonts w:ascii="Arial" w:hAnsi="Arial"/>
        </w:rPr>
      </w:pPr>
      <w:r>
        <w:rPr>
          <w:rFonts w:ascii="Arial" w:hAnsi="Arial"/>
        </w:rPr>
        <w:t xml:space="preserve">On 05/26/2017, the respondent was mailed her 05/2017 Semi Annual Income Report (SAR7) to be completed and returned by 06/05/2017. The County received the SAR7 report completed and signed by the respondent 06/20/2017. On 06/26/2017, the County returned the SAR7 report as incomplete as the respondent failed to answer questions 9 &amp; 13. </w:t>
      </w:r>
      <w:r w:rsidRPr="009E56A4">
        <w:rPr>
          <w:rFonts w:ascii="Arial" w:hAnsi="Arial"/>
          <w:b/>
        </w:rPr>
        <w:t>(Attachment 6)</w:t>
      </w:r>
      <w:r>
        <w:rPr>
          <w:rFonts w:ascii="Arial" w:hAnsi="Arial"/>
          <w:b/>
        </w:rPr>
        <w:t xml:space="preserve"> </w:t>
      </w:r>
      <w:r w:rsidRPr="009E56A4">
        <w:rPr>
          <w:rFonts w:ascii="Arial" w:hAnsi="Arial"/>
        </w:rPr>
        <w:t>On</w:t>
      </w:r>
      <w:r>
        <w:rPr>
          <w:rFonts w:ascii="Arial" w:hAnsi="Arial"/>
        </w:rPr>
        <w:t xml:space="preserve"> 07/07/2017, the County received the completed SAR7 report. The respondent answered “No” to question 9, </w:t>
      </w:r>
      <w:r w:rsidRPr="004B2F65">
        <w:rPr>
          <w:rFonts w:ascii="Arial" w:hAnsi="Arial"/>
        </w:rPr>
        <w:t>“Did anyone get income from employment in the Report Month?”</w:t>
      </w:r>
      <w:r>
        <w:rPr>
          <w:rFonts w:ascii="Arial" w:hAnsi="Arial"/>
        </w:rPr>
        <w:t xml:space="preserve"> and “No” to question 13, in regards to any changes in th</w:t>
      </w:r>
      <w:r w:rsidR="00701122">
        <w:rPr>
          <w:rFonts w:ascii="Arial" w:hAnsi="Arial"/>
        </w:rPr>
        <w:t xml:space="preserve">e home since the last report, </w:t>
      </w:r>
      <w:r w:rsidR="00802DDB">
        <w:rPr>
          <w:rFonts w:ascii="Arial" w:hAnsi="Arial"/>
        </w:rPr>
        <w:t>j</w:t>
      </w:r>
      <w:r>
        <w:rPr>
          <w:rFonts w:ascii="Arial" w:hAnsi="Arial"/>
        </w:rPr>
        <w:t>ob/employment.</w:t>
      </w:r>
      <w:r w:rsidR="00701122">
        <w:rPr>
          <w:rFonts w:ascii="Arial" w:hAnsi="Arial"/>
        </w:rPr>
        <w:t xml:space="preserve"> </w:t>
      </w:r>
      <w:r w:rsidR="00701122" w:rsidRPr="00701122">
        <w:rPr>
          <w:rFonts w:ascii="Arial" w:hAnsi="Arial"/>
          <w:b/>
        </w:rPr>
        <w:t>(Attachment 7)</w:t>
      </w:r>
    </w:p>
    <w:p w:rsidR="00802DDB" w:rsidRPr="00802DDB" w:rsidRDefault="00802DDB" w:rsidP="00802DDB">
      <w:pPr>
        <w:pStyle w:val="ListParagraph"/>
        <w:rPr>
          <w:rFonts w:ascii="Arial" w:hAnsi="Arial"/>
        </w:rPr>
      </w:pPr>
    </w:p>
    <w:p w:rsidR="00802DDB" w:rsidRPr="004B2F65" w:rsidRDefault="00802DDB" w:rsidP="00802DDB">
      <w:pPr>
        <w:ind w:left="450"/>
        <w:rPr>
          <w:rFonts w:ascii="Arial" w:hAnsi="Arial"/>
        </w:rPr>
      </w:pPr>
      <w:r w:rsidRPr="004B2F65">
        <w:rPr>
          <w:rFonts w:ascii="Arial" w:hAnsi="Arial"/>
        </w:rPr>
        <w:t xml:space="preserve">The County contends that because the respondent answered NO and also left blank the section where the respondent is supposed to report her future earnings, and that in fact the respondent worked and income was received, and that she did have future earnings to report, that the respondent </w:t>
      </w:r>
      <w:r w:rsidRPr="004B2F65">
        <w:rPr>
          <w:rFonts w:ascii="Arial" w:hAnsi="Arial"/>
          <w:b/>
        </w:rPr>
        <w:t>intentionally</w:t>
      </w:r>
      <w:r w:rsidRPr="004B2F65">
        <w:rPr>
          <w:rFonts w:ascii="Arial" w:hAnsi="Arial"/>
        </w:rPr>
        <w:t xml:space="preserve"> made a false or misleading statement or misrepresented, concealed, or withheld facts.</w:t>
      </w:r>
    </w:p>
    <w:p w:rsidR="00802DDB" w:rsidRDefault="00802DDB" w:rsidP="00802DDB">
      <w:pPr>
        <w:ind w:left="720"/>
        <w:rPr>
          <w:rFonts w:ascii="Arial" w:hAnsi="Arial"/>
        </w:rPr>
      </w:pPr>
    </w:p>
    <w:p w:rsidR="00802DDB" w:rsidRDefault="00802DDB" w:rsidP="00802DDB">
      <w:pPr>
        <w:pStyle w:val="ListParagraph"/>
        <w:numPr>
          <w:ilvl w:val="0"/>
          <w:numId w:val="16"/>
        </w:numPr>
        <w:rPr>
          <w:rFonts w:ascii="Arial" w:hAnsi="Arial"/>
        </w:rPr>
      </w:pPr>
      <w:r>
        <w:rPr>
          <w:rFonts w:ascii="Arial" w:hAnsi="Arial"/>
        </w:rPr>
        <w:t xml:space="preserve">On 10/30/2017, EW </w:t>
      </w:r>
      <w:r w:rsidRPr="00E54D67">
        <w:rPr>
          <w:rFonts w:ascii="Arial" w:hAnsi="Arial"/>
          <w:highlight w:val="black"/>
        </w:rPr>
        <w:t>Fine</w:t>
      </w:r>
      <w:r>
        <w:rPr>
          <w:rFonts w:ascii="Arial" w:hAnsi="Arial"/>
        </w:rPr>
        <w:t xml:space="preserve"> made a journal notation in regards to becoming aware of the unreported income from </w:t>
      </w:r>
      <w:r w:rsidRPr="00E54D67">
        <w:rPr>
          <w:rFonts w:ascii="Arial" w:hAnsi="Arial"/>
          <w:highlight w:val="black"/>
        </w:rPr>
        <w:t>Applebee’s</w:t>
      </w:r>
      <w:r>
        <w:rPr>
          <w:rFonts w:ascii="Arial" w:hAnsi="Arial"/>
        </w:rPr>
        <w:t xml:space="preserve"> for the respondent. He journaled that he discussed the employment with the respondent and she denied it. Appointment set to meet with respondent on 10/31/2017 to complete recertification process and verify employment.</w:t>
      </w:r>
      <w:r w:rsidR="00701122">
        <w:rPr>
          <w:rFonts w:ascii="Arial" w:hAnsi="Arial"/>
        </w:rPr>
        <w:t xml:space="preserve"> </w:t>
      </w:r>
      <w:r w:rsidR="00701122" w:rsidRPr="00701122">
        <w:rPr>
          <w:rFonts w:ascii="Arial" w:hAnsi="Arial"/>
          <w:b/>
        </w:rPr>
        <w:t>(Attachment 8)</w:t>
      </w:r>
      <w:r>
        <w:rPr>
          <w:rFonts w:ascii="Arial" w:hAnsi="Arial"/>
        </w:rPr>
        <w:t xml:space="preserve"> </w:t>
      </w:r>
    </w:p>
    <w:p w:rsidR="00802DDB" w:rsidRDefault="00802DDB" w:rsidP="00802DDB">
      <w:pPr>
        <w:pStyle w:val="ListParagraph"/>
        <w:ind w:left="1440"/>
        <w:rPr>
          <w:rFonts w:ascii="Arial" w:hAnsi="Arial"/>
        </w:rPr>
      </w:pPr>
    </w:p>
    <w:p w:rsidR="00802DDB" w:rsidRDefault="00802DDB" w:rsidP="00802DDB">
      <w:pPr>
        <w:pStyle w:val="ListParagraph"/>
        <w:numPr>
          <w:ilvl w:val="0"/>
          <w:numId w:val="16"/>
        </w:numPr>
        <w:rPr>
          <w:rFonts w:ascii="Arial" w:hAnsi="Arial"/>
        </w:rPr>
      </w:pPr>
      <w:r w:rsidRPr="00E54D67">
        <w:rPr>
          <w:rFonts w:ascii="Arial" w:hAnsi="Arial"/>
          <w:highlight w:val="black"/>
        </w:rPr>
        <w:t>Kristina Mora</w:t>
      </w:r>
      <w:r>
        <w:rPr>
          <w:rFonts w:ascii="Arial" w:hAnsi="Arial"/>
        </w:rPr>
        <w:t xml:space="preserve"> failed to keep her 10/31/2017 recertification interview appointment and her CalWORKs and CalFresh case was closed.</w:t>
      </w:r>
    </w:p>
    <w:p w:rsidR="00802DDB" w:rsidRPr="00802DDB" w:rsidRDefault="00802DDB" w:rsidP="00802DDB">
      <w:pPr>
        <w:pStyle w:val="ListParagraph"/>
        <w:rPr>
          <w:rFonts w:ascii="Arial" w:hAnsi="Arial"/>
        </w:rPr>
      </w:pPr>
    </w:p>
    <w:p w:rsidR="00802DDB" w:rsidRPr="00802DDB" w:rsidRDefault="00802DDB" w:rsidP="00802DDB">
      <w:pPr>
        <w:ind w:left="360"/>
        <w:rPr>
          <w:rFonts w:ascii="Arial" w:hAnsi="Arial"/>
        </w:rPr>
      </w:pPr>
      <w:r>
        <w:rPr>
          <w:rFonts w:ascii="Arial" w:hAnsi="Arial"/>
        </w:rPr>
        <w:t xml:space="preserve">On 01/11/2018, the respondent completed a face to face program add interview with EW </w:t>
      </w:r>
      <w:r w:rsidRPr="00E54D67">
        <w:rPr>
          <w:rFonts w:ascii="Arial" w:hAnsi="Arial"/>
          <w:highlight w:val="black"/>
        </w:rPr>
        <w:t>Fine</w:t>
      </w:r>
      <w:r>
        <w:rPr>
          <w:rFonts w:ascii="Arial" w:hAnsi="Arial"/>
        </w:rPr>
        <w:t xml:space="preserve">. </w:t>
      </w:r>
      <w:r w:rsidRPr="00E54D67">
        <w:rPr>
          <w:rFonts w:ascii="Arial" w:hAnsi="Arial"/>
          <w:highlight w:val="black"/>
        </w:rPr>
        <w:t>Kristina Mora</w:t>
      </w:r>
      <w:r>
        <w:rPr>
          <w:rFonts w:ascii="Arial" w:hAnsi="Arial"/>
        </w:rPr>
        <w:t xml:space="preserve"> admitted to working for </w:t>
      </w:r>
      <w:r w:rsidRPr="00E54D67">
        <w:rPr>
          <w:rFonts w:ascii="Arial" w:hAnsi="Arial"/>
          <w:highlight w:val="black"/>
        </w:rPr>
        <w:t>Applebee’s</w:t>
      </w:r>
      <w:r>
        <w:rPr>
          <w:rFonts w:ascii="Arial" w:hAnsi="Arial"/>
        </w:rPr>
        <w:t xml:space="preserve"> in 2017, but was terminated from her job 01/02/2018. The respondent provided her final paystub and termination letter and gave permission for the EW to obtain prior wage verification from The WorkNumber.</w:t>
      </w:r>
      <w:r w:rsidR="00584B0E">
        <w:rPr>
          <w:rFonts w:ascii="Arial" w:hAnsi="Arial"/>
        </w:rPr>
        <w:t xml:space="preserve"> </w:t>
      </w:r>
      <w:r w:rsidR="00584B0E" w:rsidRPr="00584B0E">
        <w:rPr>
          <w:rFonts w:ascii="Arial" w:hAnsi="Arial"/>
          <w:b/>
        </w:rPr>
        <w:t xml:space="preserve">(Attachment </w:t>
      </w:r>
      <w:r w:rsidR="00701122">
        <w:rPr>
          <w:rFonts w:ascii="Arial" w:hAnsi="Arial"/>
          <w:b/>
        </w:rPr>
        <w:t>9</w:t>
      </w:r>
      <w:r w:rsidR="00584B0E" w:rsidRPr="00584B0E">
        <w:rPr>
          <w:rFonts w:ascii="Arial" w:hAnsi="Arial"/>
          <w:b/>
        </w:rPr>
        <w:t>)</w:t>
      </w:r>
    </w:p>
    <w:p w:rsidR="00802DDB" w:rsidRPr="00802DDB" w:rsidRDefault="00802DDB" w:rsidP="00802DDB">
      <w:pPr>
        <w:pStyle w:val="ListParagraph"/>
        <w:rPr>
          <w:rFonts w:ascii="Arial" w:hAnsi="Arial"/>
        </w:rPr>
      </w:pPr>
    </w:p>
    <w:p w:rsidR="00DE2707" w:rsidRPr="001769B3" w:rsidRDefault="00DE2707" w:rsidP="00DE2707">
      <w:pPr>
        <w:pStyle w:val="BodyText"/>
        <w:numPr>
          <w:ilvl w:val="0"/>
          <w:numId w:val="2"/>
        </w:numPr>
        <w:tabs>
          <w:tab w:val="clear" w:pos="360"/>
          <w:tab w:val="num" w:pos="-270"/>
        </w:tabs>
        <w:rPr>
          <w:b/>
          <w:sz w:val="20"/>
        </w:rPr>
      </w:pPr>
      <w:r w:rsidRPr="001769B3">
        <w:rPr>
          <w:b/>
          <w:sz w:val="20"/>
        </w:rPr>
        <w:t xml:space="preserve">In CalWORKs cases, also explain why the county believes the respondent committed the IPV for the purpose of establishing or maintaining the family’s eligibility for CalWORKs </w:t>
      </w:r>
      <w:r w:rsidR="001769B3">
        <w:rPr>
          <w:b/>
          <w:sz w:val="20"/>
        </w:rPr>
        <w:t xml:space="preserve">or </w:t>
      </w:r>
      <w:r w:rsidRPr="001769B3">
        <w:rPr>
          <w:b/>
          <w:sz w:val="20"/>
        </w:rPr>
        <w:t xml:space="preserve">for increasing or preventing a reduction in the amount of the grant. </w:t>
      </w:r>
    </w:p>
    <w:p w:rsidR="00DE2707" w:rsidRDefault="00DE2707" w:rsidP="00DE2707">
      <w:pPr>
        <w:ind w:left="360"/>
        <w:rPr>
          <w:rFonts w:ascii="Arial" w:hAnsi="Arial" w:cs="Arial"/>
          <w:b/>
          <w:iCs/>
          <w:sz w:val="22"/>
          <w:szCs w:val="22"/>
        </w:rPr>
      </w:pPr>
    </w:p>
    <w:p w:rsidR="00802DDB" w:rsidRPr="004B2F65" w:rsidRDefault="00802DDB" w:rsidP="00802DDB">
      <w:pPr>
        <w:ind w:left="360"/>
        <w:rPr>
          <w:rFonts w:ascii="Arial" w:hAnsi="Arial" w:cs="Arial"/>
          <w:b/>
          <w:iCs/>
        </w:rPr>
      </w:pPr>
      <w:r w:rsidRPr="004B2F65">
        <w:rPr>
          <w:rFonts w:ascii="Arial" w:hAnsi="Arial" w:cs="Arial"/>
          <w:iCs/>
        </w:rPr>
        <w:t>Under the certification section of the SAWS 2A signed by the respondent, it states “I understand the penalties for giving incomplete or wrong facts, or for failing to report facts or situations that my affect my eligibility or benefit level for cash aid or food stamps”.</w:t>
      </w:r>
      <w:r w:rsidRPr="004B2F65">
        <w:rPr>
          <w:rFonts w:ascii="Arial" w:hAnsi="Arial" w:cs="Arial"/>
          <w:b/>
          <w:iCs/>
        </w:rPr>
        <w:t xml:space="preserve"> </w:t>
      </w:r>
      <w:r w:rsidRPr="004B2F65">
        <w:rPr>
          <w:rFonts w:ascii="Arial" w:hAnsi="Arial" w:cs="Arial"/>
          <w:iCs/>
        </w:rPr>
        <w:t xml:space="preserve">The respondent signed and dated the SAWS2A on </w:t>
      </w:r>
      <w:r>
        <w:rPr>
          <w:rFonts w:ascii="Arial" w:hAnsi="Arial" w:cs="Arial"/>
          <w:iCs/>
        </w:rPr>
        <w:t>12/05/2016</w:t>
      </w:r>
      <w:r w:rsidRPr="004B2F65">
        <w:rPr>
          <w:rFonts w:ascii="Arial" w:hAnsi="Arial" w:cs="Arial"/>
          <w:b/>
          <w:iCs/>
        </w:rPr>
        <w:t xml:space="preserve">. </w:t>
      </w:r>
    </w:p>
    <w:p w:rsidR="0039245A" w:rsidRDefault="0039245A" w:rsidP="00DE2707">
      <w:pPr>
        <w:ind w:left="360"/>
        <w:rPr>
          <w:rFonts w:ascii="Arial" w:hAnsi="Arial" w:cs="Arial"/>
          <w:b/>
          <w:iCs/>
          <w:sz w:val="22"/>
          <w:szCs w:val="22"/>
        </w:rPr>
      </w:pPr>
    </w:p>
    <w:p w:rsidR="00802DDB" w:rsidRPr="004B2F65" w:rsidRDefault="00802DDB" w:rsidP="00802DDB">
      <w:pPr>
        <w:pStyle w:val="BodyText"/>
        <w:ind w:left="360"/>
        <w:rPr>
          <w:sz w:val="20"/>
        </w:rPr>
      </w:pPr>
      <w:r w:rsidRPr="004B2F65">
        <w:rPr>
          <w:sz w:val="20"/>
        </w:rPr>
        <w:t>Under the certification section of the SAR7 signed by the respondent 0</w:t>
      </w:r>
      <w:r>
        <w:rPr>
          <w:sz w:val="20"/>
        </w:rPr>
        <w:t>6</w:t>
      </w:r>
      <w:r w:rsidRPr="004B2F65">
        <w:rPr>
          <w:sz w:val="20"/>
        </w:rPr>
        <w:t>/</w:t>
      </w:r>
      <w:r>
        <w:rPr>
          <w:sz w:val="20"/>
        </w:rPr>
        <w:t>20</w:t>
      </w:r>
      <w:r w:rsidRPr="004B2F65">
        <w:rPr>
          <w:sz w:val="20"/>
        </w:rPr>
        <w:t xml:space="preserve">/2017, it states “I understand that : If on purpose I do not report all facts or give wrong facts about my income, property, or family status to get or keep getting aid or benefits, I can be legally prosecuted.”  Additionally, on the SAR7 Addendum – Instructions and Penalties for the Semi Annual Status Report mailed with the SAR7, it states “Facts you report may result in your benefits going up, down, or stopped.”  The respondent signed the SAR7 certifying that they received a copy of the Instructions and Penalties for the Semi Annual/Status Report.  Because the respondent was informed of this, the County contends that they committed these acts (of non-reporting) to maintain CalWORKs/CalFresh eligibility, or to increase or prevent a reduction in the amount of the CalWORKs/CalFresh benefits.  </w:t>
      </w:r>
    </w:p>
    <w:p w:rsidR="0039245A" w:rsidRDefault="0039245A" w:rsidP="00DE2707">
      <w:pPr>
        <w:jc w:val="center"/>
        <w:rPr>
          <w:rFonts w:ascii="Arial" w:hAnsi="Arial" w:cs="Arial"/>
          <w:b/>
          <w:bCs/>
          <w:sz w:val="16"/>
        </w:rPr>
      </w:pPr>
    </w:p>
    <w:p w:rsidR="00DE2707" w:rsidRDefault="00DE2707" w:rsidP="00171586">
      <w:pPr>
        <w:rPr>
          <w:rFonts w:ascii="Arial" w:hAnsi="Arial" w:cs="Arial"/>
          <w:b/>
          <w:bCs/>
          <w:sz w:val="16"/>
        </w:rPr>
      </w:pPr>
    </w:p>
    <w:p w:rsidR="00DE2707" w:rsidRDefault="00DE2707" w:rsidP="00DE2707">
      <w:pPr>
        <w:numPr>
          <w:ilvl w:val="0"/>
          <w:numId w:val="2"/>
        </w:numPr>
        <w:tabs>
          <w:tab w:val="clear" w:pos="360"/>
          <w:tab w:val="num" w:pos="0"/>
        </w:tabs>
        <w:rPr>
          <w:rFonts w:ascii="Arial" w:hAnsi="Arial"/>
          <w:b/>
        </w:rPr>
      </w:pPr>
      <w:r w:rsidRPr="001769B3">
        <w:rPr>
          <w:rFonts w:ascii="Arial" w:hAnsi="Arial"/>
          <w:b/>
        </w:rPr>
        <w:lastRenderedPageBreak/>
        <w:t>Describe how and when the person was made aware of his/her responsibility to report the information which caused the IPV.</w:t>
      </w:r>
    </w:p>
    <w:p w:rsidR="00584B0E" w:rsidRDefault="00584B0E" w:rsidP="00584B0E">
      <w:pPr>
        <w:ind w:left="360"/>
        <w:rPr>
          <w:rFonts w:ascii="Arial" w:hAnsi="Arial"/>
          <w:b/>
        </w:rPr>
      </w:pPr>
    </w:p>
    <w:p w:rsidR="00DB7BB1" w:rsidRPr="00DB7BB1" w:rsidRDefault="00DB7BB1" w:rsidP="00DB7BB1">
      <w:pPr>
        <w:pStyle w:val="ListParagraph"/>
        <w:numPr>
          <w:ilvl w:val="0"/>
          <w:numId w:val="22"/>
        </w:numPr>
        <w:rPr>
          <w:rFonts w:ascii="Arial" w:hAnsi="Arial" w:cs="Arial"/>
          <w:b/>
          <w:iCs/>
        </w:rPr>
      </w:pPr>
      <w:r w:rsidRPr="00DB7BB1">
        <w:rPr>
          <w:rFonts w:ascii="Arial" w:hAnsi="Arial" w:cs="Arial"/>
          <w:iCs/>
        </w:rPr>
        <w:t xml:space="preserve">Under the certification section of the SAWS 2 PLUS, signed by the respondent during the face to face interview with the Eligibility Worker on 12/05/2017, it states “I understand giving false or misleading statements or misrepresenting or hiding or withholding facts to establish eligibility is fraud and that I may be subject to penalties under federal law if I provide false or untrue information. Fraud can cause a criminal case to be filed against me and/or I may be barred for a period of time (or life) from getting CalFresh benefits and cash aid.” </w:t>
      </w:r>
      <w:r w:rsidRPr="00DB7BB1">
        <w:rPr>
          <w:rFonts w:ascii="Arial" w:hAnsi="Arial" w:cs="Arial"/>
          <w:b/>
          <w:iCs/>
        </w:rPr>
        <w:t>(Attachment 10)</w:t>
      </w:r>
    </w:p>
    <w:p w:rsidR="00DB7BB1" w:rsidRPr="001769B3" w:rsidRDefault="00DB7BB1" w:rsidP="00584B0E">
      <w:pPr>
        <w:ind w:left="360"/>
        <w:rPr>
          <w:rFonts w:ascii="Arial" w:hAnsi="Arial"/>
          <w:b/>
        </w:rPr>
      </w:pPr>
    </w:p>
    <w:p w:rsidR="00584B0E" w:rsidRPr="00584B0E" w:rsidRDefault="00584B0E" w:rsidP="00584B0E">
      <w:pPr>
        <w:pStyle w:val="ListParagraph"/>
        <w:numPr>
          <w:ilvl w:val="0"/>
          <w:numId w:val="20"/>
        </w:numPr>
        <w:rPr>
          <w:rFonts w:ascii="Arial" w:hAnsi="Arial"/>
          <w:b/>
        </w:rPr>
      </w:pPr>
      <w:r w:rsidRPr="00584B0E">
        <w:rPr>
          <w:rFonts w:ascii="Arial" w:hAnsi="Arial" w:cs="Arial"/>
          <w:iCs/>
        </w:rPr>
        <w:t xml:space="preserve">During the Face to Face interview with the EW on </w:t>
      </w:r>
      <w:r>
        <w:rPr>
          <w:rFonts w:ascii="Arial" w:hAnsi="Arial" w:cs="Arial"/>
          <w:iCs/>
        </w:rPr>
        <w:t>12</w:t>
      </w:r>
      <w:r w:rsidRPr="00584B0E">
        <w:rPr>
          <w:rFonts w:ascii="Arial" w:hAnsi="Arial" w:cs="Arial"/>
          <w:iCs/>
        </w:rPr>
        <w:t>/0</w:t>
      </w:r>
      <w:r>
        <w:rPr>
          <w:rFonts w:ascii="Arial" w:hAnsi="Arial" w:cs="Arial"/>
          <w:iCs/>
        </w:rPr>
        <w:t>5</w:t>
      </w:r>
      <w:r w:rsidRPr="00584B0E">
        <w:rPr>
          <w:rFonts w:ascii="Arial" w:hAnsi="Arial" w:cs="Arial"/>
          <w:iCs/>
        </w:rPr>
        <w:t xml:space="preserve">/2016, the respondent signed the Rights and Responsibilities and penalty warnings. (SAWS2A) </w:t>
      </w:r>
      <w:r w:rsidRPr="00584B0E">
        <w:rPr>
          <w:rFonts w:ascii="Arial" w:hAnsi="Arial" w:cs="Arial"/>
          <w:b/>
          <w:iCs/>
        </w:rPr>
        <w:t xml:space="preserve">(Attachment </w:t>
      </w:r>
      <w:r w:rsidR="00701122">
        <w:rPr>
          <w:rFonts w:ascii="Arial" w:hAnsi="Arial" w:cs="Arial"/>
          <w:b/>
          <w:iCs/>
        </w:rPr>
        <w:t>1</w:t>
      </w:r>
      <w:r w:rsidR="00DB7BB1">
        <w:rPr>
          <w:rFonts w:ascii="Arial" w:hAnsi="Arial" w:cs="Arial"/>
          <w:b/>
          <w:iCs/>
        </w:rPr>
        <w:t>1</w:t>
      </w:r>
      <w:r w:rsidRPr="00584B0E">
        <w:rPr>
          <w:rFonts w:ascii="Arial" w:hAnsi="Arial" w:cs="Arial"/>
          <w:b/>
          <w:iCs/>
        </w:rPr>
        <w:t>)</w:t>
      </w:r>
    </w:p>
    <w:p w:rsidR="00584B0E" w:rsidRPr="00584B0E" w:rsidRDefault="00584B0E" w:rsidP="00584B0E">
      <w:pPr>
        <w:pStyle w:val="ListParagraph"/>
        <w:rPr>
          <w:rFonts w:ascii="Arial" w:hAnsi="Arial"/>
          <w:b/>
        </w:rPr>
      </w:pPr>
    </w:p>
    <w:p w:rsidR="00584B0E" w:rsidRPr="00584B0E" w:rsidRDefault="00584B0E" w:rsidP="00584B0E">
      <w:pPr>
        <w:pStyle w:val="ListParagraph"/>
        <w:numPr>
          <w:ilvl w:val="0"/>
          <w:numId w:val="20"/>
        </w:numPr>
        <w:rPr>
          <w:rFonts w:ascii="Arial" w:hAnsi="Arial"/>
          <w:b/>
        </w:rPr>
      </w:pPr>
      <w:r>
        <w:rPr>
          <w:rFonts w:ascii="Arial" w:hAnsi="Arial" w:cs="Arial"/>
          <w:iCs/>
        </w:rPr>
        <w:t>T</w:t>
      </w:r>
      <w:r w:rsidRPr="004B2F65">
        <w:rPr>
          <w:rFonts w:ascii="Arial" w:hAnsi="Arial" w:cs="Arial"/>
          <w:iCs/>
        </w:rPr>
        <w:t>he respondent was mailed Income Reporting Threshold (IRT) Notice</w:t>
      </w:r>
      <w:r>
        <w:rPr>
          <w:rFonts w:ascii="Arial" w:hAnsi="Arial" w:cs="Arial"/>
          <w:iCs/>
        </w:rPr>
        <w:t>s</w:t>
      </w:r>
      <w:r w:rsidRPr="004B2F65">
        <w:rPr>
          <w:rFonts w:ascii="Arial" w:hAnsi="Arial" w:cs="Arial"/>
          <w:iCs/>
        </w:rPr>
        <w:t xml:space="preserve"> informing h</w:t>
      </w:r>
      <w:r>
        <w:rPr>
          <w:rFonts w:ascii="Arial" w:hAnsi="Arial" w:cs="Arial"/>
          <w:iCs/>
        </w:rPr>
        <w:t>er</w:t>
      </w:r>
      <w:r w:rsidRPr="004B2F65">
        <w:rPr>
          <w:rFonts w:ascii="Arial" w:hAnsi="Arial" w:cs="Arial"/>
          <w:iCs/>
        </w:rPr>
        <w:t xml:space="preserve"> of h</w:t>
      </w:r>
      <w:r>
        <w:rPr>
          <w:rFonts w:ascii="Arial" w:hAnsi="Arial" w:cs="Arial"/>
          <w:iCs/>
        </w:rPr>
        <w:t>er</w:t>
      </w:r>
      <w:r w:rsidRPr="004B2F65">
        <w:rPr>
          <w:rFonts w:ascii="Arial" w:hAnsi="Arial" w:cs="Arial"/>
          <w:iCs/>
        </w:rPr>
        <w:t xml:space="preserve"> requirement to report if her income goes over the IRT. </w:t>
      </w:r>
      <w:r w:rsidRPr="004B2F65">
        <w:rPr>
          <w:rFonts w:ascii="Arial" w:hAnsi="Arial" w:cs="Arial"/>
          <w:b/>
          <w:iCs/>
        </w:rPr>
        <w:t xml:space="preserve">(Attachment </w:t>
      </w:r>
      <w:r w:rsidR="00701122">
        <w:rPr>
          <w:rFonts w:ascii="Arial" w:hAnsi="Arial" w:cs="Arial"/>
          <w:b/>
          <w:iCs/>
        </w:rPr>
        <w:t>1</w:t>
      </w:r>
      <w:r w:rsidR="00DB7BB1">
        <w:rPr>
          <w:rFonts w:ascii="Arial" w:hAnsi="Arial" w:cs="Arial"/>
          <w:b/>
          <w:iCs/>
        </w:rPr>
        <w:t>2</w:t>
      </w:r>
      <w:r w:rsidRPr="004B2F65">
        <w:rPr>
          <w:rFonts w:ascii="Arial" w:hAnsi="Arial" w:cs="Arial"/>
          <w:b/>
          <w:iCs/>
        </w:rPr>
        <w:t>)</w:t>
      </w:r>
      <w:r w:rsidRPr="004B2F65">
        <w:rPr>
          <w:rFonts w:ascii="Arial" w:hAnsi="Arial" w:cs="Arial"/>
          <w:iCs/>
        </w:rPr>
        <w:t xml:space="preserve"> The </w:t>
      </w:r>
      <w:r w:rsidRPr="004B2F65">
        <w:rPr>
          <w:rFonts w:ascii="Arial" w:hAnsi="Arial"/>
        </w:rPr>
        <w:t>IRT notice</w:t>
      </w:r>
      <w:r>
        <w:rPr>
          <w:rFonts w:ascii="Arial" w:hAnsi="Arial"/>
        </w:rPr>
        <w:t>s</w:t>
      </w:r>
      <w:r w:rsidRPr="004B2F65">
        <w:rPr>
          <w:rFonts w:ascii="Arial" w:hAnsi="Arial"/>
        </w:rPr>
        <w:t xml:space="preserve"> states: “Failure to report when your income is more than the Income Reporting Threshold (IRT) for your family size may result in your benefits being overpaid. Any overpaid benefits MUST be repaid. You may also be subject to fraud charges/penalties if you do not timely report required information to the County. If anyone in your family has earnings, you MUST report within 10 days, when your family’s total income (Earned + Unearned) is more than: (IRT Amount).”  </w:t>
      </w:r>
    </w:p>
    <w:p w:rsidR="00584B0E" w:rsidRPr="00584B0E" w:rsidRDefault="00584B0E" w:rsidP="00701122">
      <w:pPr>
        <w:ind w:left="360" w:firstLine="360"/>
        <w:rPr>
          <w:rFonts w:ascii="Arial" w:hAnsi="Arial"/>
        </w:rPr>
      </w:pPr>
      <w:r w:rsidRPr="00584B0E">
        <w:rPr>
          <w:rFonts w:ascii="Arial" w:hAnsi="Arial"/>
        </w:rPr>
        <w:t>IRT Notices were mailed</w:t>
      </w:r>
      <w:r>
        <w:rPr>
          <w:rFonts w:ascii="Arial" w:hAnsi="Arial"/>
        </w:rPr>
        <w:t xml:space="preserve"> to the respondent 12</w:t>
      </w:r>
      <w:r w:rsidR="00701122">
        <w:rPr>
          <w:rFonts w:ascii="Arial" w:hAnsi="Arial"/>
        </w:rPr>
        <w:t>/</w:t>
      </w:r>
      <w:r>
        <w:rPr>
          <w:rFonts w:ascii="Arial" w:hAnsi="Arial"/>
        </w:rPr>
        <w:t>09</w:t>
      </w:r>
      <w:r w:rsidR="00701122">
        <w:rPr>
          <w:rFonts w:ascii="Arial" w:hAnsi="Arial"/>
        </w:rPr>
        <w:t>/</w:t>
      </w:r>
      <w:r>
        <w:rPr>
          <w:rFonts w:ascii="Arial" w:hAnsi="Arial"/>
        </w:rPr>
        <w:t xml:space="preserve">2016 &amp; 09/09/2017. </w:t>
      </w:r>
    </w:p>
    <w:p w:rsidR="0039245A" w:rsidRDefault="0039245A" w:rsidP="00DE2707">
      <w:pPr>
        <w:ind w:left="360"/>
        <w:rPr>
          <w:rFonts w:ascii="Arial" w:hAnsi="Arial"/>
          <w:sz w:val="22"/>
        </w:rPr>
      </w:pPr>
    </w:p>
    <w:p w:rsidR="0039245A" w:rsidRPr="00584B0E" w:rsidRDefault="00584B0E" w:rsidP="00DE2707">
      <w:pPr>
        <w:ind w:left="360"/>
        <w:rPr>
          <w:rFonts w:ascii="Arial" w:hAnsi="Arial"/>
        </w:rPr>
      </w:pPr>
      <w:r w:rsidRPr="00584B0E">
        <w:rPr>
          <w:rFonts w:ascii="Arial" w:hAnsi="Arial"/>
        </w:rPr>
        <w:t xml:space="preserve">Additionally, the </w:t>
      </w:r>
      <w:r>
        <w:rPr>
          <w:rFonts w:ascii="Arial" w:hAnsi="Arial"/>
        </w:rPr>
        <w:t>SAR7 mailed to the respondent and completed by her 06/20/2017, was accompanied by the SAR2</w:t>
      </w:r>
      <w:r w:rsidR="00B84D55">
        <w:rPr>
          <w:rFonts w:ascii="Arial" w:hAnsi="Arial"/>
        </w:rPr>
        <w:t xml:space="preserve">/SAR7, directions for completing the SAR7 report including what must be reported and penalties for not reporting. </w:t>
      </w:r>
      <w:r w:rsidR="00B84D55" w:rsidRPr="00B84D55">
        <w:rPr>
          <w:rFonts w:ascii="Arial" w:hAnsi="Arial"/>
          <w:b/>
        </w:rPr>
        <w:t>(Attachment 1</w:t>
      </w:r>
      <w:r w:rsidR="00DB7BB1">
        <w:rPr>
          <w:rFonts w:ascii="Arial" w:hAnsi="Arial"/>
          <w:b/>
        </w:rPr>
        <w:t>3</w:t>
      </w:r>
      <w:r w:rsidR="00B84D55" w:rsidRPr="00B84D55">
        <w:rPr>
          <w:rFonts w:ascii="Arial" w:hAnsi="Arial"/>
          <w:b/>
        </w:rPr>
        <w:t>)</w:t>
      </w:r>
    </w:p>
    <w:p w:rsidR="0039245A" w:rsidRDefault="0039245A" w:rsidP="00DE2707">
      <w:pPr>
        <w:ind w:left="360"/>
        <w:rPr>
          <w:rFonts w:ascii="Arial" w:hAnsi="Arial"/>
          <w:sz w:val="22"/>
        </w:rPr>
      </w:pPr>
    </w:p>
    <w:p w:rsidR="00DE2707" w:rsidRPr="001769B3" w:rsidRDefault="00DE2707" w:rsidP="00DE2707">
      <w:pPr>
        <w:numPr>
          <w:ilvl w:val="0"/>
          <w:numId w:val="2"/>
        </w:numPr>
        <w:rPr>
          <w:rFonts w:ascii="Arial" w:hAnsi="Arial"/>
          <w:b/>
        </w:rPr>
      </w:pPr>
      <w:r w:rsidRPr="001769B3">
        <w:rPr>
          <w:rFonts w:ascii="Arial" w:hAnsi="Arial"/>
          <w:b/>
        </w:rPr>
        <w:t xml:space="preserve">Describe the exact </w:t>
      </w:r>
      <w:r w:rsidRPr="001769B3">
        <w:rPr>
          <w:rFonts w:ascii="Arial" w:hAnsi="Arial"/>
          <w:b/>
          <w:u w:val="single"/>
        </w:rPr>
        <w:t>period of time</w:t>
      </w:r>
      <w:r w:rsidRPr="001769B3">
        <w:rPr>
          <w:rFonts w:ascii="Arial" w:hAnsi="Arial"/>
          <w:b/>
        </w:rPr>
        <w:t xml:space="preserve"> in which the action and/or occurrence took place and the amounts and period of any resulting CalWORKs overpayment and</w:t>
      </w:r>
      <w:r w:rsidR="00475397" w:rsidRPr="001769B3">
        <w:rPr>
          <w:rFonts w:ascii="Arial" w:hAnsi="Arial"/>
          <w:b/>
        </w:rPr>
        <w:t xml:space="preserve"> CalFresh</w:t>
      </w:r>
      <w:r w:rsidRPr="001769B3">
        <w:rPr>
          <w:rFonts w:ascii="Arial" w:hAnsi="Arial"/>
          <w:b/>
        </w:rPr>
        <w:t xml:space="preserve"> overissuance.</w:t>
      </w:r>
    </w:p>
    <w:p w:rsidR="00DE2707" w:rsidRDefault="00DE2707" w:rsidP="00171586">
      <w:pPr>
        <w:rPr>
          <w:rFonts w:ascii="Arial" w:hAnsi="Arial"/>
          <w:sz w:val="22"/>
        </w:rPr>
      </w:pPr>
    </w:p>
    <w:p w:rsidR="00B84D55" w:rsidRDefault="00B84D55" w:rsidP="00B84D55">
      <w:pPr>
        <w:ind w:left="360"/>
        <w:rPr>
          <w:rFonts w:ascii="Arial" w:hAnsi="Arial"/>
        </w:rPr>
      </w:pPr>
      <w:r w:rsidRPr="00B84D55">
        <w:rPr>
          <w:rFonts w:ascii="Arial" w:hAnsi="Arial"/>
        </w:rPr>
        <w:t xml:space="preserve">The respondent had unreported income from </w:t>
      </w:r>
      <w:r w:rsidRPr="00D9086D">
        <w:rPr>
          <w:rFonts w:ascii="Arial" w:hAnsi="Arial"/>
          <w:highlight w:val="black"/>
        </w:rPr>
        <w:t>Apple American Group, LLC/Applebee’s</w:t>
      </w:r>
      <w:r w:rsidRPr="00B84D55">
        <w:rPr>
          <w:rFonts w:ascii="Arial" w:hAnsi="Arial"/>
        </w:rPr>
        <w:t xml:space="preserve"> from 02/27/2017 through 01/02/2018 making the household ineligible to the amount of CalWORKs and CalFresh benefits issued.</w:t>
      </w:r>
    </w:p>
    <w:p w:rsidR="00B84D55" w:rsidRDefault="00B84D55" w:rsidP="00B84D55">
      <w:pPr>
        <w:ind w:left="360"/>
        <w:rPr>
          <w:rFonts w:ascii="Arial" w:hAnsi="Arial"/>
        </w:rPr>
      </w:pPr>
    </w:p>
    <w:p w:rsidR="00B84D55" w:rsidRDefault="00B84D55" w:rsidP="00B84D55">
      <w:pPr>
        <w:ind w:left="360"/>
        <w:rPr>
          <w:rFonts w:ascii="Arial" w:hAnsi="Arial"/>
          <w:b/>
        </w:rPr>
      </w:pPr>
      <w:r>
        <w:rPr>
          <w:rFonts w:ascii="Arial" w:hAnsi="Arial"/>
        </w:rPr>
        <w:t xml:space="preserve">This resulted in a total CalWORKs overpayment of </w:t>
      </w:r>
      <w:r w:rsidRPr="00F87D7D">
        <w:rPr>
          <w:rFonts w:ascii="Arial" w:hAnsi="Arial"/>
          <w:b/>
        </w:rPr>
        <w:t>$2,745.00</w:t>
      </w:r>
      <w:r>
        <w:rPr>
          <w:rFonts w:ascii="Arial" w:hAnsi="Arial"/>
        </w:rPr>
        <w:t xml:space="preserve"> for the time period of </w:t>
      </w:r>
      <w:r w:rsidRPr="00F87D7D">
        <w:rPr>
          <w:rFonts w:ascii="Arial" w:hAnsi="Arial"/>
          <w:b/>
        </w:rPr>
        <w:t>06/2017 through 10/2017.</w:t>
      </w:r>
      <w:r>
        <w:rPr>
          <w:rFonts w:ascii="Arial" w:hAnsi="Arial"/>
        </w:rPr>
        <w:t xml:space="preserve"> </w:t>
      </w:r>
      <w:r w:rsidRPr="00B84D55">
        <w:rPr>
          <w:rFonts w:ascii="Arial" w:hAnsi="Arial"/>
          <w:b/>
        </w:rPr>
        <w:t>(Attachment 1</w:t>
      </w:r>
      <w:r w:rsidR="00DB7BB1">
        <w:rPr>
          <w:rFonts w:ascii="Arial" w:hAnsi="Arial"/>
          <w:b/>
        </w:rPr>
        <w:t>4</w:t>
      </w:r>
      <w:r w:rsidRPr="00B84D55">
        <w:rPr>
          <w:rFonts w:ascii="Arial" w:hAnsi="Arial"/>
          <w:b/>
        </w:rPr>
        <w:t xml:space="preserve">) </w:t>
      </w:r>
    </w:p>
    <w:p w:rsidR="00B84D55" w:rsidRDefault="00B84D55" w:rsidP="00B84D55">
      <w:pPr>
        <w:ind w:left="360"/>
        <w:rPr>
          <w:rFonts w:ascii="Arial" w:hAnsi="Arial"/>
          <w:b/>
        </w:rPr>
      </w:pPr>
    </w:p>
    <w:p w:rsidR="00B84D55" w:rsidRPr="00B84D55" w:rsidRDefault="00B84D55" w:rsidP="00B84D55">
      <w:pPr>
        <w:ind w:left="360"/>
        <w:rPr>
          <w:rFonts w:ascii="Arial" w:hAnsi="Arial"/>
        </w:rPr>
      </w:pPr>
      <w:r w:rsidRPr="00B84D55">
        <w:rPr>
          <w:rFonts w:ascii="Arial" w:hAnsi="Arial"/>
        </w:rPr>
        <w:t xml:space="preserve">This </w:t>
      </w:r>
      <w:r>
        <w:rPr>
          <w:rFonts w:ascii="Arial" w:hAnsi="Arial"/>
        </w:rPr>
        <w:t xml:space="preserve">resulted in a total CalFresh overissuance of </w:t>
      </w:r>
      <w:r w:rsidRPr="00F87D7D">
        <w:rPr>
          <w:rFonts w:ascii="Arial" w:hAnsi="Arial"/>
          <w:b/>
        </w:rPr>
        <w:t>$3,552.00</w:t>
      </w:r>
      <w:r>
        <w:rPr>
          <w:rFonts w:ascii="Arial" w:hAnsi="Arial"/>
        </w:rPr>
        <w:t xml:space="preserve"> for the time period of </w:t>
      </w:r>
      <w:r w:rsidRPr="00F87D7D">
        <w:rPr>
          <w:rFonts w:ascii="Arial" w:hAnsi="Arial"/>
          <w:b/>
        </w:rPr>
        <w:t>07/2017 through 10/2017.</w:t>
      </w:r>
      <w:r>
        <w:rPr>
          <w:rFonts w:ascii="Arial" w:hAnsi="Arial"/>
        </w:rPr>
        <w:t xml:space="preserve"> </w:t>
      </w:r>
      <w:r w:rsidRPr="00B84D55">
        <w:rPr>
          <w:rFonts w:ascii="Arial" w:hAnsi="Arial"/>
          <w:b/>
        </w:rPr>
        <w:t>(Attachment 1</w:t>
      </w:r>
      <w:r w:rsidR="00DB7BB1">
        <w:rPr>
          <w:rFonts w:ascii="Arial" w:hAnsi="Arial"/>
          <w:b/>
        </w:rPr>
        <w:t>5</w:t>
      </w:r>
      <w:r w:rsidRPr="00B84D55">
        <w:rPr>
          <w:rFonts w:ascii="Arial" w:hAnsi="Arial"/>
          <w:b/>
        </w:rPr>
        <w:t>)</w:t>
      </w:r>
    </w:p>
    <w:p w:rsidR="00DE2707" w:rsidRDefault="00DE2707" w:rsidP="00DE2707">
      <w:pPr>
        <w:rPr>
          <w:rFonts w:ascii="Arial" w:hAnsi="Arial"/>
        </w:rPr>
      </w:pPr>
    </w:p>
    <w:p w:rsidR="007B3DE8" w:rsidRPr="0037257A" w:rsidRDefault="007B3DE8" w:rsidP="007B3DE8">
      <w:pPr>
        <w:pStyle w:val="ListParagraph"/>
        <w:numPr>
          <w:ilvl w:val="0"/>
          <w:numId w:val="2"/>
        </w:numPr>
        <w:tabs>
          <w:tab w:val="clear" w:pos="360"/>
          <w:tab w:val="num" w:pos="450"/>
        </w:tabs>
        <w:ind w:left="450"/>
        <w:rPr>
          <w:rFonts w:ascii="Arial" w:hAnsi="Arial"/>
          <w:b/>
        </w:rPr>
      </w:pPr>
      <w:r w:rsidRPr="0037257A">
        <w:rPr>
          <w:rFonts w:ascii="Arial" w:hAnsi="Arial"/>
          <w:b/>
        </w:rPr>
        <w:t>Prior IPV or over-payment or over issuance history?</w:t>
      </w:r>
    </w:p>
    <w:p w:rsidR="007B3DE8" w:rsidRPr="00C620A9" w:rsidRDefault="007B3DE8" w:rsidP="007B3DE8">
      <w:pPr>
        <w:ind w:left="360"/>
        <w:rPr>
          <w:rFonts w:ascii="Arial" w:hAnsi="Arial"/>
          <w:b/>
        </w:rPr>
      </w:pPr>
    </w:p>
    <w:p w:rsidR="007B3DE8" w:rsidRPr="0037257A" w:rsidRDefault="007B3DE8" w:rsidP="007B3DE8">
      <w:pPr>
        <w:ind w:left="360"/>
        <w:rPr>
          <w:rFonts w:ascii="Arial" w:hAnsi="Arial" w:cs="Arial"/>
          <w:color w:val="333333"/>
        </w:rPr>
      </w:pPr>
      <w:r w:rsidRPr="0037257A">
        <w:rPr>
          <w:rFonts w:ascii="Arial" w:hAnsi="Arial" w:cs="Arial"/>
          <w:color w:val="333333"/>
        </w:rPr>
        <w:t>The respondent has no prior Intentional Program Violations.</w:t>
      </w:r>
    </w:p>
    <w:p w:rsidR="007B3DE8" w:rsidRPr="0037257A" w:rsidRDefault="007B3DE8" w:rsidP="007B3DE8">
      <w:pPr>
        <w:ind w:left="360"/>
        <w:rPr>
          <w:rFonts w:ascii="Arial" w:hAnsi="Arial" w:cs="Arial"/>
          <w:color w:val="333333"/>
        </w:rPr>
      </w:pPr>
    </w:p>
    <w:p w:rsidR="007B3DE8" w:rsidRPr="0037257A" w:rsidRDefault="007B3DE8" w:rsidP="007B3DE8">
      <w:pPr>
        <w:pStyle w:val="ListParagraph"/>
        <w:numPr>
          <w:ilvl w:val="0"/>
          <w:numId w:val="2"/>
        </w:numPr>
        <w:tabs>
          <w:tab w:val="clear" w:pos="360"/>
          <w:tab w:val="num" w:pos="450"/>
        </w:tabs>
        <w:ind w:left="450"/>
        <w:rPr>
          <w:rFonts w:ascii="Arial" w:hAnsi="Arial"/>
          <w:b/>
        </w:rPr>
      </w:pPr>
      <w:r w:rsidRPr="0037257A">
        <w:rPr>
          <w:rFonts w:ascii="Arial" w:hAnsi="Arial"/>
          <w:b/>
        </w:rPr>
        <w:t>Prior State Hearing history for this issue?</w:t>
      </w:r>
    </w:p>
    <w:p w:rsidR="007B3DE8" w:rsidRPr="0037257A" w:rsidRDefault="007B3DE8" w:rsidP="007B3DE8">
      <w:pPr>
        <w:pStyle w:val="ListParagraph"/>
        <w:ind w:left="450"/>
        <w:rPr>
          <w:rFonts w:ascii="Arial" w:hAnsi="Arial"/>
          <w:b/>
        </w:rPr>
      </w:pPr>
    </w:p>
    <w:p w:rsidR="007B3DE8" w:rsidRPr="0037257A" w:rsidRDefault="007B3DE8" w:rsidP="007B3DE8">
      <w:pPr>
        <w:pStyle w:val="ListParagraph"/>
        <w:ind w:left="450"/>
        <w:rPr>
          <w:rFonts w:ascii="Arial" w:hAnsi="Arial"/>
        </w:rPr>
      </w:pPr>
      <w:r w:rsidRPr="0037257A">
        <w:rPr>
          <w:rFonts w:ascii="Arial" w:hAnsi="Arial"/>
        </w:rPr>
        <w:t>The respondent has no prior State Hearing history for this issue.</w:t>
      </w:r>
    </w:p>
    <w:p w:rsidR="007B3DE8" w:rsidRPr="0037257A" w:rsidRDefault="007B3DE8" w:rsidP="007B3DE8">
      <w:pPr>
        <w:rPr>
          <w:rFonts w:ascii="Arial" w:hAnsi="Arial"/>
        </w:rPr>
      </w:pPr>
    </w:p>
    <w:p w:rsidR="007B3DE8" w:rsidRPr="0037257A" w:rsidRDefault="007B3DE8" w:rsidP="007B3DE8">
      <w:pPr>
        <w:rPr>
          <w:rFonts w:ascii="Arial" w:hAnsi="Arial"/>
        </w:rPr>
      </w:pPr>
      <w:r w:rsidRPr="0037257A">
        <w:rPr>
          <w:rFonts w:ascii="Arial" w:hAnsi="Arial"/>
        </w:rPr>
        <w:t xml:space="preserve">The County is seeking a </w:t>
      </w:r>
      <w:r>
        <w:rPr>
          <w:rFonts w:ascii="Arial" w:hAnsi="Arial"/>
        </w:rPr>
        <w:t xml:space="preserve">Six (6) month CalWORKs Intentional Program Violation penalty period and a </w:t>
      </w:r>
      <w:r w:rsidRPr="0037257A">
        <w:rPr>
          <w:rFonts w:ascii="Arial" w:hAnsi="Arial"/>
        </w:rPr>
        <w:t>Twelve (12) month CalFresh Intentional Program Violation penalty period for this instance of non-reporting.</w:t>
      </w:r>
    </w:p>
    <w:p w:rsidR="0042090D" w:rsidRDefault="0042090D" w:rsidP="00DE2707">
      <w:pPr>
        <w:rPr>
          <w:rFonts w:ascii="Arial" w:hAnsi="Arial"/>
        </w:rPr>
      </w:pPr>
    </w:p>
    <w:p w:rsidR="0042090D" w:rsidRDefault="0042090D" w:rsidP="00DE2707">
      <w:pPr>
        <w:rPr>
          <w:rFonts w:ascii="Arial" w:hAnsi="Arial"/>
        </w:rPr>
      </w:pPr>
    </w:p>
    <w:p w:rsidR="0042090D" w:rsidRDefault="0042090D" w:rsidP="00DE2707">
      <w:pPr>
        <w:rPr>
          <w:rFonts w:ascii="Arial" w:hAnsi="Arial"/>
        </w:rPr>
      </w:pPr>
    </w:p>
    <w:p w:rsidR="0042090D" w:rsidRDefault="0042090D" w:rsidP="00DE2707">
      <w:pPr>
        <w:rPr>
          <w:rFonts w:ascii="Arial" w:hAnsi="Arial"/>
        </w:rPr>
      </w:pPr>
    </w:p>
    <w:p w:rsidR="00DB7BB1" w:rsidRDefault="00DB7BB1" w:rsidP="00DE2707">
      <w:pPr>
        <w:rPr>
          <w:rFonts w:ascii="Arial" w:hAnsi="Arial"/>
        </w:rPr>
      </w:pPr>
    </w:p>
    <w:p w:rsidR="00DE2707" w:rsidRDefault="00DE2707" w:rsidP="00DE2707">
      <w:pPr>
        <w:rPr>
          <w:rFonts w:ascii="Arial" w:hAnsi="Arial"/>
        </w:rPr>
      </w:pPr>
      <w:r>
        <w:rPr>
          <w:rFonts w:ascii="Arial" w:hAnsi="Arial"/>
          <w:noProof/>
        </w:rPr>
        <w:lastRenderedPageBreak/>
        <mc:AlternateContent>
          <mc:Choice Requires="wps">
            <w:drawing>
              <wp:anchor distT="0" distB="0" distL="114300" distR="114300" simplePos="0" relativeHeight="251660288" behindDoc="0" locked="0" layoutInCell="0" allowOverlap="1" wp14:anchorId="10F38AFA" wp14:editId="6A274F4A">
                <wp:simplePos x="0" y="0"/>
                <wp:positionH relativeFrom="column">
                  <wp:posOffset>-228600</wp:posOffset>
                </wp:positionH>
                <wp:positionV relativeFrom="paragraph">
                  <wp:posOffset>26670</wp:posOffset>
                </wp:positionV>
                <wp:extent cx="6217920" cy="0"/>
                <wp:effectExtent l="19050" t="19685" r="20955" b="184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pt" to="471.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" o:allowincell="f" strokeweight="2.5pt">
                <v:stroke linestyle="thinThin"/>
              </v:line>
            </w:pict>
          </mc:Fallback>
        </mc:AlternateContent>
      </w:r>
    </w:p>
    <w:p w:rsidR="00262A98" w:rsidRDefault="00262A98" w:rsidP="00DE2707">
      <w:pPr>
        <w:rPr>
          <w:rFonts w:ascii="Arial" w:hAnsi="Arial"/>
          <w:b/>
          <w:caps/>
          <w:sz w:val="22"/>
          <w:szCs w:val="22"/>
        </w:rPr>
      </w:pPr>
    </w:p>
    <w:p w:rsidR="00DE2707" w:rsidRPr="006A3E32" w:rsidRDefault="00DE2707" w:rsidP="00DE2707">
      <w:pPr>
        <w:rPr>
          <w:rFonts w:ascii="Arial" w:hAnsi="Arial"/>
          <w:b/>
          <w:caps/>
          <w:sz w:val="22"/>
          <w:szCs w:val="22"/>
        </w:rPr>
      </w:pPr>
      <w:r w:rsidRPr="006A3E32">
        <w:rPr>
          <w:rFonts w:ascii="Arial" w:hAnsi="Arial"/>
          <w:b/>
          <w:caps/>
          <w:sz w:val="22"/>
          <w:szCs w:val="22"/>
        </w:rPr>
        <w:t>Applicable Authority:</w:t>
      </w:r>
    </w:p>
    <w:p w:rsidR="00DE2707" w:rsidRPr="006A3E32" w:rsidRDefault="00DE2707" w:rsidP="00DE2707">
      <w:pPr>
        <w:rPr>
          <w:rFonts w:ascii="Arial" w:hAnsi="Arial"/>
          <w:sz w:val="22"/>
          <w:szCs w:val="22"/>
        </w:rPr>
      </w:pPr>
    </w:p>
    <w:p w:rsidR="00DE2707" w:rsidRPr="006A3E32" w:rsidRDefault="00DE2707" w:rsidP="00D9086D">
      <w:pPr>
        <w:pStyle w:val="BlockText"/>
        <w:ind w:left="0"/>
        <w:rPr>
          <w:b/>
          <w:sz w:val="22"/>
          <w:szCs w:val="22"/>
        </w:rPr>
      </w:pPr>
      <w:bookmarkStart w:id="0" w:name="_GoBack"/>
      <w:bookmarkEnd w:id="0"/>
      <w:r w:rsidRPr="006A3E32">
        <w:rPr>
          <w:b/>
          <w:sz w:val="22"/>
          <w:szCs w:val="22"/>
        </w:rPr>
        <w:t>Cite applicable regulations which make this an IPV and those regulations establishing the appropriate penalty period for the case.</w:t>
      </w:r>
    </w:p>
    <w:p w:rsidR="00DE2707" w:rsidRPr="006A3E32" w:rsidRDefault="00DE2707" w:rsidP="00DE2707">
      <w:pPr>
        <w:pStyle w:val="BlockText"/>
        <w:ind w:left="360"/>
        <w:rPr>
          <w:sz w:val="22"/>
          <w:szCs w:val="22"/>
        </w:rPr>
      </w:pPr>
    </w:p>
    <w:p w:rsidR="00DE2707" w:rsidRPr="006A3E32" w:rsidRDefault="00DE2707" w:rsidP="006A3E32">
      <w:pPr>
        <w:pStyle w:val="BlockText"/>
        <w:ind w:left="0"/>
        <w:rPr>
          <w:i/>
          <w:sz w:val="22"/>
          <w:szCs w:val="22"/>
        </w:rPr>
      </w:pPr>
      <w:r w:rsidRPr="006A3E32">
        <w:rPr>
          <w:i/>
          <w:sz w:val="22"/>
          <w:szCs w:val="22"/>
        </w:rPr>
        <w:t>All sections cited refer to the Manual of Policies and Procedures (MPP) unless otherwise noted.</w:t>
      </w:r>
    </w:p>
    <w:p w:rsidR="00DE2707" w:rsidRPr="006A3E32" w:rsidRDefault="00DE2707" w:rsidP="00DE2707">
      <w:pPr>
        <w:pStyle w:val="BlockText"/>
        <w:ind w:left="360"/>
        <w:rPr>
          <w:i/>
          <w:sz w:val="22"/>
          <w:szCs w:val="22"/>
        </w:rPr>
      </w:pPr>
    </w:p>
    <w:p w:rsidR="00DE2707" w:rsidRPr="006A3E32" w:rsidRDefault="00DE2707" w:rsidP="006A3E32">
      <w:pPr>
        <w:pStyle w:val="BlockText"/>
        <w:ind w:left="0"/>
        <w:rPr>
          <w:i/>
          <w:sz w:val="22"/>
          <w:szCs w:val="22"/>
        </w:rPr>
      </w:pPr>
      <w:r w:rsidRPr="006A3E32">
        <w:rPr>
          <w:i/>
          <w:sz w:val="22"/>
          <w:szCs w:val="22"/>
        </w:rPr>
        <w:t>Section 22-305.42 defines an Intentional Program Violation (IPV) in the CalWORKs program as an action by an individual for the purpose of establishing or maintaining the family’s eligibility for CalWORKs or for increasing or preventing a reduction in the amount of the grant, which is Intentionally:</w:t>
      </w:r>
    </w:p>
    <w:p w:rsidR="00DE2707" w:rsidRPr="006A3E32" w:rsidRDefault="00DE2707" w:rsidP="00DE2707">
      <w:pPr>
        <w:pStyle w:val="BlockText"/>
        <w:ind w:left="360"/>
        <w:rPr>
          <w:i/>
          <w:sz w:val="22"/>
          <w:szCs w:val="22"/>
        </w:rPr>
      </w:pPr>
    </w:p>
    <w:p w:rsidR="00DE2707" w:rsidRPr="006A3E32" w:rsidRDefault="00DE2707" w:rsidP="006A3E32">
      <w:pPr>
        <w:pStyle w:val="BlockText"/>
        <w:ind w:left="360"/>
        <w:rPr>
          <w:i/>
          <w:sz w:val="22"/>
          <w:szCs w:val="22"/>
        </w:rPr>
      </w:pPr>
      <w:r w:rsidRPr="006A3E32">
        <w:rPr>
          <w:i/>
          <w:sz w:val="22"/>
          <w:szCs w:val="22"/>
        </w:rPr>
        <w:t>.421</w:t>
      </w:r>
      <w:r w:rsidRPr="006A3E32">
        <w:rPr>
          <w:i/>
          <w:sz w:val="22"/>
          <w:szCs w:val="22"/>
        </w:rPr>
        <w:tab/>
        <w:t>A false or misleading statement or misrepresented, concealed, or withheld facts; or</w:t>
      </w:r>
    </w:p>
    <w:p w:rsidR="00DE2707" w:rsidRPr="006A3E32" w:rsidRDefault="00DE2707" w:rsidP="00DE2707">
      <w:pPr>
        <w:pStyle w:val="BlockText"/>
        <w:ind w:left="360" w:hanging="720"/>
        <w:rPr>
          <w:i/>
          <w:sz w:val="22"/>
          <w:szCs w:val="22"/>
        </w:rPr>
      </w:pPr>
    </w:p>
    <w:p w:rsidR="00DE2707" w:rsidRPr="006A3E32" w:rsidRDefault="00DE2707" w:rsidP="006A3E32">
      <w:pPr>
        <w:pStyle w:val="BlockText"/>
        <w:ind w:left="1440" w:hanging="1080"/>
        <w:rPr>
          <w:i/>
          <w:sz w:val="22"/>
          <w:szCs w:val="22"/>
        </w:rPr>
      </w:pPr>
      <w:r w:rsidRPr="006A3E32">
        <w:rPr>
          <w:i/>
          <w:sz w:val="22"/>
          <w:szCs w:val="22"/>
        </w:rPr>
        <w:t>.422</w:t>
      </w:r>
      <w:r w:rsidRPr="006A3E32">
        <w:rPr>
          <w:i/>
          <w:sz w:val="22"/>
          <w:szCs w:val="22"/>
        </w:rPr>
        <w:tab/>
        <w:t>Any act intended to mislead, misrepresent, conceal, or withhold facts or propound a falsity.</w:t>
      </w:r>
    </w:p>
    <w:p w:rsidR="00DE2707" w:rsidRDefault="00DE2707" w:rsidP="00DE2707">
      <w:pPr>
        <w:pStyle w:val="BlockText"/>
        <w:ind w:left="360" w:hanging="720"/>
        <w:rPr>
          <w:i/>
          <w:sz w:val="22"/>
        </w:rPr>
      </w:pPr>
    </w:p>
    <w:p w:rsidR="00DE2707" w:rsidRDefault="00DE2707" w:rsidP="006A3E32">
      <w:pPr>
        <w:pStyle w:val="BlockText"/>
        <w:ind w:left="0"/>
        <w:rPr>
          <w:i/>
          <w:sz w:val="22"/>
        </w:rPr>
      </w:pPr>
      <w:r>
        <w:rPr>
          <w:i/>
          <w:sz w:val="22"/>
        </w:rPr>
        <w:t>Neither Chapter 20-350 nor 22-300 prescribes a burden of proof for CalWORKs IPV cases decided in the administrative hearing.  Absent a specified burden of proof, the California Department of Social Services (CDSS) will apply the preponderance of the evidence standard.</w:t>
      </w:r>
    </w:p>
    <w:p w:rsidR="00DE2707" w:rsidRDefault="00DE2707" w:rsidP="00DE2707">
      <w:pPr>
        <w:pStyle w:val="BlockText"/>
        <w:ind w:left="360" w:hanging="1440"/>
        <w:rPr>
          <w:i/>
          <w:sz w:val="22"/>
        </w:rPr>
      </w:pPr>
    </w:p>
    <w:p w:rsidR="00DE2707" w:rsidRDefault="00DE2707" w:rsidP="006A3E32">
      <w:pPr>
        <w:ind w:right="-630"/>
        <w:rPr>
          <w:rFonts w:ascii="Arial" w:hAnsi="Arial"/>
          <w:i/>
          <w:sz w:val="22"/>
        </w:rPr>
      </w:pPr>
      <w:r>
        <w:rPr>
          <w:rFonts w:ascii="Arial" w:hAnsi="Arial"/>
          <w:i/>
          <w:sz w:val="22"/>
        </w:rPr>
        <w:t xml:space="preserve">Section 20-300.1 defines a </w:t>
      </w:r>
      <w:r w:rsidR="00AA5CF8">
        <w:rPr>
          <w:rFonts w:ascii="Arial" w:hAnsi="Arial"/>
          <w:i/>
          <w:sz w:val="22"/>
        </w:rPr>
        <w:t>CalFresh</w:t>
      </w:r>
      <w:r>
        <w:rPr>
          <w:rFonts w:ascii="Arial" w:hAnsi="Arial"/>
          <w:i/>
          <w:sz w:val="22"/>
        </w:rPr>
        <w:t xml:space="preserve"> IPV as having intentionally:</w:t>
      </w:r>
    </w:p>
    <w:p w:rsidR="00DE2707" w:rsidRDefault="00DE2707" w:rsidP="00DE2707">
      <w:pPr>
        <w:ind w:left="360" w:right="-630"/>
        <w:rPr>
          <w:rFonts w:ascii="Arial" w:hAnsi="Arial"/>
          <w:i/>
          <w:sz w:val="22"/>
        </w:rPr>
      </w:pPr>
    </w:p>
    <w:p w:rsidR="00DE2707" w:rsidRDefault="00DE2707" w:rsidP="006A3E32">
      <w:pPr>
        <w:ind w:left="360" w:right="-630"/>
        <w:rPr>
          <w:rFonts w:ascii="Arial" w:hAnsi="Arial"/>
          <w:i/>
          <w:sz w:val="22"/>
        </w:rPr>
      </w:pPr>
      <w:r>
        <w:rPr>
          <w:rFonts w:ascii="Arial" w:hAnsi="Arial"/>
          <w:i/>
          <w:sz w:val="22"/>
        </w:rPr>
        <w:t>.11</w:t>
      </w:r>
      <w:r>
        <w:rPr>
          <w:rFonts w:ascii="Arial" w:hAnsi="Arial"/>
          <w:i/>
          <w:sz w:val="22"/>
        </w:rPr>
        <w:tab/>
        <w:t xml:space="preserve">Made false or misleading statement, or misrepresented, concealed, or withheld facts, or </w:t>
      </w:r>
    </w:p>
    <w:p w:rsidR="00DE2707" w:rsidRDefault="00DE2707" w:rsidP="00DE2707">
      <w:pPr>
        <w:ind w:left="360" w:right="-630" w:hanging="720"/>
        <w:rPr>
          <w:rFonts w:ascii="Arial" w:hAnsi="Arial"/>
          <w:i/>
          <w:sz w:val="22"/>
        </w:rPr>
      </w:pPr>
    </w:p>
    <w:p w:rsidR="00DE2707" w:rsidRDefault="00DE2707" w:rsidP="006A3E32">
      <w:pPr>
        <w:ind w:left="720" w:right="-630"/>
        <w:rPr>
          <w:rFonts w:ascii="Arial" w:hAnsi="Arial"/>
          <w:i/>
          <w:sz w:val="22"/>
        </w:rPr>
      </w:pPr>
      <w:r>
        <w:rPr>
          <w:rFonts w:ascii="Arial" w:hAnsi="Arial"/>
          <w:i/>
          <w:sz w:val="22"/>
        </w:rPr>
        <w:t xml:space="preserve">Committed any act which constitutes a violation of the Food Stamp Act, the </w:t>
      </w:r>
      <w:r w:rsidR="00AA5CF8">
        <w:rPr>
          <w:rFonts w:ascii="Arial" w:hAnsi="Arial"/>
          <w:i/>
          <w:sz w:val="22"/>
        </w:rPr>
        <w:t>CalFresh</w:t>
      </w:r>
      <w:r>
        <w:rPr>
          <w:rFonts w:ascii="Arial" w:hAnsi="Arial"/>
          <w:i/>
          <w:sz w:val="22"/>
        </w:rPr>
        <w:t xml:space="preserve"> program regulations, or any state statute relating to the use, presentation, transfer, acquisition, receipt or possession of </w:t>
      </w:r>
      <w:r w:rsidR="00AA5CF8">
        <w:rPr>
          <w:rFonts w:ascii="Arial" w:hAnsi="Arial"/>
          <w:i/>
          <w:sz w:val="22"/>
        </w:rPr>
        <w:t>CalFresh benefits</w:t>
      </w:r>
      <w:r>
        <w:rPr>
          <w:rFonts w:ascii="Arial" w:hAnsi="Arial"/>
          <w:i/>
          <w:sz w:val="22"/>
        </w:rPr>
        <w:t>.</w:t>
      </w:r>
    </w:p>
    <w:p w:rsidR="00AA5CF8" w:rsidRDefault="00AA5CF8" w:rsidP="00AA5CF8">
      <w:pPr>
        <w:pStyle w:val="BodyText"/>
        <w:rPr>
          <w:i/>
        </w:rPr>
      </w:pPr>
    </w:p>
    <w:p w:rsidR="00DE2707" w:rsidRPr="00AA5CF8" w:rsidRDefault="00DE2707" w:rsidP="00AA5CF8">
      <w:pPr>
        <w:pStyle w:val="BodyText"/>
        <w:rPr>
          <w:i/>
        </w:rPr>
      </w:pPr>
      <w:r w:rsidRPr="00AA5CF8">
        <w:rPr>
          <w:i/>
        </w:rPr>
        <w:t xml:space="preserve">Section 22-220.3 provides that any determination of a </w:t>
      </w:r>
      <w:r w:rsidR="00AA5CF8">
        <w:rPr>
          <w:i/>
        </w:rPr>
        <w:t>CalFresh</w:t>
      </w:r>
      <w:r w:rsidRPr="00AA5CF8">
        <w:rPr>
          <w:i/>
        </w:rPr>
        <w:t xml:space="preserve"> IPV which is made in such a decision shall be based upon clear and convincing evidence.</w:t>
      </w:r>
    </w:p>
    <w:p w:rsidR="00DE2707" w:rsidRDefault="00DE2707" w:rsidP="00DE2707">
      <w:pPr>
        <w:ind w:left="360" w:right="-630"/>
        <w:rPr>
          <w:rFonts w:ascii="Arial" w:hAnsi="Arial"/>
          <w:i/>
          <w:sz w:val="22"/>
        </w:rPr>
      </w:pPr>
    </w:p>
    <w:p w:rsidR="00DE2707" w:rsidRDefault="00DE2707" w:rsidP="00AA5CF8">
      <w:pPr>
        <w:ind w:right="-630"/>
        <w:rPr>
          <w:rFonts w:ascii="Arial" w:hAnsi="Arial"/>
          <w:i/>
          <w:sz w:val="22"/>
        </w:rPr>
      </w:pPr>
      <w:r>
        <w:rPr>
          <w:rFonts w:ascii="Arial" w:hAnsi="Arial"/>
          <w:i/>
          <w:sz w:val="22"/>
        </w:rPr>
        <w:t>Section 20-353.1 (CalWORKs) provides that individuals found to have committed a CalWORKs IPV shall be ineligible to receive CalWORKs benefits as follows:</w:t>
      </w:r>
    </w:p>
    <w:p w:rsidR="00DE2707" w:rsidRDefault="00DE2707" w:rsidP="00DE2707">
      <w:pPr>
        <w:ind w:left="360" w:right="-630"/>
        <w:rPr>
          <w:rFonts w:ascii="Arial" w:hAnsi="Arial"/>
          <w:i/>
          <w:sz w:val="22"/>
        </w:rPr>
      </w:pPr>
    </w:p>
    <w:p w:rsidR="00DE2707" w:rsidRDefault="00DE2707" w:rsidP="00DE2707">
      <w:pPr>
        <w:ind w:left="360" w:right="-630"/>
        <w:rPr>
          <w:rFonts w:ascii="Arial" w:hAnsi="Arial"/>
          <w:i/>
          <w:sz w:val="22"/>
        </w:rPr>
      </w:pPr>
      <w:r>
        <w:rPr>
          <w:rFonts w:ascii="Arial" w:hAnsi="Arial"/>
          <w:i/>
          <w:sz w:val="22"/>
        </w:rPr>
        <w:t>.11</w:t>
      </w:r>
      <w:r w:rsidR="00AA5CF8">
        <w:rPr>
          <w:rFonts w:ascii="Arial" w:hAnsi="Arial"/>
          <w:i/>
          <w:sz w:val="22"/>
        </w:rPr>
        <w:t>1</w:t>
      </w:r>
      <w:r w:rsidR="00100935">
        <w:rPr>
          <w:rFonts w:ascii="Arial" w:hAnsi="Arial"/>
          <w:i/>
          <w:sz w:val="22"/>
        </w:rPr>
        <w:t xml:space="preserve"> </w:t>
      </w:r>
      <w:r>
        <w:rPr>
          <w:rFonts w:ascii="Arial" w:hAnsi="Arial"/>
          <w:i/>
          <w:sz w:val="22"/>
        </w:rPr>
        <w:t>Six months for the first violation</w:t>
      </w:r>
      <w:r w:rsidR="00AA5CF8">
        <w:rPr>
          <w:rFonts w:ascii="Arial" w:hAnsi="Arial"/>
          <w:i/>
          <w:sz w:val="22"/>
        </w:rPr>
        <w:t>.</w:t>
      </w:r>
    </w:p>
    <w:p w:rsidR="00AA5CF8" w:rsidRDefault="00AA5CF8" w:rsidP="00DE2707">
      <w:pPr>
        <w:ind w:left="360" w:right="-630"/>
        <w:rPr>
          <w:rFonts w:ascii="Arial" w:hAnsi="Arial"/>
          <w:i/>
          <w:sz w:val="22"/>
        </w:rPr>
      </w:pPr>
    </w:p>
    <w:p w:rsidR="00DE2707" w:rsidRDefault="00DE2707" w:rsidP="00DE2707">
      <w:pPr>
        <w:ind w:left="360" w:right="-630"/>
        <w:rPr>
          <w:rFonts w:ascii="Arial" w:hAnsi="Arial"/>
          <w:i/>
          <w:sz w:val="22"/>
        </w:rPr>
      </w:pPr>
      <w:r>
        <w:rPr>
          <w:rFonts w:ascii="Arial" w:hAnsi="Arial"/>
          <w:i/>
          <w:sz w:val="22"/>
        </w:rPr>
        <w:t>.</w:t>
      </w:r>
      <w:r w:rsidR="00AA5CF8">
        <w:rPr>
          <w:rFonts w:ascii="Arial" w:hAnsi="Arial"/>
          <w:i/>
          <w:sz w:val="22"/>
        </w:rPr>
        <w:t>1</w:t>
      </w:r>
      <w:r>
        <w:rPr>
          <w:rFonts w:ascii="Arial" w:hAnsi="Arial"/>
          <w:i/>
          <w:sz w:val="22"/>
        </w:rPr>
        <w:t>12</w:t>
      </w:r>
      <w:r w:rsidR="00100935">
        <w:rPr>
          <w:rFonts w:ascii="Arial" w:hAnsi="Arial"/>
          <w:i/>
          <w:sz w:val="22"/>
        </w:rPr>
        <w:t xml:space="preserve"> </w:t>
      </w:r>
      <w:r>
        <w:rPr>
          <w:rFonts w:ascii="Arial" w:hAnsi="Arial"/>
          <w:i/>
          <w:sz w:val="22"/>
        </w:rPr>
        <w:t>Twelve months for the second violation</w:t>
      </w:r>
      <w:r w:rsidR="00AA5CF8">
        <w:rPr>
          <w:rFonts w:ascii="Arial" w:hAnsi="Arial"/>
          <w:i/>
          <w:sz w:val="22"/>
        </w:rPr>
        <w:t>.</w:t>
      </w:r>
    </w:p>
    <w:p w:rsidR="00AA5CF8" w:rsidRDefault="00AA5CF8" w:rsidP="00DE2707">
      <w:pPr>
        <w:ind w:left="360" w:right="-630"/>
        <w:rPr>
          <w:rFonts w:ascii="Arial" w:hAnsi="Arial"/>
          <w:i/>
          <w:sz w:val="22"/>
        </w:rPr>
      </w:pPr>
    </w:p>
    <w:p w:rsidR="00DE2707" w:rsidRDefault="00DE2707" w:rsidP="00DE2707">
      <w:pPr>
        <w:ind w:left="360" w:right="-630"/>
        <w:rPr>
          <w:rFonts w:ascii="Arial" w:hAnsi="Arial"/>
          <w:i/>
          <w:sz w:val="22"/>
        </w:rPr>
      </w:pPr>
      <w:r>
        <w:rPr>
          <w:rFonts w:ascii="Arial" w:hAnsi="Arial"/>
          <w:i/>
          <w:sz w:val="22"/>
        </w:rPr>
        <w:t>.</w:t>
      </w:r>
      <w:r w:rsidR="00AA5CF8">
        <w:rPr>
          <w:rFonts w:ascii="Arial" w:hAnsi="Arial"/>
          <w:i/>
          <w:sz w:val="22"/>
        </w:rPr>
        <w:t>1</w:t>
      </w:r>
      <w:r>
        <w:rPr>
          <w:rFonts w:ascii="Arial" w:hAnsi="Arial"/>
          <w:i/>
          <w:sz w:val="22"/>
        </w:rPr>
        <w:t>13</w:t>
      </w:r>
      <w:r w:rsidR="00100935">
        <w:rPr>
          <w:rFonts w:ascii="Arial" w:hAnsi="Arial"/>
          <w:i/>
          <w:sz w:val="22"/>
        </w:rPr>
        <w:t xml:space="preserve"> </w:t>
      </w:r>
      <w:r>
        <w:rPr>
          <w:rFonts w:ascii="Arial" w:hAnsi="Arial"/>
          <w:i/>
          <w:sz w:val="22"/>
        </w:rPr>
        <w:t>Permanently for the third violation</w:t>
      </w:r>
      <w:r w:rsidR="00AA5CF8">
        <w:rPr>
          <w:rFonts w:ascii="Arial" w:hAnsi="Arial"/>
          <w:i/>
          <w:sz w:val="22"/>
        </w:rPr>
        <w:t>.</w:t>
      </w:r>
    </w:p>
    <w:p w:rsidR="00DE2707" w:rsidRDefault="00DE2707" w:rsidP="00DE2707">
      <w:pPr>
        <w:ind w:left="360" w:right="-630"/>
        <w:rPr>
          <w:rFonts w:ascii="Arial" w:hAnsi="Arial"/>
          <w:i/>
          <w:sz w:val="22"/>
        </w:rPr>
      </w:pPr>
    </w:p>
    <w:p w:rsidR="00AA5CF8" w:rsidRDefault="00AA5CF8" w:rsidP="00262A98">
      <w:pPr>
        <w:ind w:left="360" w:right="-630" w:hanging="360"/>
        <w:rPr>
          <w:rFonts w:ascii="Arial" w:hAnsi="Arial"/>
          <w:i/>
          <w:sz w:val="22"/>
        </w:rPr>
      </w:pPr>
      <w:r w:rsidRPr="00AA5CF8">
        <w:rPr>
          <w:rFonts w:ascii="Arial" w:hAnsi="Arial"/>
          <w:i/>
          <w:sz w:val="22"/>
        </w:rPr>
        <w:t xml:space="preserve">Section 20-353.12 provides that individuals found to have committed </w:t>
      </w:r>
      <w:r>
        <w:rPr>
          <w:rFonts w:ascii="Arial" w:hAnsi="Arial"/>
          <w:i/>
          <w:sz w:val="22"/>
        </w:rPr>
        <w:t xml:space="preserve">an IPV based on submitting more </w:t>
      </w:r>
    </w:p>
    <w:p w:rsidR="00262A98" w:rsidRDefault="00AA5CF8" w:rsidP="00262A98">
      <w:pPr>
        <w:ind w:left="360" w:right="-630" w:hanging="360"/>
        <w:rPr>
          <w:rFonts w:ascii="Arial" w:hAnsi="Arial"/>
          <w:i/>
          <w:sz w:val="22"/>
        </w:rPr>
      </w:pPr>
      <w:r>
        <w:rPr>
          <w:rFonts w:ascii="Arial" w:hAnsi="Arial"/>
          <w:i/>
          <w:sz w:val="22"/>
        </w:rPr>
        <w:t xml:space="preserve">than </w:t>
      </w:r>
      <w:r w:rsidRPr="00AA5CF8">
        <w:rPr>
          <w:rFonts w:ascii="Arial" w:hAnsi="Arial"/>
          <w:i/>
          <w:sz w:val="22"/>
        </w:rPr>
        <w:t>one application for the same period of time and for the purpose o</w:t>
      </w:r>
      <w:r w:rsidR="00262A98">
        <w:rPr>
          <w:rFonts w:ascii="Arial" w:hAnsi="Arial"/>
          <w:i/>
          <w:sz w:val="22"/>
        </w:rPr>
        <w:t xml:space="preserve">f receiving more than one grant </w:t>
      </w:r>
    </w:p>
    <w:p w:rsidR="00DE2707" w:rsidRDefault="00AA5CF8" w:rsidP="00262A98">
      <w:pPr>
        <w:ind w:left="360" w:right="-630" w:hanging="360"/>
        <w:rPr>
          <w:rFonts w:ascii="Arial" w:hAnsi="Arial"/>
          <w:i/>
          <w:sz w:val="22"/>
        </w:rPr>
      </w:pPr>
      <w:r w:rsidRPr="00AA5CF8">
        <w:rPr>
          <w:rFonts w:ascii="Arial" w:hAnsi="Arial"/>
          <w:i/>
          <w:sz w:val="22"/>
        </w:rPr>
        <w:t>of</w:t>
      </w:r>
      <w:r w:rsidR="00262A98">
        <w:rPr>
          <w:rFonts w:ascii="Arial" w:hAnsi="Arial"/>
          <w:i/>
          <w:sz w:val="22"/>
        </w:rPr>
        <w:t xml:space="preserve"> </w:t>
      </w:r>
      <w:r w:rsidRPr="00AA5CF8">
        <w:rPr>
          <w:rFonts w:ascii="Arial" w:hAnsi="Arial"/>
          <w:i/>
          <w:sz w:val="22"/>
        </w:rPr>
        <w:t>aid;</w:t>
      </w:r>
    </w:p>
    <w:p w:rsidR="00AA5CF8" w:rsidRDefault="00AA5CF8" w:rsidP="00DE2707">
      <w:pPr>
        <w:ind w:left="360" w:right="-630" w:hanging="720"/>
        <w:rPr>
          <w:rFonts w:ascii="Arial" w:hAnsi="Arial"/>
          <w:i/>
          <w:sz w:val="22"/>
        </w:rPr>
      </w:pPr>
    </w:p>
    <w:p w:rsidR="00AA5CF8" w:rsidRDefault="00AA5CF8" w:rsidP="00262A98">
      <w:pPr>
        <w:ind w:left="360" w:right="-630" w:hanging="360"/>
        <w:rPr>
          <w:rFonts w:ascii="Arial" w:hAnsi="Arial"/>
          <w:i/>
          <w:sz w:val="22"/>
        </w:rPr>
      </w:pPr>
      <w:r>
        <w:rPr>
          <w:rFonts w:ascii="Arial" w:hAnsi="Arial"/>
          <w:i/>
          <w:sz w:val="22"/>
        </w:rPr>
        <w:t>or</w:t>
      </w:r>
    </w:p>
    <w:p w:rsidR="00AA5CF8" w:rsidRDefault="00AA5CF8" w:rsidP="00DE2707">
      <w:pPr>
        <w:ind w:left="360" w:right="-630" w:hanging="720"/>
        <w:rPr>
          <w:rFonts w:ascii="Arial" w:hAnsi="Arial"/>
          <w:i/>
          <w:sz w:val="22"/>
        </w:rPr>
      </w:pPr>
    </w:p>
    <w:p w:rsidR="00262A98" w:rsidRDefault="00AA5CF8" w:rsidP="00262A98">
      <w:pPr>
        <w:ind w:left="360" w:right="-630" w:hanging="360"/>
        <w:rPr>
          <w:rFonts w:ascii="Arial" w:hAnsi="Arial"/>
          <w:i/>
          <w:sz w:val="22"/>
        </w:rPr>
      </w:pPr>
      <w:r w:rsidRPr="00AA5CF8">
        <w:rPr>
          <w:rFonts w:ascii="Arial" w:hAnsi="Arial"/>
          <w:i/>
          <w:sz w:val="22"/>
        </w:rPr>
        <w:t xml:space="preserve">For submitting documentation for nonexistent children, or submitting false documentation for the </w:t>
      </w:r>
    </w:p>
    <w:p w:rsidR="00262A98" w:rsidRDefault="00AA5CF8" w:rsidP="00262A98">
      <w:pPr>
        <w:ind w:left="360" w:right="-630" w:hanging="360"/>
        <w:rPr>
          <w:rFonts w:ascii="Arial" w:hAnsi="Arial"/>
          <w:i/>
          <w:sz w:val="22"/>
        </w:rPr>
      </w:pPr>
      <w:r w:rsidRPr="00AA5CF8">
        <w:rPr>
          <w:rFonts w:ascii="Arial" w:hAnsi="Arial"/>
          <w:i/>
          <w:sz w:val="22"/>
        </w:rPr>
        <w:t xml:space="preserve">purpose of showing ineligible children to be eligible for aid, shall be ineligible to receive CalWORKs </w:t>
      </w:r>
    </w:p>
    <w:p w:rsidR="00AA5CF8" w:rsidRDefault="00AA5CF8" w:rsidP="00262A98">
      <w:pPr>
        <w:ind w:left="360" w:right="-630" w:hanging="360"/>
        <w:rPr>
          <w:rFonts w:ascii="Arial" w:hAnsi="Arial"/>
          <w:i/>
          <w:sz w:val="22"/>
        </w:rPr>
      </w:pPr>
      <w:r w:rsidRPr="00AA5CF8">
        <w:rPr>
          <w:rFonts w:ascii="Arial" w:hAnsi="Arial"/>
          <w:i/>
          <w:sz w:val="22"/>
        </w:rPr>
        <w:lastRenderedPageBreak/>
        <w:t>benefits as</w:t>
      </w:r>
      <w:r w:rsidR="00262A98">
        <w:rPr>
          <w:rFonts w:ascii="Arial" w:hAnsi="Arial"/>
          <w:i/>
          <w:sz w:val="22"/>
        </w:rPr>
        <w:t xml:space="preserve"> </w:t>
      </w:r>
      <w:r w:rsidRPr="00AA5CF8">
        <w:rPr>
          <w:rFonts w:ascii="Arial" w:hAnsi="Arial"/>
          <w:i/>
          <w:sz w:val="22"/>
        </w:rPr>
        <w:t>follows:</w:t>
      </w:r>
    </w:p>
    <w:p w:rsidR="00AA5CF8" w:rsidRDefault="00AA5CF8" w:rsidP="00DE2707">
      <w:pPr>
        <w:ind w:left="360" w:right="-630" w:hanging="720"/>
        <w:rPr>
          <w:rFonts w:ascii="Arial" w:hAnsi="Arial"/>
          <w:i/>
          <w:sz w:val="22"/>
        </w:rPr>
      </w:pPr>
    </w:p>
    <w:p w:rsidR="00AA5CF8" w:rsidRDefault="00AA5CF8" w:rsidP="00DE2707">
      <w:pPr>
        <w:ind w:left="360" w:right="-630" w:hanging="720"/>
        <w:rPr>
          <w:rFonts w:ascii="Arial" w:hAnsi="Arial"/>
          <w:i/>
          <w:sz w:val="22"/>
        </w:rPr>
      </w:pPr>
      <w:r>
        <w:rPr>
          <w:rFonts w:ascii="Arial" w:hAnsi="Arial"/>
          <w:i/>
          <w:sz w:val="22"/>
        </w:rPr>
        <w:tab/>
        <w:t>121. Two years for the first violation.</w:t>
      </w:r>
    </w:p>
    <w:p w:rsidR="00AA5CF8" w:rsidRDefault="00AA5CF8" w:rsidP="00DE2707">
      <w:pPr>
        <w:ind w:left="360" w:right="-630" w:hanging="720"/>
        <w:rPr>
          <w:rFonts w:ascii="Arial" w:hAnsi="Arial"/>
          <w:i/>
          <w:sz w:val="22"/>
        </w:rPr>
      </w:pPr>
    </w:p>
    <w:p w:rsidR="00AA5CF8" w:rsidRDefault="00AA5CF8" w:rsidP="00DE2707">
      <w:pPr>
        <w:ind w:left="360" w:right="-630" w:hanging="720"/>
        <w:rPr>
          <w:rFonts w:ascii="Arial" w:hAnsi="Arial"/>
          <w:i/>
          <w:sz w:val="22"/>
        </w:rPr>
      </w:pPr>
      <w:r>
        <w:rPr>
          <w:rFonts w:ascii="Arial" w:hAnsi="Arial"/>
          <w:i/>
          <w:sz w:val="22"/>
        </w:rPr>
        <w:tab/>
        <w:t>122. Four years for the second violation.</w:t>
      </w:r>
    </w:p>
    <w:p w:rsidR="00AA5CF8" w:rsidRDefault="00AA5CF8" w:rsidP="00DE2707">
      <w:pPr>
        <w:ind w:left="360" w:right="-630" w:hanging="720"/>
        <w:rPr>
          <w:rFonts w:ascii="Arial" w:hAnsi="Arial"/>
          <w:i/>
          <w:sz w:val="22"/>
        </w:rPr>
      </w:pPr>
    </w:p>
    <w:p w:rsidR="00AA5CF8" w:rsidRDefault="00AA5CF8" w:rsidP="00AA5CF8">
      <w:pPr>
        <w:ind w:left="360" w:right="-630" w:hanging="720"/>
        <w:rPr>
          <w:rFonts w:ascii="Arial" w:hAnsi="Arial"/>
          <w:i/>
          <w:sz w:val="22"/>
        </w:rPr>
      </w:pPr>
      <w:r>
        <w:rPr>
          <w:rFonts w:ascii="Arial" w:hAnsi="Arial"/>
          <w:i/>
          <w:sz w:val="22"/>
        </w:rPr>
        <w:tab/>
        <w:t>123. Permanently for the third violation.</w:t>
      </w:r>
    </w:p>
    <w:p w:rsidR="00AA5CF8" w:rsidRDefault="00AA5CF8" w:rsidP="00AA5CF8">
      <w:pPr>
        <w:ind w:left="360" w:right="-630" w:hanging="720"/>
        <w:rPr>
          <w:rFonts w:ascii="Arial" w:hAnsi="Arial"/>
          <w:i/>
          <w:sz w:val="22"/>
        </w:rPr>
      </w:pPr>
    </w:p>
    <w:p w:rsidR="00D863E4" w:rsidRDefault="00AA5CF8" w:rsidP="00262A98">
      <w:pPr>
        <w:ind w:left="360" w:right="-630" w:hanging="360"/>
        <w:rPr>
          <w:rFonts w:ascii="Arial" w:hAnsi="Arial"/>
          <w:i/>
          <w:sz w:val="22"/>
        </w:rPr>
      </w:pPr>
      <w:r w:rsidRPr="00AA5CF8">
        <w:rPr>
          <w:rFonts w:ascii="Arial" w:hAnsi="Arial"/>
          <w:i/>
          <w:sz w:val="22"/>
        </w:rPr>
        <w:t xml:space="preserve">Section 20-353.5 (CalWORKs) provides that if the individual is not eligible for the CalWORKs at the </w:t>
      </w:r>
    </w:p>
    <w:p w:rsidR="00D863E4" w:rsidRDefault="00D863E4" w:rsidP="00D863E4">
      <w:pPr>
        <w:ind w:left="360" w:right="-630" w:hanging="360"/>
        <w:rPr>
          <w:rFonts w:ascii="Arial" w:hAnsi="Arial"/>
          <w:i/>
          <w:sz w:val="22"/>
        </w:rPr>
      </w:pPr>
      <w:r>
        <w:rPr>
          <w:rFonts w:ascii="Arial" w:hAnsi="Arial"/>
          <w:i/>
          <w:sz w:val="22"/>
        </w:rPr>
        <w:t xml:space="preserve">time </w:t>
      </w:r>
      <w:r w:rsidR="00AA5CF8" w:rsidRPr="00AA5CF8">
        <w:rPr>
          <w:rFonts w:ascii="Arial" w:hAnsi="Arial"/>
          <w:i/>
          <w:sz w:val="22"/>
        </w:rPr>
        <w:t xml:space="preserve">the disqualification period is to begin, the period shall be postponed until the person applies for </w:t>
      </w:r>
    </w:p>
    <w:p w:rsidR="00AA5CF8" w:rsidRDefault="00AA5CF8" w:rsidP="00D863E4">
      <w:pPr>
        <w:ind w:left="360" w:right="-630" w:hanging="360"/>
        <w:rPr>
          <w:rFonts w:ascii="Arial" w:hAnsi="Arial"/>
          <w:i/>
          <w:sz w:val="22"/>
        </w:rPr>
      </w:pPr>
      <w:r w:rsidRPr="00AA5CF8">
        <w:rPr>
          <w:rFonts w:ascii="Arial" w:hAnsi="Arial"/>
          <w:i/>
          <w:sz w:val="22"/>
        </w:rPr>
        <w:t>and is</w:t>
      </w:r>
      <w:r w:rsidR="00D863E4">
        <w:rPr>
          <w:rFonts w:ascii="Arial" w:hAnsi="Arial"/>
          <w:i/>
          <w:sz w:val="22"/>
        </w:rPr>
        <w:t xml:space="preserve"> </w:t>
      </w:r>
      <w:r w:rsidRPr="00AA5CF8">
        <w:rPr>
          <w:rFonts w:ascii="Arial" w:hAnsi="Arial"/>
          <w:i/>
          <w:sz w:val="22"/>
        </w:rPr>
        <w:t>determined eligible for benefits.</w:t>
      </w:r>
    </w:p>
    <w:p w:rsidR="00D863E4" w:rsidRDefault="00D863E4" w:rsidP="00D863E4">
      <w:pPr>
        <w:ind w:left="360" w:right="-630" w:hanging="360"/>
        <w:rPr>
          <w:rFonts w:ascii="Arial" w:hAnsi="Arial"/>
          <w:i/>
          <w:sz w:val="22"/>
        </w:rPr>
      </w:pPr>
    </w:p>
    <w:p w:rsidR="00D863E4" w:rsidRDefault="00AA5CF8" w:rsidP="00D863E4">
      <w:pPr>
        <w:ind w:left="360" w:right="-630" w:hanging="360"/>
        <w:rPr>
          <w:rFonts w:ascii="Arial" w:hAnsi="Arial"/>
          <w:i/>
          <w:sz w:val="22"/>
        </w:rPr>
      </w:pPr>
      <w:r w:rsidRPr="00AA5CF8">
        <w:rPr>
          <w:rFonts w:ascii="Arial" w:hAnsi="Arial"/>
          <w:i/>
          <w:sz w:val="22"/>
        </w:rPr>
        <w:t>Individuals found to have committed an IPV either through an administrat</w:t>
      </w:r>
      <w:r w:rsidR="00D863E4">
        <w:rPr>
          <w:rFonts w:ascii="Arial" w:hAnsi="Arial"/>
          <w:i/>
          <w:sz w:val="22"/>
        </w:rPr>
        <w:t xml:space="preserve">ive disqualification hearing or </w:t>
      </w:r>
    </w:p>
    <w:p w:rsidR="00D863E4" w:rsidRDefault="00AA5CF8" w:rsidP="00D863E4">
      <w:pPr>
        <w:ind w:left="360" w:right="-630" w:hanging="360"/>
        <w:rPr>
          <w:rFonts w:ascii="Arial" w:hAnsi="Arial"/>
          <w:i/>
          <w:sz w:val="22"/>
        </w:rPr>
      </w:pPr>
      <w:r w:rsidRPr="00AA5CF8">
        <w:rPr>
          <w:rFonts w:ascii="Arial" w:hAnsi="Arial"/>
          <w:i/>
          <w:sz w:val="22"/>
        </w:rPr>
        <w:t xml:space="preserve">by a court of appropriate jurisdiction shall be ineligible to participate in the CalFresh Program as </w:t>
      </w:r>
    </w:p>
    <w:p w:rsidR="00D863E4" w:rsidRDefault="00AA5CF8" w:rsidP="00D863E4">
      <w:pPr>
        <w:ind w:left="360" w:right="-630" w:hanging="360"/>
        <w:rPr>
          <w:rFonts w:ascii="Arial" w:hAnsi="Arial"/>
          <w:i/>
          <w:sz w:val="22"/>
        </w:rPr>
      </w:pPr>
      <w:r w:rsidRPr="00AA5CF8">
        <w:rPr>
          <w:rFonts w:ascii="Arial" w:hAnsi="Arial"/>
          <w:i/>
          <w:sz w:val="22"/>
        </w:rPr>
        <w:t>specified in</w:t>
      </w:r>
      <w:r w:rsidR="00D863E4">
        <w:rPr>
          <w:rFonts w:ascii="Arial" w:hAnsi="Arial"/>
          <w:i/>
          <w:sz w:val="22"/>
        </w:rPr>
        <w:t xml:space="preserve"> </w:t>
      </w:r>
      <w:r w:rsidRPr="00AA5CF8">
        <w:rPr>
          <w:rFonts w:ascii="Arial" w:hAnsi="Arial"/>
          <w:i/>
          <w:sz w:val="22"/>
        </w:rPr>
        <w:t xml:space="preserve">20-300.3 (63-805.1) Section 20-300.31 provides that individuals found to have committed </w:t>
      </w:r>
    </w:p>
    <w:p w:rsidR="00D863E4" w:rsidRDefault="00AA5CF8" w:rsidP="00D863E4">
      <w:pPr>
        <w:ind w:left="360" w:right="-630" w:hanging="360"/>
        <w:rPr>
          <w:rFonts w:ascii="Arial" w:hAnsi="Arial"/>
          <w:i/>
          <w:sz w:val="22"/>
        </w:rPr>
      </w:pPr>
      <w:r w:rsidRPr="00AA5CF8">
        <w:rPr>
          <w:rFonts w:ascii="Arial" w:hAnsi="Arial"/>
          <w:i/>
          <w:sz w:val="22"/>
        </w:rPr>
        <w:t>an IPV, either</w:t>
      </w:r>
      <w:r w:rsidR="00D863E4">
        <w:rPr>
          <w:rFonts w:ascii="Arial" w:hAnsi="Arial"/>
          <w:i/>
          <w:sz w:val="22"/>
        </w:rPr>
        <w:t xml:space="preserve"> </w:t>
      </w:r>
      <w:r w:rsidRPr="00AA5CF8">
        <w:rPr>
          <w:rFonts w:ascii="Arial" w:hAnsi="Arial"/>
          <w:i/>
          <w:sz w:val="22"/>
        </w:rPr>
        <w:t xml:space="preserve">through an administrative disqualification hearing or by a court of appropriate </w:t>
      </w:r>
    </w:p>
    <w:p w:rsidR="00D863E4" w:rsidRDefault="00AA5CF8" w:rsidP="00D863E4">
      <w:pPr>
        <w:ind w:left="360" w:right="-630" w:hanging="360"/>
        <w:rPr>
          <w:rFonts w:ascii="Arial" w:hAnsi="Arial"/>
          <w:i/>
          <w:sz w:val="22"/>
        </w:rPr>
      </w:pPr>
      <w:r w:rsidRPr="00AA5CF8">
        <w:rPr>
          <w:rFonts w:ascii="Arial" w:hAnsi="Arial"/>
          <w:i/>
          <w:sz w:val="22"/>
        </w:rPr>
        <w:t>jurisdiction, shall be</w:t>
      </w:r>
      <w:r w:rsidR="00D863E4">
        <w:rPr>
          <w:rFonts w:ascii="Arial" w:hAnsi="Arial"/>
          <w:i/>
          <w:sz w:val="22"/>
        </w:rPr>
        <w:t xml:space="preserve"> </w:t>
      </w:r>
      <w:r w:rsidRPr="00AA5CF8">
        <w:rPr>
          <w:rFonts w:ascii="Arial" w:hAnsi="Arial"/>
          <w:i/>
          <w:sz w:val="22"/>
        </w:rPr>
        <w:t>ineligible to participate in the CalFresh Program as follows:</w:t>
      </w:r>
    </w:p>
    <w:p w:rsidR="00D863E4" w:rsidRDefault="00D863E4" w:rsidP="00D863E4">
      <w:pPr>
        <w:ind w:left="360" w:right="-630" w:hanging="360"/>
        <w:rPr>
          <w:rFonts w:ascii="Arial" w:hAnsi="Arial"/>
          <w:i/>
          <w:sz w:val="22"/>
        </w:rPr>
      </w:pPr>
    </w:p>
    <w:p w:rsidR="00100935" w:rsidRDefault="00D863E4" w:rsidP="00D863E4">
      <w:pPr>
        <w:ind w:left="360" w:right="-630" w:hanging="360"/>
        <w:rPr>
          <w:rFonts w:ascii="Arial" w:hAnsi="Arial"/>
          <w:i/>
          <w:sz w:val="22"/>
        </w:rPr>
      </w:pPr>
      <w:r>
        <w:rPr>
          <w:rFonts w:ascii="Arial" w:hAnsi="Arial"/>
          <w:i/>
          <w:sz w:val="22"/>
        </w:rPr>
        <w:tab/>
        <w:t>.</w:t>
      </w:r>
      <w:r w:rsidR="00100935">
        <w:rPr>
          <w:rFonts w:ascii="Arial" w:hAnsi="Arial"/>
          <w:i/>
          <w:sz w:val="22"/>
        </w:rPr>
        <w:t xml:space="preserve">311 </w:t>
      </w:r>
      <w:r w:rsidR="00100935" w:rsidRPr="00100935">
        <w:rPr>
          <w:rFonts w:ascii="Arial" w:hAnsi="Arial"/>
          <w:i/>
          <w:sz w:val="22"/>
        </w:rPr>
        <w:t>Except as specified in Sections 20-300.312, .313, .314, and .315, twelve months for the first</w:t>
      </w:r>
    </w:p>
    <w:p w:rsidR="00100935" w:rsidRPr="00100935" w:rsidRDefault="00100935" w:rsidP="00100935">
      <w:pPr>
        <w:ind w:left="360" w:right="-630"/>
        <w:rPr>
          <w:rFonts w:ascii="Arial" w:hAnsi="Arial"/>
          <w:i/>
          <w:sz w:val="22"/>
        </w:rPr>
      </w:pPr>
      <w:r>
        <w:rPr>
          <w:rFonts w:ascii="Arial" w:hAnsi="Arial"/>
          <w:i/>
          <w:sz w:val="22"/>
        </w:rPr>
        <w:t xml:space="preserve">        </w:t>
      </w:r>
      <w:r w:rsidRPr="00100935">
        <w:rPr>
          <w:rFonts w:ascii="Arial" w:hAnsi="Arial"/>
          <w:i/>
          <w:sz w:val="22"/>
        </w:rPr>
        <w:t>violation,</w:t>
      </w:r>
      <w:r w:rsidR="00D863E4">
        <w:rPr>
          <w:rFonts w:ascii="Arial" w:hAnsi="Arial"/>
          <w:i/>
          <w:sz w:val="22"/>
        </w:rPr>
        <w:t xml:space="preserve"> t</w:t>
      </w:r>
      <w:r w:rsidRPr="00100935">
        <w:rPr>
          <w:rFonts w:ascii="Arial" w:hAnsi="Arial"/>
          <w:i/>
          <w:sz w:val="22"/>
        </w:rPr>
        <w:t>wenty-four months for the second violation, and permanently for the third violation.</w:t>
      </w:r>
    </w:p>
    <w:p w:rsidR="00100935" w:rsidRPr="00100935" w:rsidRDefault="00100935" w:rsidP="00100935">
      <w:pPr>
        <w:ind w:left="360" w:right="-630"/>
        <w:rPr>
          <w:rFonts w:ascii="Arial" w:hAnsi="Arial"/>
          <w:i/>
          <w:sz w:val="22"/>
        </w:rPr>
      </w:pPr>
    </w:p>
    <w:p w:rsidR="00100935" w:rsidRDefault="00100935" w:rsidP="00100935">
      <w:pPr>
        <w:ind w:left="360" w:right="-630"/>
        <w:rPr>
          <w:rFonts w:ascii="Arial" w:hAnsi="Arial"/>
          <w:i/>
          <w:sz w:val="22"/>
        </w:rPr>
      </w:pPr>
      <w:r>
        <w:rPr>
          <w:rFonts w:ascii="Arial" w:hAnsi="Arial"/>
          <w:i/>
          <w:sz w:val="22"/>
        </w:rPr>
        <w:t xml:space="preserve">.312 </w:t>
      </w:r>
      <w:r w:rsidRPr="00100935">
        <w:rPr>
          <w:rFonts w:ascii="Arial" w:hAnsi="Arial"/>
          <w:i/>
          <w:sz w:val="22"/>
        </w:rPr>
        <w:t>Twenty-four months for the first violation and permanently for the second violation of trading</w:t>
      </w:r>
    </w:p>
    <w:p w:rsidR="00100935" w:rsidRDefault="00100935" w:rsidP="00100935">
      <w:pPr>
        <w:ind w:left="360" w:right="-630"/>
        <w:rPr>
          <w:rFonts w:ascii="Arial" w:hAnsi="Arial"/>
          <w:i/>
          <w:sz w:val="22"/>
        </w:rPr>
      </w:pPr>
      <w:r>
        <w:rPr>
          <w:rFonts w:ascii="Arial" w:hAnsi="Arial"/>
          <w:i/>
          <w:sz w:val="22"/>
        </w:rPr>
        <w:t xml:space="preserve">      </w:t>
      </w:r>
      <w:r w:rsidRPr="00100935">
        <w:rPr>
          <w:rFonts w:ascii="Arial" w:hAnsi="Arial"/>
          <w:i/>
          <w:sz w:val="22"/>
        </w:rPr>
        <w:t xml:space="preserve"> </w:t>
      </w:r>
      <w:r>
        <w:rPr>
          <w:rFonts w:ascii="Arial" w:hAnsi="Arial"/>
          <w:i/>
          <w:sz w:val="22"/>
        </w:rPr>
        <w:t xml:space="preserve"> </w:t>
      </w:r>
      <w:r w:rsidRPr="00100935">
        <w:rPr>
          <w:rFonts w:ascii="Arial" w:hAnsi="Arial"/>
          <w:i/>
          <w:sz w:val="22"/>
        </w:rPr>
        <w:t xml:space="preserve">CalFresh benefits for a controlled substance, as defined in Section 102 of the Controlled </w:t>
      </w:r>
    </w:p>
    <w:p w:rsidR="00100935" w:rsidRDefault="00100935" w:rsidP="00100935">
      <w:pPr>
        <w:ind w:left="360" w:right="-630"/>
        <w:rPr>
          <w:rFonts w:ascii="Arial" w:hAnsi="Arial"/>
          <w:i/>
          <w:sz w:val="22"/>
        </w:rPr>
      </w:pPr>
      <w:r>
        <w:rPr>
          <w:rFonts w:ascii="Arial" w:hAnsi="Arial"/>
          <w:i/>
          <w:sz w:val="22"/>
        </w:rPr>
        <w:t xml:space="preserve">        </w:t>
      </w:r>
      <w:r w:rsidRPr="00100935">
        <w:rPr>
          <w:rFonts w:ascii="Arial" w:hAnsi="Arial"/>
          <w:i/>
          <w:sz w:val="22"/>
        </w:rPr>
        <w:t>Substance Act (21 USC 802).</w:t>
      </w:r>
    </w:p>
    <w:p w:rsidR="00100935" w:rsidRPr="00100935" w:rsidRDefault="00100935" w:rsidP="00100935">
      <w:pPr>
        <w:ind w:left="360" w:right="-630"/>
        <w:rPr>
          <w:rFonts w:ascii="Arial" w:hAnsi="Arial"/>
          <w:i/>
          <w:sz w:val="22"/>
        </w:rPr>
      </w:pPr>
    </w:p>
    <w:p w:rsidR="00100935" w:rsidRDefault="00100935" w:rsidP="00100935">
      <w:pPr>
        <w:ind w:left="360" w:right="-630"/>
        <w:rPr>
          <w:rFonts w:ascii="Arial" w:hAnsi="Arial"/>
          <w:i/>
          <w:sz w:val="22"/>
        </w:rPr>
      </w:pPr>
      <w:r>
        <w:rPr>
          <w:rFonts w:ascii="Arial" w:hAnsi="Arial"/>
          <w:i/>
          <w:sz w:val="22"/>
        </w:rPr>
        <w:t xml:space="preserve">.313 </w:t>
      </w:r>
      <w:r w:rsidRPr="00100935">
        <w:rPr>
          <w:rFonts w:ascii="Arial" w:hAnsi="Arial"/>
          <w:i/>
          <w:sz w:val="22"/>
        </w:rPr>
        <w:t>Permanently for the first violation for trading CalFresh benefits for firearms, ammunition, or</w:t>
      </w:r>
    </w:p>
    <w:p w:rsidR="00100935" w:rsidRDefault="00100935" w:rsidP="00100935">
      <w:pPr>
        <w:ind w:left="360" w:right="-630" w:firstLine="360"/>
        <w:rPr>
          <w:rFonts w:ascii="Arial" w:hAnsi="Arial"/>
          <w:i/>
          <w:sz w:val="22"/>
        </w:rPr>
      </w:pPr>
      <w:r>
        <w:rPr>
          <w:rFonts w:ascii="Arial" w:hAnsi="Arial"/>
          <w:i/>
          <w:sz w:val="22"/>
        </w:rPr>
        <w:t xml:space="preserve"> </w:t>
      </w:r>
      <w:r w:rsidRPr="00100935">
        <w:rPr>
          <w:rFonts w:ascii="Arial" w:hAnsi="Arial"/>
          <w:i/>
          <w:sz w:val="22"/>
        </w:rPr>
        <w:t xml:space="preserve"> explosives.</w:t>
      </w:r>
    </w:p>
    <w:p w:rsidR="00D863E4" w:rsidRDefault="00D863E4" w:rsidP="00D863E4">
      <w:pPr>
        <w:ind w:right="-630"/>
        <w:rPr>
          <w:rFonts w:ascii="Arial" w:hAnsi="Arial"/>
          <w:i/>
          <w:sz w:val="22"/>
        </w:rPr>
      </w:pPr>
    </w:p>
    <w:p w:rsidR="00100935" w:rsidRDefault="00100935" w:rsidP="00100935">
      <w:pPr>
        <w:ind w:left="360" w:right="-630"/>
        <w:rPr>
          <w:rFonts w:ascii="Arial" w:hAnsi="Arial"/>
          <w:i/>
          <w:sz w:val="22"/>
        </w:rPr>
      </w:pPr>
      <w:r w:rsidRPr="00100935">
        <w:rPr>
          <w:rFonts w:ascii="Arial" w:hAnsi="Arial"/>
          <w:i/>
          <w:sz w:val="22"/>
        </w:rPr>
        <w:t>.314  For a 10-year period for falsifying the identity or place of residence of the individual in order</w:t>
      </w:r>
    </w:p>
    <w:p w:rsidR="00100935" w:rsidRDefault="00100935" w:rsidP="00100935">
      <w:pPr>
        <w:ind w:left="360" w:right="-630"/>
        <w:rPr>
          <w:rFonts w:ascii="Arial" w:hAnsi="Arial"/>
          <w:i/>
          <w:sz w:val="22"/>
        </w:rPr>
      </w:pPr>
      <w:r>
        <w:rPr>
          <w:rFonts w:ascii="Arial" w:hAnsi="Arial"/>
          <w:i/>
          <w:sz w:val="22"/>
        </w:rPr>
        <w:t xml:space="preserve">        </w:t>
      </w:r>
      <w:r w:rsidRPr="00100935">
        <w:rPr>
          <w:rFonts w:ascii="Arial" w:hAnsi="Arial"/>
          <w:i/>
          <w:sz w:val="22"/>
        </w:rPr>
        <w:t xml:space="preserve"> to receive multiple CalFresh benefits;</w:t>
      </w:r>
    </w:p>
    <w:p w:rsidR="00100935" w:rsidRDefault="00100935" w:rsidP="00100935">
      <w:pPr>
        <w:ind w:left="360" w:right="-630"/>
        <w:rPr>
          <w:rFonts w:ascii="Arial" w:hAnsi="Arial"/>
          <w:i/>
          <w:sz w:val="22"/>
        </w:rPr>
      </w:pPr>
    </w:p>
    <w:p w:rsidR="00AF0B15" w:rsidRDefault="00100935" w:rsidP="00100935">
      <w:pPr>
        <w:ind w:left="360" w:right="-630"/>
        <w:rPr>
          <w:rFonts w:ascii="Arial" w:hAnsi="Arial"/>
          <w:i/>
          <w:sz w:val="22"/>
        </w:rPr>
      </w:pPr>
      <w:r w:rsidRPr="00100935">
        <w:rPr>
          <w:rFonts w:ascii="Arial" w:hAnsi="Arial"/>
          <w:i/>
          <w:sz w:val="22"/>
        </w:rPr>
        <w:t>.315  Permanently for trafficking CalFresh benefits of $500 or more.  For purposes of this</w:t>
      </w:r>
    </w:p>
    <w:p w:rsidR="00100935" w:rsidRDefault="00AF0B15" w:rsidP="00100935">
      <w:pPr>
        <w:ind w:left="360" w:right="-630"/>
        <w:rPr>
          <w:rFonts w:ascii="Arial" w:hAnsi="Arial"/>
          <w:i/>
          <w:sz w:val="22"/>
        </w:rPr>
      </w:pPr>
      <w:r>
        <w:rPr>
          <w:rFonts w:ascii="Arial" w:hAnsi="Arial"/>
          <w:i/>
          <w:sz w:val="22"/>
        </w:rPr>
        <w:t xml:space="preserve">         </w:t>
      </w:r>
      <w:r w:rsidR="00100935" w:rsidRPr="00100935">
        <w:rPr>
          <w:rFonts w:ascii="Arial" w:hAnsi="Arial"/>
          <w:i/>
          <w:sz w:val="22"/>
        </w:rPr>
        <w:t>subsection, trafficking is defined in 7 USC 2024(b) and (c).</w:t>
      </w:r>
    </w:p>
    <w:p w:rsidR="00100935" w:rsidRDefault="00100935" w:rsidP="00100935">
      <w:pPr>
        <w:ind w:right="-630"/>
        <w:rPr>
          <w:rFonts w:ascii="Arial" w:hAnsi="Arial"/>
          <w:i/>
          <w:sz w:val="22"/>
        </w:rPr>
      </w:pPr>
    </w:p>
    <w:p w:rsidR="00DE2707" w:rsidRDefault="00DE2707" w:rsidP="00100935">
      <w:pPr>
        <w:ind w:right="-630"/>
        <w:rPr>
          <w:rFonts w:ascii="Arial" w:hAnsi="Arial"/>
          <w:i/>
          <w:sz w:val="22"/>
        </w:rPr>
      </w:pPr>
      <w:r>
        <w:rPr>
          <w:rFonts w:ascii="Arial" w:hAnsi="Arial"/>
          <w:i/>
          <w:sz w:val="22"/>
        </w:rPr>
        <w:t xml:space="preserve">Section 22-301.2 and .4 in the CalWORKs IPV program and Section 20-300.22 and .23 in the </w:t>
      </w:r>
      <w:r w:rsidR="00AF0B15">
        <w:rPr>
          <w:rFonts w:ascii="Arial" w:hAnsi="Arial"/>
          <w:i/>
          <w:sz w:val="22"/>
        </w:rPr>
        <w:t xml:space="preserve">CalFresh </w:t>
      </w:r>
      <w:r>
        <w:rPr>
          <w:rFonts w:ascii="Arial" w:hAnsi="Arial"/>
          <w:i/>
          <w:sz w:val="22"/>
        </w:rPr>
        <w:t>IPV program set out the following regulatory provision:</w:t>
      </w:r>
    </w:p>
    <w:p w:rsidR="00DE2707" w:rsidRDefault="00DE2707" w:rsidP="00DE2707">
      <w:pPr>
        <w:ind w:left="360" w:right="-630"/>
        <w:rPr>
          <w:rFonts w:ascii="Arial" w:hAnsi="Arial"/>
          <w:i/>
          <w:sz w:val="22"/>
        </w:rPr>
      </w:pPr>
    </w:p>
    <w:p w:rsidR="00DE2707" w:rsidRDefault="00DE2707" w:rsidP="00DE2707">
      <w:pPr>
        <w:ind w:left="360" w:right="-630" w:hanging="720"/>
        <w:rPr>
          <w:rFonts w:ascii="Arial" w:hAnsi="Arial"/>
          <w:i/>
          <w:sz w:val="22"/>
        </w:rPr>
      </w:pPr>
      <w:r>
        <w:rPr>
          <w:rFonts w:ascii="Arial" w:hAnsi="Arial"/>
          <w:i/>
          <w:sz w:val="22"/>
        </w:rPr>
        <w:tab/>
        <w:t xml:space="preserve">Those cases in which the prosecuting authority has determined (a) that facts do not warrant prosecution, or (b) those cases previously referred for prosecution and declined, shall be returned to the County Welfare Department (CWD) and the CWD shall initiate referral actions for an ADH through the California Department of Social Services (CDSS) </w:t>
      </w:r>
      <w:r w:rsidR="00D863E4">
        <w:rPr>
          <w:rFonts w:ascii="Arial" w:hAnsi="Arial"/>
          <w:i/>
          <w:sz w:val="22"/>
        </w:rPr>
        <w:t>in</w:t>
      </w:r>
      <w:r>
        <w:rPr>
          <w:rFonts w:ascii="Arial" w:hAnsi="Arial"/>
          <w:i/>
          <w:sz w:val="22"/>
        </w:rPr>
        <w:t xml:space="preserve"> accordance with CDSS MPP, Division 22.</w:t>
      </w:r>
    </w:p>
    <w:p w:rsidR="00DE2707" w:rsidRDefault="00DE2707" w:rsidP="00DE2707">
      <w:pPr>
        <w:ind w:left="360" w:right="-630" w:hanging="720"/>
        <w:rPr>
          <w:rFonts w:ascii="Arial" w:hAnsi="Arial"/>
          <w:i/>
          <w:sz w:val="22"/>
        </w:rPr>
      </w:pPr>
    </w:p>
    <w:p w:rsidR="00DE2707" w:rsidRDefault="00DE2707" w:rsidP="00DE2707">
      <w:pPr>
        <w:ind w:left="360" w:right="-630" w:hanging="720"/>
        <w:rPr>
          <w:rFonts w:ascii="Arial" w:hAnsi="Arial"/>
          <w:i/>
          <w:sz w:val="22"/>
        </w:rPr>
      </w:pPr>
      <w:r>
        <w:rPr>
          <w:rFonts w:ascii="Arial" w:hAnsi="Arial"/>
          <w:i/>
          <w:sz w:val="22"/>
        </w:rPr>
        <w:tab/>
        <w:t>The CWD shall not initiate an ADH against an accused individual whose case is currently being referred for prosecution or subsequent to any action taken against the accused individual by the prosecutor or court of appropriate jurisdiction, if the factual issues of the case arise out of the same or related circumstances.</w:t>
      </w:r>
    </w:p>
    <w:p w:rsidR="00DE2707" w:rsidRDefault="00DE2707" w:rsidP="00DE2707">
      <w:pPr>
        <w:ind w:left="360" w:right="-630" w:hanging="720"/>
        <w:rPr>
          <w:rFonts w:ascii="Arial" w:hAnsi="Arial"/>
          <w:i/>
          <w:sz w:val="22"/>
        </w:rPr>
      </w:pPr>
    </w:p>
    <w:p w:rsidR="00DE2707" w:rsidRDefault="00DE2707" w:rsidP="00AF0B15">
      <w:pPr>
        <w:ind w:right="-630"/>
        <w:rPr>
          <w:rFonts w:ascii="Arial" w:hAnsi="Arial"/>
          <w:i/>
          <w:sz w:val="22"/>
        </w:rPr>
      </w:pPr>
      <w:r>
        <w:rPr>
          <w:rFonts w:ascii="Arial" w:hAnsi="Arial"/>
          <w:i/>
          <w:sz w:val="22"/>
        </w:rPr>
        <w:t>Section 22-340.7 (CalWORKs) and, 20-300.24 and 63-801.43 (</w:t>
      </w:r>
      <w:r w:rsidR="00AF0B15">
        <w:rPr>
          <w:rFonts w:ascii="Arial" w:hAnsi="Arial"/>
          <w:i/>
          <w:sz w:val="22"/>
        </w:rPr>
        <w:t>CalFresh</w:t>
      </w:r>
      <w:r>
        <w:rPr>
          <w:rFonts w:ascii="Arial" w:hAnsi="Arial"/>
          <w:i/>
          <w:sz w:val="22"/>
        </w:rPr>
        <w:t xml:space="preserve">), provide that if the decision of the ALJ finds that the respondent committed an IPV, the County Welfare Department shall provide a </w:t>
      </w:r>
      <w:r>
        <w:rPr>
          <w:rFonts w:ascii="Arial" w:hAnsi="Arial"/>
          <w:i/>
          <w:sz w:val="22"/>
        </w:rPr>
        <w:lastRenderedPageBreak/>
        <w:t>written notice to the respondent prior to disqualification.  The CalWORKs regulation in subsection .71 provides that the notice shall inform the respondent of the following:</w:t>
      </w:r>
    </w:p>
    <w:p w:rsidR="00DE2707" w:rsidRDefault="00DE2707" w:rsidP="00DE2707">
      <w:pPr>
        <w:ind w:left="360" w:right="-630"/>
        <w:rPr>
          <w:rFonts w:ascii="Arial" w:hAnsi="Arial"/>
          <w:i/>
          <w:sz w:val="22"/>
        </w:rPr>
      </w:pPr>
    </w:p>
    <w:p w:rsidR="00DE2707" w:rsidRDefault="00DE2707" w:rsidP="00AF0B15">
      <w:pPr>
        <w:ind w:left="360" w:right="-630"/>
        <w:rPr>
          <w:rFonts w:ascii="Arial" w:hAnsi="Arial"/>
          <w:i/>
          <w:sz w:val="22"/>
        </w:rPr>
      </w:pPr>
      <w:r>
        <w:rPr>
          <w:rFonts w:ascii="Arial" w:hAnsi="Arial"/>
          <w:i/>
          <w:sz w:val="22"/>
        </w:rPr>
        <w:t>.711</w:t>
      </w:r>
      <w:r w:rsidR="00AF0B15">
        <w:rPr>
          <w:rFonts w:ascii="Arial" w:hAnsi="Arial"/>
          <w:i/>
          <w:sz w:val="22"/>
        </w:rPr>
        <w:t xml:space="preserve"> </w:t>
      </w:r>
      <w:r>
        <w:rPr>
          <w:rFonts w:ascii="Arial" w:hAnsi="Arial"/>
          <w:i/>
          <w:sz w:val="22"/>
        </w:rPr>
        <w:t>The decision and the reason for the decision;</w:t>
      </w:r>
    </w:p>
    <w:p w:rsidR="00DE2707" w:rsidRDefault="00DE2707" w:rsidP="00DE2707">
      <w:pPr>
        <w:ind w:left="360" w:right="-630"/>
        <w:rPr>
          <w:rFonts w:ascii="Arial" w:hAnsi="Arial"/>
          <w:i/>
          <w:sz w:val="22"/>
        </w:rPr>
      </w:pPr>
    </w:p>
    <w:p w:rsidR="00AF0B15" w:rsidRDefault="00DE2707" w:rsidP="00AF0B15">
      <w:pPr>
        <w:ind w:left="360" w:right="-630"/>
        <w:rPr>
          <w:rFonts w:ascii="Arial" w:hAnsi="Arial"/>
          <w:i/>
          <w:sz w:val="22"/>
        </w:rPr>
      </w:pPr>
      <w:r>
        <w:rPr>
          <w:rFonts w:ascii="Arial" w:hAnsi="Arial"/>
          <w:i/>
          <w:sz w:val="22"/>
        </w:rPr>
        <w:t>.712</w:t>
      </w:r>
      <w:r w:rsidR="00AF0B15">
        <w:rPr>
          <w:rFonts w:ascii="Arial" w:hAnsi="Arial"/>
          <w:i/>
          <w:sz w:val="22"/>
        </w:rPr>
        <w:t xml:space="preserve"> T</w:t>
      </w:r>
      <w:r>
        <w:rPr>
          <w:rFonts w:ascii="Arial" w:hAnsi="Arial"/>
          <w:i/>
          <w:sz w:val="22"/>
        </w:rPr>
        <w:t xml:space="preserve">he period of disqualification (which shall begin no later than the first day of the second </w:t>
      </w:r>
    </w:p>
    <w:p w:rsidR="00DE2707" w:rsidRDefault="00AF0B15" w:rsidP="00AF0B15">
      <w:pPr>
        <w:ind w:left="360" w:right="-630"/>
        <w:rPr>
          <w:rFonts w:ascii="Arial" w:hAnsi="Arial"/>
          <w:i/>
          <w:sz w:val="22"/>
        </w:rPr>
      </w:pPr>
      <w:r>
        <w:rPr>
          <w:rFonts w:ascii="Arial" w:hAnsi="Arial"/>
          <w:i/>
          <w:sz w:val="22"/>
        </w:rPr>
        <w:t xml:space="preserve">        </w:t>
      </w:r>
      <w:r w:rsidR="00DE2707">
        <w:rPr>
          <w:rFonts w:ascii="Arial" w:hAnsi="Arial"/>
          <w:i/>
          <w:sz w:val="22"/>
        </w:rPr>
        <w:t>month which follows the date of notice); and</w:t>
      </w:r>
    </w:p>
    <w:p w:rsidR="00DE2707" w:rsidRDefault="00DE2707" w:rsidP="00DE2707">
      <w:pPr>
        <w:ind w:left="360" w:right="-630" w:hanging="720"/>
        <w:rPr>
          <w:rFonts w:ascii="Arial" w:hAnsi="Arial"/>
          <w:i/>
          <w:sz w:val="22"/>
        </w:rPr>
      </w:pPr>
    </w:p>
    <w:p w:rsidR="00DE2707" w:rsidRDefault="00DE2707" w:rsidP="00AF0B15">
      <w:pPr>
        <w:ind w:left="360" w:right="-630"/>
        <w:rPr>
          <w:rFonts w:ascii="Arial" w:hAnsi="Arial"/>
          <w:i/>
          <w:sz w:val="22"/>
        </w:rPr>
      </w:pPr>
      <w:r>
        <w:rPr>
          <w:rFonts w:ascii="Arial" w:hAnsi="Arial"/>
          <w:i/>
          <w:sz w:val="22"/>
        </w:rPr>
        <w:t>.713</w:t>
      </w:r>
      <w:r w:rsidR="00AF0B15">
        <w:rPr>
          <w:rFonts w:ascii="Arial" w:hAnsi="Arial"/>
          <w:i/>
          <w:sz w:val="22"/>
        </w:rPr>
        <w:t xml:space="preserve"> </w:t>
      </w:r>
      <w:r>
        <w:rPr>
          <w:rFonts w:ascii="Arial" w:hAnsi="Arial"/>
          <w:i/>
          <w:sz w:val="22"/>
        </w:rPr>
        <w:t>The amount of payment the AU will receive during the disqualification period.</w:t>
      </w:r>
    </w:p>
    <w:p w:rsidR="00DE2707" w:rsidRDefault="00DE2707" w:rsidP="00DE2707">
      <w:pPr>
        <w:ind w:left="360" w:right="-630" w:hanging="720"/>
        <w:rPr>
          <w:rFonts w:ascii="Arial" w:hAnsi="Arial"/>
          <w:i/>
          <w:sz w:val="22"/>
        </w:rPr>
      </w:pPr>
    </w:p>
    <w:p w:rsidR="00DE2707" w:rsidRPr="00AF0B15" w:rsidRDefault="00DE2707" w:rsidP="00AF0B15">
      <w:pPr>
        <w:pStyle w:val="BodyText"/>
        <w:rPr>
          <w:i/>
        </w:rPr>
      </w:pPr>
      <w:r w:rsidRPr="00AF0B15">
        <w:rPr>
          <w:i/>
        </w:rPr>
        <w:t xml:space="preserve">The </w:t>
      </w:r>
      <w:r w:rsidR="00AF0B15" w:rsidRPr="00AF0B15">
        <w:rPr>
          <w:i/>
        </w:rPr>
        <w:t xml:space="preserve">CalFresh </w:t>
      </w:r>
      <w:r w:rsidRPr="00AF0B15">
        <w:rPr>
          <w:i/>
        </w:rPr>
        <w:t xml:space="preserve">sections provide that the notice shall advise the remaining household members of the allotment they will receive during the disqualification period.  The county shall send the individual a written demand letter which informs the individual of the amount owed, the reason for the claim, the period of time the claim covers, any offsetting due to previous underissuances which reduced the claim, how the household may pay the claim, and the individual’s right to request a State Hearing if the individual disagrees with the amount of the claim (unless the household has already had a State Hearing on the amount of the claim).  The individual shall be advised of the right to request renegotiation of any agreed-to repayment schedule should the household’s economic circumstances change.  The household shall be advised that the household’s current </w:t>
      </w:r>
      <w:r w:rsidR="00AF0B15" w:rsidRPr="00AF0B15">
        <w:rPr>
          <w:i/>
        </w:rPr>
        <w:t>CalFresh</w:t>
      </w:r>
      <w:r w:rsidRPr="00AF0B15">
        <w:rPr>
          <w:i/>
        </w:rPr>
        <w:t xml:space="preserve"> allotment will be reduced if the household fails to make restitution.</w:t>
      </w:r>
    </w:p>
    <w:p w:rsidR="00281D0E" w:rsidRPr="00AF0B15" w:rsidRDefault="00281D0E" w:rsidP="00281D0E">
      <w:pPr>
        <w:rPr>
          <w:rFonts w:ascii="Arial" w:hAnsi="Arial"/>
          <w:b/>
          <w:i/>
          <w:caps/>
        </w:rPr>
      </w:pPr>
    </w:p>
    <w:p w:rsidR="0042090D" w:rsidRDefault="0042090D" w:rsidP="00281D0E"/>
    <w:p w:rsidR="0042090D" w:rsidRPr="00D863E4" w:rsidRDefault="00D863E4" w:rsidP="00D863E4">
      <w:pPr>
        <w:jc w:val="center"/>
        <w:rPr>
          <w:rFonts w:ascii="Arial" w:hAnsi="Arial" w:cs="Arial"/>
          <w:b/>
          <w:i/>
          <w:sz w:val="24"/>
          <w:szCs w:val="24"/>
        </w:rPr>
      </w:pPr>
      <w:r w:rsidRPr="00D863E4">
        <w:rPr>
          <w:rFonts w:ascii="Arial" w:hAnsi="Arial" w:cs="Arial"/>
          <w:b/>
          <w:i/>
          <w:sz w:val="24"/>
          <w:szCs w:val="24"/>
        </w:rPr>
        <w:t>COUNTY EVIDENCE &amp; EXHIBITS</w:t>
      </w:r>
    </w:p>
    <w:p w:rsidR="00D863E4" w:rsidRPr="0086322C" w:rsidRDefault="0086322C" w:rsidP="0086322C">
      <w:pPr>
        <w:rPr>
          <w:rFonts w:ascii="Arial" w:hAnsi="Arial" w:cs="Arial"/>
          <w:b/>
          <w:i/>
        </w:rPr>
      </w:pPr>
      <w:r>
        <w:rPr>
          <w:rFonts w:ascii="Arial" w:hAnsi="Arial" w:cs="Arial"/>
          <w:b/>
          <w:i/>
        </w:rPr>
        <w:t xml:space="preserve">   </w:t>
      </w:r>
      <w:r w:rsidRPr="0086322C">
        <w:rPr>
          <w:rFonts w:ascii="Arial" w:hAnsi="Arial" w:cs="Arial"/>
          <w:b/>
          <w:i/>
        </w:rPr>
        <w:t>Exhibit</w:t>
      </w:r>
    </w:p>
    <w:p w:rsidR="0086322C" w:rsidRPr="0086322C" w:rsidRDefault="0086322C" w:rsidP="00281D0E">
      <w:pPr>
        <w:rPr>
          <w:rFonts w:ascii="Arial" w:hAnsi="Arial" w:cs="Arial"/>
          <w:b/>
          <w:i/>
        </w:rPr>
      </w:pPr>
      <w:r>
        <w:rPr>
          <w:rFonts w:ascii="Arial" w:hAnsi="Arial" w:cs="Arial"/>
          <w:b/>
          <w:i/>
        </w:rPr>
        <w:t xml:space="preserve">   </w:t>
      </w:r>
      <w:r w:rsidRPr="0086322C">
        <w:rPr>
          <w:rFonts w:ascii="Arial" w:hAnsi="Arial" w:cs="Arial"/>
          <w:b/>
          <w:i/>
        </w:rPr>
        <w:t>Number</w:t>
      </w:r>
      <w:r w:rsidRPr="0086322C">
        <w:rPr>
          <w:rFonts w:ascii="Arial" w:hAnsi="Arial" w:cs="Arial"/>
          <w:b/>
          <w:i/>
        </w:rPr>
        <w:tab/>
      </w:r>
      <w:r w:rsidRPr="0086322C">
        <w:rPr>
          <w:rFonts w:ascii="Arial" w:hAnsi="Arial" w:cs="Arial"/>
          <w:b/>
          <w:i/>
        </w:rPr>
        <w:tab/>
        <w:t>Description of Evidence</w:t>
      </w:r>
    </w:p>
    <w:p w:rsidR="00DE2707" w:rsidRDefault="00DE2707" w:rsidP="0086322C">
      <w:pPr>
        <w:pStyle w:val="Heading2"/>
        <w:ind w:left="-90"/>
        <w:rPr>
          <w:b w:val="0"/>
          <w:sz w:val="22"/>
        </w:rPr>
      </w:pPr>
      <w:r>
        <w:tab/>
      </w:r>
      <w:r>
        <w:tab/>
      </w:r>
      <w:r>
        <w:tab/>
      </w:r>
      <w:r>
        <w:tab/>
      </w:r>
      <w:r>
        <w:tab/>
      </w:r>
      <w:r>
        <w:tab/>
        <w:t xml:space="preserve">    </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028"/>
      </w:tblGrid>
      <w:tr w:rsidR="00281D0E" w:rsidTr="00B429DE">
        <w:trPr>
          <w:cantSplit/>
          <w:trHeight w:val="242"/>
          <w:jc w:val="center"/>
        </w:trPr>
        <w:tc>
          <w:tcPr>
            <w:tcW w:w="1008" w:type="dxa"/>
            <w:vAlign w:val="center"/>
          </w:tcPr>
          <w:p w:rsidR="00281D0E" w:rsidRPr="00F87D7D" w:rsidRDefault="00701122" w:rsidP="00281D0E">
            <w:pPr>
              <w:jc w:val="center"/>
              <w:rPr>
                <w:rFonts w:ascii="Arial" w:hAnsi="Arial"/>
              </w:rPr>
            </w:pPr>
            <w:r w:rsidRPr="00F87D7D">
              <w:rPr>
                <w:rFonts w:ascii="Arial" w:hAnsi="Arial"/>
              </w:rPr>
              <w:t>1</w:t>
            </w:r>
          </w:p>
        </w:tc>
        <w:tc>
          <w:tcPr>
            <w:tcW w:w="8028" w:type="dxa"/>
          </w:tcPr>
          <w:p w:rsidR="00281D0E" w:rsidRPr="00F87D7D" w:rsidRDefault="00701122" w:rsidP="00F8399B">
            <w:pPr>
              <w:rPr>
                <w:rFonts w:ascii="Arial" w:hAnsi="Arial"/>
              </w:rPr>
            </w:pPr>
            <w:r w:rsidRPr="00F87D7D">
              <w:rPr>
                <w:rFonts w:ascii="Arial" w:hAnsi="Arial"/>
              </w:rPr>
              <w:t>Address verification for respondent.</w:t>
            </w:r>
          </w:p>
        </w:tc>
      </w:tr>
      <w:tr w:rsidR="00281D0E" w:rsidTr="00B429DE">
        <w:trPr>
          <w:cantSplit/>
          <w:trHeight w:val="257"/>
          <w:jc w:val="center"/>
        </w:trPr>
        <w:tc>
          <w:tcPr>
            <w:tcW w:w="1008" w:type="dxa"/>
            <w:vAlign w:val="center"/>
          </w:tcPr>
          <w:p w:rsidR="00281D0E" w:rsidRPr="00F87D7D" w:rsidRDefault="00701122" w:rsidP="00281D0E">
            <w:pPr>
              <w:jc w:val="center"/>
              <w:rPr>
                <w:rFonts w:ascii="Arial" w:hAnsi="Arial"/>
              </w:rPr>
            </w:pPr>
            <w:r w:rsidRPr="00F87D7D">
              <w:rPr>
                <w:rFonts w:ascii="Arial" w:hAnsi="Arial"/>
              </w:rPr>
              <w:t>2</w:t>
            </w:r>
          </w:p>
        </w:tc>
        <w:tc>
          <w:tcPr>
            <w:tcW w:w="8028" w:type="dxa"/>
          </w:tcPr>
          <w:p w:rsidR="00281D0E" w:rsidRPr="00F87D7D" w:rsidRDefault="00701122" w:rsidP="00F8399B">
            <w:pPr>
              <w:rPr>
                <w:rFonts w:ascii="Arial" w:hAnsi="Arial"/>
              </w:rPr>
            </w:pPr>
            <w:r w:rsidRPr="00F87D7D">
              <w:rPr>
                <w:rFonts w:ascii="Arial" w:hAnsi="Arial"/>
              </w:rPr>
              <w:t>IEVS report run date 07/01/2017.</w:t>
            </w:r>
          </w:p>
        </w:tc>
      </w:tr>
      <w:tr w:rsidR="00701122" w:rsidTr="00B429DE">
        <w:trPr>
          <w:cantSplit/>
          <w:trHeight w:val="242"/>
          <w:jc w:val="center"/>
        </w:trPr>
        <w:tc>
          <w:tcPr>
            <w:tcW w:w="1008" w:type="dxa"/>
            <w:vAlign w:val="center"/>
          </w:tcPr>
          <w:p w:rsidR="00701122" w:rsidRPr="00F87D7D" w:rsidRDefault="00701122" w:rsidP="00281D0E">
            <w:pPr>
              <w:jc w:val="center"/>
              <w:rPr>
                <w:rFonts w:ascii="Arial" w:hAnsi="Arial"/>
              </w:rPr>
            </w:pPr>
            <w:r w:rsidRPr="00F87D7D">
              <w:rPr>
                <w:rFonts w:ascii="Arial" w:hAnsi="Arial"/>
              </w:rPr>
              <w:t>3</w:t>
            </w:r>
          </w:p>
        </w:tc>
        <w:tc>
          <w:tcPr>
            <w:tcW w:w="8028" w:type="dxa"/>
          </w:tcPr>
          <w:p w:rsidR="00701122" w:rsidRPr="00F87D7D" w:rsidRDefault="00701122" w:rsidP="00F8399B">
            <w:pPr>
              <w:rPr>
                <w:rFonts w:ascii="Arial" w:hAnsi="Arial"/>
              </w:rPr>
            </w:pPr>
            <w:r w:rsidRPr="00F87D7D">
              <w:rPr>
                <w:rFonts w:ascii="Arial" w:hAnsi="Arial"/>
              </w:rPr>
              <w:t xml:space="preserve">Social Security number and Identification for </w:t>
            </w:r>
            <w:r w:rsidRPr="00D9086D">
              <w:rPr>
                <w:rFonts w:ascii="Arial" w:hAnsi="Arial"/>
                <w:highlight w:val="black"/>
              </w:rPr>
              <w:t>Kristina Mora</w:t>
            </w:r>
            <w:r w:rsidRPr="00F87D7D">
              <w:rPr>
                <w:rFonts w:ascii="Arial" w:hAnsi="Arial"/>
              </w:rPr>
              <w:t>.</w:t>
            </w:r>
          </w:p>
        </w:tc>
      </w:tr>
      <w:tr w:rsidR="00281D0E" w:rsidTr="00B429DE">
        <w:trPr>
          <w:cantSplit/>
          <w:trHeight w:val="242"/>
          <w:jc w:val="center"/>
        </w:trPr>
        <w:tc>
          <w:tcPr>
            <w:tcW w:w="1008" w:type="dxa"/>
            <w:vAlign w:val="center"/>
          </w:tcPr>
          <w:p w:rsidR="00281D0E" w:rsidRPr="00F87D7D" w:rsidRDefault="00701122" w:rsidP="00701122">
            <w:pPr>
              <w:jc w:val="center"/>
              <w:rPr>
                <w:rFonts w:ascii="Arial" w:hAnsi="Arial"/>
              </w:rPr>
            </w:pPr>
            <w:r w:rsidRPr="00F87D7D">
              <w:rPr>
                <w:rFonts w:ascii="Arial" w:hAnsi="Arial"/>
              </w:rPr>
              <w:t>4</w:t>
            </w:r>
          </w:p>
        </w:tc>
        <w:tc>
          <w:tcPr>
            <w:tcW w:w="8028" w:type="dxa"/>
          </w:tcPr>
          <w:p w:rsidR="00281D0E" w:rsidRPr="00F87D7D" w:rsidRDefault="00701122" w:rsidP="00F8399B">
            <w:pPr>
              <w:rPr>
                <w:rFonts w:ascii="Arial" w:hAnsi="Arial"/>
              </w:rPr>
            </w:pPr>
            <w:r w:rsidRPr="00F87D7D">
              <w:rPr>
                <w:rFonts w:ascii="Arial" w:hAnsi="Arial"/>
              </w:rPr>
              <w:t xml:space="preserve">Verification of Employment/Earnings statement from The WorkNumber for </w:t>
            </w:r>
            <w:r w:rsidRPr="00D9086D">
              <w:rPr>
                <w:rFonts w:ascii="Arial" w:hAnsi="Arial"/>
                <w:highlight w:val="black"/>
              </w:rPr>
              <w:t>Kristina Mora</w:t>
            </w:r>
            <w:r w:rsidRPr="00F87D7D">
              <w:rPr>
                <w:rFonts w:ascii="Arial" w:hAnsi="Arial"/>
              </w:rPr>
              <w:t xml:space="preserve"> showing earnings from </w:t>
            </w:r>
            <w:r w:rsidRPr="00D9086D">
              <w:rPr>
                <w:rFonts w:ascii="Arial" w:hAnsi="Arial"/>
                <w:highlight w:val="black"/>
              </w:rPr>
              <w:t>Apple American Group, LLC/Applebee’s</w:t>
            </w:r>
            <w:r w:rsidRPr="00F87D7D">
              <w:rPr>
                <w:rFonts w:ascii="Arial" w:hAnsi="Arial"/>
              </w:rPr>
              <w:t>.</w:t>
            </w:r>
          </w:p>
        </w:tc>
      </w:tr>
      <w:tr w:rsidR="00281D0E" w:rsidTr="00B429DE">
        <w:trPr>
          <w:cantSplit/>
          <w:trHeight w:val="257"/>
          <w:jc w:val="center"/>
        </w:trPr>
        <w:tc>
          <w:tcPr>
            <w:tcW w:w="1008" w:type="dxa"/>
            <w:vAlign w:val="center"/>
          </w:tcPr>
          <w:p w:rsidR="00281D0E" w:rsidRPr="00F87D7D" w:rsidRDefault="00701122" w:rsidP="00281D0E">
            <w:pPr>
              <w:jc w:val="center"/>
              <w:rPr>
                <w:rFonts w:ascii="Arial" w:hAnsi="Arial"/>
              </w:rPr>
            </w:pPr>
            <w:r w:rsidRPr="00F87D7D">
              <w:rPr>
                <w:rFonts w:ascii="Arial" w:hAnsi="Arial"/>
              </w:rPr>
              <w:t>5</w:t>
            </w:r>
          </w:p>
        </w:tc>
        <w:tc>
          <w:tcPr>
            <w:tcW w:w="8028" w:type="dxa"/>
          </w:tcPr>
          <w:p w:rsidR="00281D0E" w:rsidRPr="00F87D7D" w:rsidRDefault="00701122" w:rsidP="00701122">
            <w:pPr>
              <w:rPr>
                <w:rFonts w:ascii="Arial" w:hAnsi="Arial"/>
              </w:rPr>
            </w:pPr>
            <w:r w:rsidRPr="00F87D7D">
              <w:rPr>
                <w:rFonts w:ascii="Arial" w:hAnsi="Arial"/>
              </w:rPr>
              <w:t xml:space="preserve">12/05/2016 Journal entry by EW </w:t>
            </w:r>
            <w:r w:rsidRPr="00D9086D">
              <w:rPr>
                <w:rFonts w:ascii="Arial" w:hAnsi="Arial"/>
                <w:highlight w:val="black"/>
              </w:rPr>
              <w:t>J. Fine</w:t>
            </w:r>
            <w:r w:rsidRPr="00F87D7D">
              <w:rPr>
                <w:rFonts w:ascii="Arial" w:hAnsi="Arial"/>
              </w:rPr>
              <w:t xml:space="preserve"> from face to face interview.</w:t>
            </w:r>
          </w:p>
        </w:tc>
      </w:tr>
      <w:tr w:rsidR="00281D0E" w:rsidTr="00B429DE">
        <w:trPr>
          <w:cantSplit/>
          <w:trHeight w:val="257"/>
          <w:jc w:val="center"/>
        </w:trPr>
        <w:tc>
          <w:tcPr>
            <w:tcW w:w="1008" w:type="dxa"/>
            <w:vAlign w:val="center"/>
          </w:tcPr>
          <w:p w:rsidR="00281D0E" w:rsidRPr="00F87D7D" w:rsidRDefault="00701122" w:rsidP="00281D0E">
            <w:pPr>
              <w:jc w:val="center"/>
              <w:rPr>
                <w:rFonts w:ascii="Arial" w:hAnsi="Arial"/>
              </w:rPr>
            </w:pPr>
            <w:r w:rsidRPr="00F87D7D">
              <w:rPr>
                <w:rFonts w:ascii="Arial" w:hAnsi="Arial"/>
              </w:rPr>
              <w:t>6</w:t>
            </w:r>
          </w:p>
        </w:tc>
        <w:tc>
          <w:tcPr>
            <w:tcW w:w="8028" w:type="dxa"/>
          </w:tcPr>
          <w:p w:rsidR="00281D0E" w:rsidRPr="00F87D7D" w:rsidRDefault="00701122" w:rsidP="00701122">
            <w:pPr>
              <w:rPr>
                <w:rFonts w:ascii="Arial" w:hAnsi="Arial"/>
              </w:rPr>
            </w:pPr>
            <w:r w:rsidRPr="00F87D7D">
              <w:rPr>
                <w:rFonts w:ascii="Arial" w:hAnsi="Arial"/>
              </w:rPr>
              <w:t>05/2017 incomplete SAR7 report received 06/20/2017.</w:t>
            </w:r>
          </w:p>
        </w:tc>
      </w:tr>
      <w:tr w:rsidR="0042090D" w:rsidTr="00B429DE">
        <w:trPr>
          <w:cantSplit/>
          <w:trHeight w:val="257"/>
          <w:jc w:val="center"/>
        </w:trPr>
        <w:tc>
          <w:tcPr>
            <w:tcW w:w="1008" w:type="dxa"/>
            <w:vAlign w:val="center"/>
          </w:tcPr>
          <w:p w:rsidR="0042090D" w:rsidRPr="00F87D7D" w:rsidRDefault="00701122" w:rsidP="00281D0E">
            <w:pPr>
              <w:jc w:val="center"/>
              <w:rPr>
                <w:rFonts w:ascii="Arial" w:hAnsi="Arial"/>
              </w:rPr>
            </w:pPr>
            <w:r w:rsidRPr="00F87D7D">
              <w:rPr>
                <w:rFonts w:ascii="Arial" w:hAnsi="Arial"/>
              </w:rPr>
              <w:t>7</w:t>
            </w:r>
          </w:p>
        </w:tc>
        <w:tc>
          <w:tcPr>
            <w:tcW w:w="8028" w:type="dxa"/>
          </w:tcPr>
          <w:p w:rsidR="0042090D" w:rsidRPr="00F87D7D" w:rsidRDefault="00701122" w:rsidP="0042090D">
            <w:pPr>
              <w:rPr>
                <w:rFonts w:ascii="Arial" w:hAnsi="Arial"/>
              </w:rPr>
            </w:pPr>
            <w:r w:rsidRPr="00F87D7D">
              <w:rPr>
                <w:rFonts w:ascii="Arial" w:hAnsi="Arial"/>
              </w:rPr>
              <w:t>05/2017 corrected SAR7 report received 07/07/2017.</w:t>
            </w:r>
          </w:p>
        </w:tc>
      </w:tr>
      <w:tr w:rsidR="00701122" w:rsidTr="00B429DE">
        <w:trPr>
          <w:cantSplit/>
          <w:trHeight w:val="257"/>
          <w:jc w:val="center"/>
        </w:trPr>
        <w:tc>
          <w:tcPr>
            <w:tcW w:w="1008" w:type="dxa"/>
            <w:vAlign w:val="center"/>
          </w:tcPr>
          <w:p w:rsidR="00701122" w:rsidRPr="00F87D7D" w:rsidRDefault="00701122" w:rsidP="00281D0E">
            <w:pPr>
              <w:jc w:val="center"/>
              <w:rPr>
                <w:rFonts w:ascii="Arial" w:hAnsi="Arial"/>
              </w:rPr>
            </w:pPr>
            <w:r w:rsidRPr="00F87D7D">
              <w:rPr>
                <w:rFonts w:ascii="Arial" w:hAnsi="Arial"/>
              </w:rPr>
              <w:t>8</w:t>
            </w:r>
          </w:p>
        </w:tc>
        <w:tc>
          <w:tcPr>
            <w:tcW w:w="8028" w:type="dxa"/>
          </w:tcPr>
          <w:p w:rsidR="00701122" w:rsidRPr="00F87D7D" w:rsidRDefault="00701122" w:rsidP="0042090D">
            <w:pPr>
              <w:rPr>
                <w:rFonts w:ascii="Arial" w:hAnsi="Arial"/>
              </w:rPr>
            </w:pPr>
            <w:r w:rsidRPr="00F87D7D">
              <w:rPr>
                <w:rFonts w:ascii="Arial" w:hAnsi="Arial"/>
              </w:rPr>
              <w:t xml:space="preserve">10/30/2017 Journal notation by EW </w:t>
            </w:r>
            <w:r w:rsidRPr="00D9086D">
              <w:rPr>
                <w:rFonts w:ascii="Arial" w:hAnsi="Arial"/>
                <w:highlight w:val="black"/>
              </w:rPr>
              <w:t>Fine</w:t>
            </w:r>
            <w:r w:rsidRPr="00F87D7D">
              <w:rPr>
                <w:rFonts w:ascii="Arial" w:hAnsi="Arial"/>
              </w:rPr>
              <w:t xml:space="preserve"> in</w:t>
            </w:r>
            <w:r w:rsidR="00DB7BB1" w:rsidRPr="00F87D7D">
              <w:rPr>
                <w:rFonts w:ascii="Arial" w:hAnsi="Arial"/>
              </w:rPr>
              <w:t xml:space="preserve"> </w:t>
            </w:r>
            <w:r w:rsidRPr="00F87D7D">
              <w:rPr>
                <w:rFonts w:ascii="Arial" w:hAnsi="Arial"/>
              </w:rPr>
              <w:t xml:space="preserve">regards to discussing employment with </w:t>
            </w:r>
            <w:r w:rsidRPr="00D9086D">
              <w:rPr>
                <w:rFonts w:ascii="Arial" w:hAnsi="Arial"/>
                <w:highlight w:val="black"/>
              </w:rPr>
              <w:t>Applebee’s</w:t>
            </w:r>
            <w:r w:rsidRPr="00F87D7D">
              <w:rPr>
                <w:rFonts w:ascii="Arial" w:hAnsi="Arial"/>
              </w:rPr>
              <w:t xml:space="preserve"> with respondent.</w:t>
            </w:r>
          </w:p>
        </w:tc>
      </w:tr>
      <w:tr w:rsidR="00701122" w:rsidTr="00B429DE">
        <w:trPr>
          <w:cantSplit/>
          <w:trHeight w:val="257"/>
          <w:jc w:val="center"/>
        </w:trPr>
        <w:tc>
          <w:tcPr>
            <w:tcW w:w="1008" w:type="dxa"/>
            <w:vAlign w:val="center"/>
          </w:tcPr>
          <w:p w:rsidR="00701122" w:rsidRPr="00F87D7D" w:rsidRDefault="00701122" w:rsidP="00281D0E">
            <w:pPr>
              <w:jc w:val="center"/>
              <w:rPr>
                <w:rFonts w:ascii="Arial" w:hAnsi="Arial"/>
              </w:rPr>
            </w:pPr>
            <w:r w:rsidRPr="00F87D7D">
              <w:rPr>
                <w:rFonts w:ascii="Arial" w:hAnsi="Arial"/>
              </w:rPr>
              <w:t>9</w:t>
            </w:r>
          </w:p>
        </w:tc>
        <w:tc>
          <w:tcPr>
            <w:tcW w:w="8028" w:type="dxa"/>
          </w:tcPr>
          <w:p w:rsidR="00701122" w:rsidRPr="00F87D7D" w:rsidRDefault="00701122" w:rsidP="00DB7BB1">
            <w:pPr>
              <w:rPr>
                <w:rFonts w:ascii="Arial" w:hAnsi="Arial"/>
              </w:rPr>
            </w:pPr>
            <w:r w:rsidRPr="00F87D7D">
              <w:rPr>
                <w:rFonts w:ascii="Arial" w:hAnsi="Arial"/>
              </w:rPr>
              <w:t xml:space="preserve">Final </w:t>
            </w:r>
            <w:r w:rsidR="00DB7BB1" w:rsidRPr="00F87D7D">
              <w:rPr>
                <w:rFonts w:ascii="Arial" w:hAnsi="Arial"/>
              </w:rPr>
              <w:t>wage stub</w:t>
            </w:r>
            <w:r w:rsidRPr="00F87D7D">
              <w:rPr>
                <w:rFonts w:ascii="Arial" w:hAnsi="Arial"/>
              </w:rPr>
              <w:t xml:space="preserve"> and termination letter and journal entry by EW </w:t>
            </w:r>
            <w:r w:rsidRPr="00D9086D">
              <w:rPr>
                <w:rFonts w:ascii="Arial" w:hAnsi="Arial"/>
                <w:highlight w:val="black"/>
              </w:rPr>
              <w:t>Fine</w:t>
            </w:r>
            <w:r w:rsidRPr="00F87D7D">
              <w:rPr>
                <w:rFonts w:ascii="Arial" w:hAnsi="Arial"/>
              </w:rPr>
              <w:t xml:space="preserve"> in regards to employment with </w:t>
            </w:r>
            <w:r w:rsidRPr="00D9086D">
              <w:rPr>
                <w:rFonts w:ascii="Arial" w:hAnsi="Arial"/>
                <w:highlight w:val="black"/>
              </w:rPr>
              <w:t>Applebee’s</w:t>
            </w:r>
            <w:r w:rsidRPr="00F87D7D">
              <w:rPr>
                <w:rFonts w:ascii="Arial" w:hAnsi="Arial"/>
              </w:rPr>
              <w:t xml:space="preserve"> received </w:t>
            </w:r>
            <w:r w:rsidR="00DB7BB1" w:rsidRPr="00F87D7D">
              <w:rPr>
                <w:rFonts w:ascii="Arial" w:hAnsi="Arial"/>
              </w:rPr>
              <w:t>01/11/2018</w:t>
            </w:r>
            <w:r w:rsidRPr="00F87D7D">
              <w:rPr>
                <w:rFonts w:ascii="Arial" w:hAnsi="Arial"/>
              </w:rPr>
              <w:t>.</w:t>
            </w:r>
          </w:p>
        </w:tc>
      </w:tr>
      <w:tr w:rsidR="00DB7BB1" w:rsidTr="00B429DE">
        <w:trPr>
          <w:cantSplit/>
          <w:trHeight w:val="257"/>
          <w:jc w:val="center"/>
        </w:trPr>
        <w:tc>
          <w:tcPr>
            <w:tcW w:w="1008" w:type="dxa"/>
            <w:vAlign w:val="center"/>
          </w:tcPr>
          <w:p w:rsidR="00DB7BB1" w:rsidRPr="00F87D7D" w:rsidRDefault="00DB7BB1" w:rsidP="00281D0E">
            <w:pPr>
              <w:jc w:val="center"/>
              <w:rPr>
                <w:rFonts w:ascii="Arial" w:hAnsi="Arial"/>
              </w:rPr>
            </w:pPr>
            <w:r w:rsidRPr="00F87D7D">
              <w:rPr>
                <w:rFonts w:ascii="Arial" w:hAnsi="Arial"/>
              </w:rPr>
              <w:t>10</w:t>
            </w:r>
          </w:p>
        </w:tc>
        <w:tc>
          <w:tcPr>
            <w:tcW w:w="8028" w:type="dxa"/>
          </w:tcPr>
          <w:p w:rsidR="00DB7BB1" w:rsidRPr="00F87D7D" w:rsidRDefault="00DB7BB1" w:rsidP="00DB7BB1">
            <w:pPr>
              <w:rPr>
                <w:rFonts w:ascii="Arial" w:hAnsi="Arial"/>
              </w:rPr>
            </w:pPr>
            <w:r w:rsidRPr="00F87D7D">
              <w:rPr>
                <w:rFonts w:ascii="Arial" w:hAnsi="Arial"/>
              </w:rPr>
              <w:t>SAWS 2 PLUS – Application Statement of Facts and acknowledgement of rights and responsibilities. Completed, signed and dated 12/05/2016.</w:t>
            </w:r>
          </w:p>
        </w:tc>
      </w:tr>
      <w:tr w:rsidR="00701122" w:rsidTr="00B429DE">
        <w:trPr>
          <w:cantSplit/>
          <w:trHeight w:val="257"/>
          <w:jc w:val="center"/>
        </w:trPr>
        <w:tc>
          <w:tcPr>
            <w:tcW w:w="1008" w:type="dxa"/>
            <w:vAlign w:val="center"/>
          </w:tcPr>
          <w:p w:rsidR="00701122" w:rsidRPr="00F87D7D" w:rsidRDefault="00F87D7D" w:rsidP="00281D0E">
            <w:pPr>
              <w:jc w:val="center"/>
              <w:rPr>
                <w:rFonts w:ascii="Arial" w:hAnsi="Arial"/>
              </w:rPr>
            </w:pPr>
            <w:r>
              <w:rPr>
                <w:rFonts w:ascii="Arial" w:hAnsi="Arial"/>
              </w:rPr>
              <w:t>11</w:t>
            </w:r>
          </w:p>
        </w:tc>
        <w:tc>
          <w:tcPr>
            <w:tcW w:w="8028" w:type="dxa"/>
          </w:tcPr>
          <w:p w:rsidR="00701122" w:rsidRPr="00F87D7D" w:rsidRDefault="00701122" w:rsidP="0042090D">
            <w:pPr>
              <w:rPr>
                <w:rFonts w:ascii="Arial" w:hAnsi="Arial"/>
              </w:rPr>
            </w:pPr>
            <w:r w:rsidRPr="00F87D7D">
              <w:rPr>
                <w:rFonts w:ascii="Arial" w:hAnsi="Arial"/>
              </w:rPr>
              <w:t>Rights and Responsibilities (SAWS 2A) signature</w:t>
            </w:r>
            <w:r w:rsidR="00DB7BB1" w:rsidRPr="00F87D7D">
              <w:rPr>
                <w:rFonts w:ascii="Arial" w:hAnsi="Arial"/>
              </w:rPr>
              <w:t xml:space="preserve"> page signed &amp; dated </w:t>
            </w:r>
            <w:r w:rsidRPr="00F87D7D">
              <w:rPr>
                <w:rFonts w:ascii="Arial" w:hAnsi="Arial"/>
              </w:rPr>
              <w:t>12/05/2016.</w:t>
            </w:r>
          </w:p>
        </w:tc>
      </w:tr>
      <w:tr w:rsidR="00701122" w:rsidTr="00F87D7D">
        <w:trPr>
          <w:cantSplit/>
          <w:trHeight w:val="287"/>
          <w:jc w:val="center"/>
        </w:trPr>
        <w:tc>
          <w:tcPr>
            <w:tcW w:w="1008" w:type="dxa"/>
            <w:vAlign w:val="center"/>
          </w:tcPr>
          <w:p w:rsidR="00701122" w:rsidRPr="00F87D7D" w:rsidRDefault="00F87D7D" w:rsidP="00281D0E">
            <w:pPr>
              <w:jc w:val="center"/>
              <w:rPr>
                <w:rFonts w:ascii="Arial" w:hAnsi="Arial"/>
              </w:rPr>
            </w:pPr>
            <w:r>
              <w:rPr>
                <w:rFonts w:ascii="Arial" w:hAnsi="Arial"/>
              </w:rPr>
              <w:t>12</w:t>
            </w:r>
          </w:p>
        </w:tc>
        <w:tc>
          <w:tcPr>
            <w:tcW w:w="8028" w:type="dxa"/>
          </w:tcPr>
          <w:p w:rsidR="00701122" w:rsidRDefault="00F87D7D" w:rsidP="0042090D">
            <w:pPr>
              <w:rPr>
                <w:rFonts w:ascii="Arial" w:hAnsi="Arial"/>
                <w:sz w:val="22"/>
              </w:rPr>
            </w:pPr>
            <w:r>
              <w:rPr>
                <w:rFonts w:ascii="Arial" w:hAnsi="Arial"/>
              </w:rPr>
              <w:t>Notices of Action – Reporting changes for Cash Aid and CalFresh, IRT notices.</w:t>
            </w:r>
          </w:p>
        </w:tc>
      </w:tr>
      <w:tr w:rsidR="00F87D7D" w:rsidTr="00F87D7D">
        <w:trPr>
          <w:cantSplit/>
          <w:trHeight w:val="287"/>
          <w:jc w:val="center"/>
        </w:trPr>
        <w:tc>
          <w:tcPr>
            <w:tcW w:w="1008" w:type="dxa"/>
            <w:vAlign w:val="center"/>
          </w:tcPr>
          <w:p w:rsidR="00F87D7D" w:rsidRDefault="00F87D7D" w:rsidP="00281D0E">
            <w:pPr>
              <w:jc w:val="center"/>
              <w:rPr>
                <w:rFonts w:ascii="Arial" w:hAnsi="Arial"/>
              </w:rPr>
            </w:pPr>
            <w:r>
              <w:rPr>
                <w:rFonts w:ascii="Arial" w:hAnsi="Arial"/>
              </w:rPr>
              <w:t>13</w:t>
            </w:r>
          </w:p>
        </w:tc>
        <w:tc>
          <w:tcPr>
            <w:tcW w:w="8028" w:type="dxa"/>
          </w:tcPr>
          <w:p w:rsidR="00F87D7D" w:rsidRDefault="00F87D7D" w:rsidP="0042090D">
            <w:pPr>
              <w:rPr>
                <w:rFonts w:ascii="Arial" w:hAnsi="Arial"/>
              </w:rPr>
            </w:pPr>
            <w:r>
              <w:rPr>
                <w:rFonts w:ascii="Arial" w:hAnsi="Arial"/>
              </w:rPr>
              <w:t>SAR7/SAR2 directions for completing SAR7, what must be reported and penalties for not reporting completely.</w:t>
            </w:r>
          </w:p>
        </w:tc>
      </w:tr>
      <w:tr w:rsidR="00F87D7D" w:rsidTr="00F87D7D">
        <w:trPr>
          <w:cantSplit/>
          <w:trHeight w:val="287"/>
          <w:jc w:val="center"/>
        </w:trPr>
        <w:tc>
          <w:tcPr>
            <w:tcW w:w="1008" w:type="dxa"/>
            <w:vAlign w:val="center"/>
          </w:tcPr>
          <w:p w:rsidR="00F87D7D" w:rsidRDefault="00F87D7D" w:rsidP="00281D0E">
            <w:pPr>
              <w:jc w:val="center"/>
              <w:rPr>
                <w:rFonts w:ascii="Arial" w:hAnsi="Arial"/>
              </w:rPr>
            </w:pPr>
            <w:r>
              <w:rPr>
                <w:rFonts w:ascii="Arial" w:hAnsi="Arial"/>
              </w:rPr>
              <w:t>14</w:t>
            </w:r>
          </w:p>
        </w:tc>
        <w:tc>
          <w:tcPr>
            <w:tcW w:w="8028" w:type="dxa"/>
          </w:tcPr>
          <w:p w:rsidR="00F87D7D" w:rsidRDefault="00F87D7D" w:rsidP="0042090D">
            <w:pPr>
              <w:rPr>
                <w:rFonts w:ascii="Arial" w:hAnsi="Arial"/>
              </w:rPr>
            </w:pPr>
            <w:r>
              <w:rPr>
                <w:rFonts w:ascii="Arial" w:hAnsi="Arial"/>
              </w:rPr>
              <w:t>C-IV CalWORKs over payment summary.</w:t>
            </w:r>
          </w:p>
        </w:tc>
      </w:tr>
      <w:tr w:rsidR="00F87D7D" w:rsidTr="00F87D7D">
        <w:trPr>
          <w:cantSplit/>
          <w:trHeight w:val="287"/>
          <w:jc w:val="center"/>
        </w:trPr>
        <w:tc>
          <w:tcPr>
            <w:tcW w:w="1008" w:type="dxa"/>
            <w:vAlign w:val="center"/>
          </w:tcPr>
          <w:p w:rsidR="00F87D7D" w:rsidRDefault="00F87D7D" w:rsidP="00281D0E">
            <w:pPr>
              <w:jc w:val="center"/>
              <w:rPr>
                <w:rFonts w:ascii="Arial" w:hAnsi="Arial"/>
              </w:rPr>
            </w:pPr>
            <w:r>
              <w:rPr>
                <w:rFonts w:ascii="Arial" w:hAnsi="Arial"/>
              </w:rPr>
              <w:t>15</w:t>
            </w:r>
          </w:p>
        </w:tc>
        <w:tc>
          <w:tcPr>
            <w:tcW w:w="8028" w:type="dxa"/>
          </w:tcPr>
          <w:p w:rsidR="00F87D7D" w:rsidRDefault="00F87D7D" w:rsidP="0042090D">
            <w:pPr>
              <w:rPr>
                <w:rFonts w:ascii="Arial" w:hAnsi="Arial"/>
              </w:rPr>
            </w:pPr>
            <w:r w:rsidRPr="0037257A">
              <w:rPr>
                <w:rFonts w:ascii="Arial" w:hAnsi="Arial"/>
              </w:rPr>
              <w:t>C-IV CalFresh over issuance summary.</w:t>
            </w:r>
          </w:p>
        </w:tc>
      </w:tr>
    </w:tbl>
    <w:p w:rsidR="00DE2707" w:rsidRDefault="00DE2707" w:rsidP="00DE2707">
      <w:pPr>
        <w:ind w:left="-270"/>
        <w:rPr>
          <w:rFonts w:ascii="Arial" w:hAnsi="Arial"/>
          <w:b/>
          <w:sz w:val="22"/>
        </w:rPr>
      </w:pPr>
    </w:p>
    <w:p w:rsidR="005669F0" w:rsidRDefault="005669F0" w:rsidP="00DE2707">
      <w:pPr>
        <w:ind w:left="-270"/>
        <w:rPr>
          <w:rFonts w:ascii="Arial" w:hAnsi="Arial"/>
          <w:b/>
          <w:sz w:val="22"/>
        </w:rPr>
      </w:pPr>
    </w:p>
    <w:p w:rsidR="00701122" w:rsidRDefault="00701122" w:rsidP="00DE2707">
      <w:pPr>
        <w:ind w:left="-270"/>
        <w:rPr>
          <w:rFonts w:ascii="Arial" w:hAnsi="Arial"/>
          <w:b/>
          <w:sz w:val="22"/>
        </w:rPr>
      </w:pPr>
    </w:p>
    <w:p w:rsidR="00701122" w:rsidRDefault="00701122" w:rsidP="00DE2707">
      <w:pPr>
        <w:ind w:left="-270"/>
        <w:rPr>
          <w:rFonts w:ascii="Arial" w:hAnsi="Arial"/>
          <w:b/>
          <w:sz w:val="22"/>
        </w:rPr>
      </w:pPr>
    </w:p>
    <w:p w:rsidR="00701122" w:rsidRDefault="00701122" w:rsidP="00DE2707">
      <w:pPr>
        <w:ind w:left="-270"/>
        <w:rPr>
          <w:rFonts w:ascii="Arial" w:hAnsi="Arial"/>
          <w:b/>
          <w:sz w:val="22"/>
        </w:rPr>
      </w:pPr>
    </w:p>
    <w:p w:rsidR="00701122" w:rsidRDefault="00701122" w:rsidP="00DE2707">
      <w:pPr>
        <w:ind w:left="-270"/>
        <w:rPr>
          <w:rFonts w:ascii="Arial" w:hAnsi="Arial"/>
          <w:b/>
          <w:sz w:val="22"/>
        </w:rPr>
      </w:pPr>
    </w:p>
    <w:p w:rsidR="00701122" w:rsidRDefault="00701122" w:rsidP="00DE2707">
      <w:pPr>
        <w:ind w:left="-270"/>
        <w:rPr>
          <w:rFonts w:ascii="Arial" w:hAnsi="Arial"/>
          <w:b/>
          <w:sz w:val="22"/>
        </w:rPr>
      </w:pPr>
    </w:p>
    <w:p w:rsidR="00DE2707" w:rsidRDefault="00DE2707" w:rsidP="00DE2707">
      <w:pPr>
        <w:rPr>
          <w:rFonts w:ascii="Arial" w:hAnsi="Arial"/>
        </w:rPr>
      </w:pPr>
    </w:p>
    <w:p w:rsidR="00281D0E" w:rsidRDefault="00281D0E" w:rsidP="00281D0E">
      <w:pPr>
        <w:pStyle w:val="BodyTextIndent"/>
        <w:ind w:left="-90"/>
        <w:rPr>
          <w:sz w:val="22"/>
        </w:rPr>
      </w:pPr>
    </w:p>
    <w:p w:rsidR="00281D0E" w:rsidRPr="0086322C" w:rsidRDefault="00DE2707" w:rsidP="00281D0E">
      <w:pPr>
        <w:pStyle w:val="BodyTextIndent"/>
        <w:ind w:left="-90"/>
        <w:rPr>
          <w:i/>
          <w:sz w:val="22"/>
        </w:rPr>
      </w:pPr>
      <w:r w:rsidRPr="0086322C">
        <w:rPr>
          <w:i/>
          <w:sz w:val="22"/>
        </w:rPr>
        <w:t xml:space="preserve">I certify that the above information is true and correct and establishes the basis of an Intentional Program Violation. </w:t>
      </w:r>
    </w:p>
    <w:p w:rsidR="00F1767A" w:rsidRDefault="00F1767A" w:rsidP="00F1767A">
      <w:pPr>
        <w:pStyle w:val="BodyTextIndent"/>
        <w:ind w:left="-90"/>
        <w:rPr>
          <w:sz w:val="22"/>
        </w:rPr>
      </w:pPr>
    </w:p>
    <w:p w:rsidR="00DE2707" w:rsidRPr="0086322C" w:rsidRDefault="00DE2707" w:rsidP="00F1767A">
      <w:pPr>
        <w:pStyle w:val="BodyTextIndent"/>
        <w:ind w:left="-90"/>
        <w:rPr>
          <w:i/>
          <w:sz w:val="22"/>
        </w:rPr>
      </w:pPr>
      <w:r w:rsidRPr="0086322C">
        <w:rPr>
          <w:i/>
          <w:sz w:val="22"/>
        </w:rPr>
        <w:t>Sa</w:t>
      </w:r>
      <w:r w:rsidR="00267CA5" w:rsidRPr="0086322C">
        <w:rPr>
          <w:i/>
          <w:sz w:val="22"/>
        </w:rPr>
        <w:t>n Joaquin</w:t>
      </w:r>
      <w:r w:rsidRPr="0086322C">
        <w:rPr>
          <w:i/>
          <w:sz w:val="22"/>
        </w:rPr>
        <w:t xml:space="preserve"> County waives any procedural defects, which may result from proceeding with the hearing in the absence of a Sa</w:t>
      </w:r>
      <w:r w:rsidR="00267CA5" w:rsidRPr="0086322C">
        <w:rPr>
          <w:i/>
          <w:sz w:val="22"/>
        </w:rPr>
        <w:t>n Joaquin</w:t>
      </w:r>
      <w:r w:rsidRPr="0086322C">
        <w:rPr>
          <w:i/>
          <w:sz w:val="22"/>
        </w:rPr>
        <w:t xml:space="preserve"> County Representative.</w:t>
      </w:r>
    </w:p>
    <w:p w:rsidR="00DE2707" w:rsidRPr="0086322C" w:rsidRDefault="00DE2707" w:rsidP="00DE2707">
      <w:pPr>
        <w:pStyle w:val="BodyTextIndent"/>
        <w:ind w:left="-90"/>
        <w:rPr>
          <w:i/>
          <w:sz w:val="22"/>
        </w:rPr>
      </w:pPr>
    </w:p>
    <w:p w:rsidR="00DE2707" w:rsidRPr="0086322C" w:rsidRDefault="00DE2707" w:rsidP="00DE2707">
      <w:pPr>
        <w:pStyle w:val="BodyTextIndent"/>
        <w:ind w:left="-90"/>
        <w:rPr>
          <w:i/>
          <w:sz w:val="22"/>
        </w:rPr>
      </w:pPr>
      <w:r w:rsidRPr="0086322C">
        <w:rPr>
          <w:i/>
          <w:sz w:val="22"/>
        </w:rPr>
        <w:t>The Foregoing statement is submitted under penalty of perjury.</w:t>
      </w:r>
    </w:p>
    <w:p w:rsidR="00DE2707" w:rsidRDefault="00DE2707" w:rsidP="00DE2707">
      <w:pPr>
        <w:rPr>
          <w:rFonts w:ascii="Arial" w:hAnsi="Arial"/>
        </w:rPr>
      </w:pPr>
    </w:p>
    <w:p w:rsidR="00DE2707" w:rsidRDefault="00DE2707" w:rsidP="00DE2707">
      <w:pPr>
        <w:pStyle w:val="Header"/>
        <w:rPr>
          <w:rFonts w:ascii="Arial" w:hAnsi="Arial"/>
        </w:rPr>
      </w:pPr>
    </w:p>
    <w:p w:rsidR="00DE2707" w:rsidRDefault="00DE2707" w:rsidP="00DE2707">
      <w:pPr>
        <w:pStyle w:val="Header"/>
        <w:rPr>
          <w:rFonts w:ascii="Arial" w:hAnsi="Arial"/>
        </w:rPr>
      </w:pPr>
    </w:p>
    <w:p w:rsidR="00DE2707" w:rsidRDefault="00DE2707" w:rsidP="00DE2707">
      <w:pPr>
        <w:pStyle w:val="Header"/>
        <w:rPr>
          <w:rFonts w:ascii="Arial" w:hAnsi="Arial"/>
        </w:rPr>
      </w:pPr>
    </w:p>
    <w:p w:rsidR="00DE2707" w:rsidRDefault="00DE2707" w:rsidP="00DE2707">
      <w:pPr>
        <w:pStyle w:val="Header"/>
        <w:rPr>
          <w:rFonts w:ascii="Arial" w:hAnsi="Arial"/>
        </w:rPr>
      </w:pPr>
    </w:p>
    <w:p w:rsidR="00DE2707" w:rsidRDefault="00DE2707" w:rsidP="00DE2707">
      <w:pPr>
        <w:pStyle w:val="Header"/>
        <w:rPr>
          <w:rFonts w:ascii="Arial" w:hAnsi="Arial"/>
        </w:rPr>
      </w:pPr>
    </w:p>
    <w:p w:rsidR="00DE2707" w:rsidRDefault="00DE2707" w:rsidP="00DE2707">
      <w:pPr>
        <w:pStyle w:val="Header"/>
        <w:rPr>
          <w:rFonts w:ascii="Arial" w:hAnsi="Arial"/>
        </w:rPr>
      </w:pPr>
    </w:p>
    <w:tbl>
      <w:tblPr>
        <w:tblW w:w="0" w:type="auto"/>
        <w:tblInd w:w="8" w:type="dxa"/>
        <w:tblLayout w:type="fixed"/>
        <w:tblCellMar>
          <w:left w:w="0" w:type="dxa"/>
          <w:right w:w="0" w:type="dxa"/>
        </w:tblCellMar>
        <w:tblLook w:val="0000" w:firstRow="0" w:lastRow="0" w:firstColumn="0" w:lastColumn="0" w:noHBand="0" w:noVBand="0"/>
      </w:tblPr>
      <w:tblGrid>
        <w:gridCol w:w="3258"/>
        <w:gridCol w:w="284"/>
        <w:gridCol w:w="2488"/>
        <w:gridCol w:w="818"/>
        <w:gridCol w:w="20"/>
        <w:gridCol w:w="1987"/>
      </w:tblGrid>
      <w:tr w:rsidR="00DE2707" w:rsidTr="00242F2D">
        <w:tc>
          <w:tcPr>
            <w:tcW w:w="3258" w:type="dxa"/>
            <w:tcBorders>
              <w:bottom w:val="single" w:sz="4" w:space="0" w:color="auto"/>
            </w:tcBorders>
          </w:tcPr>
          <w:p w:rsidR="00DE2707" w:rsidRDefault="00DE2707" w:rsidP="00BB4867">
            <w:pPr>
              <w:rPr>
                <w:rFonts w:ascii="Arial" w:hAnsi="Arial"/>
              </w:rPr>
            </w:pPr>
          </w:p>
        </w:tc>
        <w:tc>
          <w:tcPr>
            <w:tcW w:w="284" w:type="dxa"/>
          </w:tcPr>
          <w:p w:rsidR="00DE2707" w:rsidRDefault="00DE2707" w:rsidP="00BB4867">
            <w:pPr>
              <w:rPr>
                <w:rFonts w:ascii="Arial" w:hAnsi="Arial"/>
              </w:rPr>
            </w:pPr>
          </w:p>
        </w:tc>
        <w:tc>
          <w:tcPr>
            <w:tcW w:w="3306" w:type="dxa"/>
            <w:gridSpan w:val="2"/>
            <w:tcBorders>
              <w:bottom w:val="single" w:sz="4" w:space="0" w:color="auto"/>
            </w:tcBorders>
          </w:tcPr>
          <w:p w:rsidR="00DE2707" w:rsidRDefault="00DE2707" w:rsidP="00BB4867">
            <w:pPr>
              <w:rPr>
                <w:rFonts w:ascii="Arial" w:hAnsi="Arial"/>
                <w:b/>
                <w:sz w:val="18"/>
              </w:rPr>
            </w:pPr>
          </w:p>
          <w:p w:rsidR="00F87D7D" w:rsidRDefault="0086322C" w:rsidP="00BB4867">
            <w:pPr>
              <w:rPr>
                <w:rFonts w:ascii="Arial" w:hAnsi="Arial"/>
                <w:b/>
                <w:sz w:val="18"/>
              </w:rPr>
            </w:pPr>
            <w:r w:rsidRPr="00D9086D">
              <w:rPr>
                <w:rFonts w:ascii="Arial" w:hAnsi="Arial"/>
                <w:b/>
                <w:sz w:val="18"/>
                <w:highlight w:val="black"/>
              </w:rPr>
              <w:t>K.Griffith</w:t>
            </w:r>
          </w:p>
          <w:p w:rsidR="00C66653" w:rsidRDefault="0086322C" w:rsidP="00BB4867">
            <w:pPr>
              <w:rPr>
                <w:rFonts w:ascii="Arial" w:hAnsi="Arial"/>
                <w:b/>
                <w:sz w:val="18"/>
              </w:rPr>
            </w:pPr>
            <w:r>
              <w:rPr>
                <w:rFonts w:ascii="Arial" w:hAnsi="Arial"/>
                <w:b/>
                <w:sz w:val="18"/>
              </w:rPr>
              <w:t>Welfare Fraud Specialist</w:t>
            </w:r>
          </w:p>
        </w:tc>
        <w:tc>
          <w:tcPr>
            <w:tcW w:w="20" w:type="dxa"/>
          </w:tcPr>
          <w:p w:rsidR="00DE2707" w:rsidRDefault="00F87D7D" w:rsidP="00F87D7D">
            <w:pPr>
              <w:rPr>
                <w:rFonts w:ascii="Arial" w:hAnsi="Arial"/>
              </w:rPr>
            </w:pPr>
            <w:r>
              <w:rPr>
                <w:rFonts w:ascii="Arial" w:hAnsi="Arial"/>
              </w:rPr>
              <w:t>1</w:t>
            </w:r>
          </w:p>
        </w:tc>
        <w:tc>
          <w:tcPr>
            <w:tcW w:w="1987" w:type="dxa"/>
            <w:tcBorders>
              <w:bottom w:val="single" w:sz="4" w:space="0" w:color="auto"/>
            </w:tcBorders>
          </w:tcPr>
          <w:p w:rsidR="00F87D7D" w:rsidRDefault="00F87D7D" w:rsidP="00F87D7D">
            <w:pPr>
              <w:rPr>
                <w:rFonts w:ascii="Arial" w:hAnsi="Arial"/>
              </w:rPr>
            </w:pPr>
          </w:p>
          <w:p w:rsidR="00F87D7D" w:rsidRDefault="00F87D7D" w:rsidP="00F87D7D">
            <w:pPr>
              <w:rPr>
                <w:rFonts w:ascii="Arial" w:hAnsi="Arial"/>
              </w:rPr>
            </w:pPr>
          </w:p>
          <w:p w:rsidR="00DE2707" w:rsidRPr="00242F2D" w:rsidRDefault="00F87D7D" w:rsidP="00F87D7D">
            <w:pPr>
              <w:rPr>
                <w:rFonts w:ascii="Arial" w:hAnsi="Arial"/>
              </w:rPr>
            </w:pPr>
            <w:r>
              <w:rPr>
                <w:rFonts w:ascii="Arial" w:hAnsi="Arial"/>
              </w:rPr>
              <w:t>01/11/2019</w:t>
            </w:r>
          </w:p>
        </w:tc>
      </w:tr>
      <w:tr w:rsidR="00DE2707" w:rsidTr="0086322C">
        <w:trPr>
          <w:trHeight w:val="350"/>
        </w:trPr>
        <w:tc>
          <w:tcPr>
            <w:tcW w:w="3258" w:type="dxa"/>
          </w:tcPr>
          <w:p w:rsidR="00DE2707" w:rsidRPr="0086322C" w:rsidRDefault="00DE2707" w:rsidP="00BB4867">
            <w:pPr>
              <w:rPr>
                <w:rFonts w:ascii="Arial" w:hAnsi="Arial"/>
                <w:i/>
                <w:sz w:val="16"/>
              </w:rPr>
            </w:pPr>
            <w:r w:rsidRPr="0086322C">
              <w:rPr>
                <w:rFonts w:ascii="Arial" w:hAnsi="Arial"/>
                <w:i/>
                <w:sz w:val="16"/>
              </w:rPr>
              <w:t>Signature of Preparer</w:t>
            </w:r>
          </w:p>
        </w:tc>
        <w:tc>
          <w:tcPr>
            <w:tcW w:w="284" w:type="dxa"/>
          </w:tcPr>
          <w:p w:rsidR="00DE2707" w:rsidRDefault="00DE2707" w:rsidP="00BB4867">
            <w:pPr>
              <w:rPr>
                <w:rFonts w:ascii="Arial" w:hAnsi="Arial"/>
                <w:sz w:val="16"/>
              </w:rPr>
            </w:pPr>
          </w:p>
        </w:tc>
        <w:tc>
          <w:tcPr>
            <w:tcW w:w="3306" w:type="dxa"/>
            <w:gridSpan w:val="2"/>
          </w:tcPr>
          <w:p w:rsidR="00DE2707" w:rsidRPr="0086322C" w:rsidRDefault="00DE2707" w:rsidP="00BB4867">
            <w:pPr>
              <w:rPr>
                <w:rFonts w:ascii="Arial" w:hAnsi="Arial"/>
                <w:i/>
                <w:sz w:val="16"/>
              </w:rPr>
            </w:pPr>
            <w:r w:rsidRPr="0086322C">
              <w:rPr>
                <w:rFonts w:ascii="Arial" w:hAnsi="Arial"/>
                <w:i/>
                <w:sz w:val="16"/>
              </w:rPr>
              <w:t>Name of Preparer and Title</w:t>
            </w:r>
          </w:p>
        </w:tc>
        <w:tc>
          <w:tcPr>
            <w:tcW w:w="20" w:type="dxa"/>
          </w:tcPr>
          <w:p w:rsidR="00DE2707" w:rsidRPr="0086322C" w:rsidRDefault="00DE2707" w:rsidP="00F87D7D">
            <w:pPr>
              <w:rPr>
                <w:rFonts w:ascii="Arial" w:hAnsi="Arial"/>
                <w:i/>
                <w:sz w:val="16"/>
              </w:rPr>
            </w:pPr>
          </w:p>
        </w:tc>
        <w:tc>
          <w:tcPr>
            <w:tcW w:w="1987" w:type="dxa"/>
          </w:tcPr>
          <w:p w:rsidR="00DE2707" w:rsidRPr="0086322C" w:rsidRDefault="00DE2707" w:rsidP="00F87D7D">
            <w:pPr>
              <w:rPr>
                <w:rFonts w:ascii="Arial" w:hAnsi="Arial"/>
                <w:i/>
                <w:sz w:val="16"/>
              </w:rPr>
            </w:pPr>
            <w:r w:rsidRPr="0086322C">
              <w:rPr>
                <w:rFonts w:ascii="Arial" w:hAnsi="Arial"/>
                <w:i/>
                <w:sz w:val="16"/>
              </w:rPr>
              <w:t>Date</w:t>
            </w:r>
          </w:p>
        </w:tc>
      </w:tr>
      <w:tr w:rsidR="00DE2707" w:rsidTr="00242F2D">
        <w:tc>
          <w:tcPr>
            <w:tcW w:w="3258" w:type="dxa"/>
          </w:tcPr>
          <w:p w:rsidR="00DE2707" w:rsidRDefault="00DE2707" w:rsidP="00BB4867">
            <w:pPr>
              <w:rPr>
                <w:rFonts w:ascii="Arial" w:hAnsi="Arial"/>
              </w:rPr>
            </w:pPr>
          </w:p>
        </w:tc>
        <w:tc>
          <w:tcPr>
            <w:tcW w:w="284" w:type="dxa"/>
          </w:tcPr>
          <w:p w:rsidR="00DE2707" w:rsidRDefault="00DE2707" w:rsidP="00BB4867">
            <w:pPr>
              <w:rPr>
                <w:rFonts w:ascii="Arial" w:hAnsi="Arial"/>
              </w:rPr>
            </w:pPr>
          </w:p>
        </w:tc>
        <w:tc>
          <w:tcPr>
            <w:tcW w:w="3306" w:type="dxa"/>
            <w:gridSpan w:val="2"/>
          </w:tcPr>
          <w:p w:rsidR="00DE2707" w:rsidRDefault="00DE2707" w:rsidP="00BB4867">
            <w:pPr>
              <w:rPr>
                <w:rFonts w:ascii="Arial" w:hAnsi="Arial"/>
              </w:rPr>
            </w:pPr>
          </w:p>
        </w:tc>
        <w:tc>
          <w:tcPr>
            <w:tcW w:w="20" w:type="dxa"/>
          </w:tcPr>
          <w:p w:rsidR="00DE2707" w:rsidRDefault="00DE2707" w:rsidP="00BB4867">
            <w:pPr>
              <w:rPr>
                <w:rFonts w:ascii="Arial" w:hAnsi="Arial"/>
              </w:rPr>
            </w:pPr>
          </w:p>
        </w:tc>
        <w:tc>
          <w:tcPr>
            <w:tcW w:w="1987" w:type="dxa"/>
          </w:tcPr>
          <w:p w:rsidR="00DE2707" w:rsidRDefault="00DE2707" w:rsidP="00BB4867">
            <w:pPr>
              <w:rPr>
                <w:rFonts w:ascii="Arial" w:hAnsi="Arial"/>
              </w:rPr>
            </w:pPr>
          </w:p>
        </w:tc>
      </w:tr>
      <w:tr w:rsidR="00DE2707" w:rsidTr="00242F2D">
        <w:tc>
          <w:tcPr>
            <w:tcW w:w="3258" w:type="dxa"/>
            <w:tcBorders>
              <w:bottom w:val="single" w:sz="4" w:space="0" w:color="auto"/>
            </w:tcBorders>
          </w:tcPr>
          <w:p w:rsidR="00DE2707" w:rsidRDefault="00DE2707" w:rsidP="00BB4867">
            <w:pPr>
              <w:rPr>
                <w:rFonts w:ascii="Arial" w:hAnsi="Arial"/>
              </w:rPr>
            </w:pPr>
          </w:p>
        </w:tc>
        <w:tc>
          <w:tcPr>
            <w:tcW w:w="284" w:type="dxa"/>
          </w:tcPr>
          <w:p w:rsidR="00DE2707" w:rsidRDefault="00DE2707" w:rsidP="00BB4867">
            <w:pPr>
              <w:rPr>
                <w:rFonts w:ascii="Arial" w:hAnsi="Arial"/>
              </w:rPr>
            </w:pPr>
          </w:p>
        </w:tc>
        <w:tc>
          <w:tcPr>
            <w:tcW w:w="3306" w:type="dxa"/>
            <w:gridSpan w:val="2"/>
            <w:tcBorders>
              <w:bottom w:val="single" w:sz="4" w:space="0" w:color="auto"/>
            </w:tcBorders>
          </w:tcPr>
          <w:p w:rsidR="00C66653" w:rsidRDefault="0086322C" w:rsidP="00C66653">
            <w:pPr>
              <w:pStyle w:val="Heading5"/>
            </w:pPr>
            <w:r w:rsidRPr="00D9086D">
              <w:rPr>
                <w:highlight w:val="black"/>
              </w:rPr>
              <w:t>K.Maxwell</w:t>
            </w:r>
          </w:p>
          <w:p w:rsidR="00DE2707" w:rsidRDefault="00C66653" w:rsidP="00C66653">
            <w:pPr>
              <w:pStyle w:val="Heading5"/>
            </w:pPr>
            <w:r>
              <w:t>Program Manager</w:t>
            </w:r>
          </w:p>
        </w:tc>
        <w:tc>
          <w:tcPr>
            <w:tcW w:w="20" w:type="dxa"/>
          </w:tcPr>
          <w:p w:rsidR="00DE2707" w:rsidRDefault="00DE2707" w:rsidP="00BB4867">
            <w:pPr>
              <w:rPr>
                <w:rFonts w:ascii="Arial" w:hAnsi="Arial"/>
              </w:rPr>
            </w:pPr>
          </w:p>
        </w:tc>
        <w:tc>
          <w:tcPr>
            <w:tcW w:w="1987" w:type="dxa"/>
            <w:tcBorders>
              <w:bottom w:val="single" w:sz="4" w:space="0" w:color="auto"/>
            </w:tcBorders>
          </w:tcPr>
          <w:p w:rsidR="00F87D7D" w:rsidRDefault="00F87D7D" w:rsidP="00BB4867">
            <w:pPr>
              <w:rPr>
                <w:rFonts w:ascii="Arial" w:hAnsi="Arial"/>
              </w:rPr>
            </w:pPr>
          </w:p>
          <w:p w:rsidR="00DE2707" w:rsidRDefault="00F87D7D" w:rsidP="00BB4867">
            <w:pPr>
              <w:rPr>
                <w:rFonts w:ascii="Arial" w:hAnsi="Arial"/>
              </w:rPr>
            </w:pPr>
            <w:r>
              <w:rPr>
                <w:rFonts w:ascii="Arial" w:hAnsi="Arial"/>
              </w:rPr>
              <w:t>01/11/2019</w:t>
            </w:r>
          </w:p>
        </w:tc>
      </w:tr>
      <w:tr w:rsidR="00DE2707" w:rsidTr="00242F2D">
        <w:tc>
          <w:tcPr>
            <w:tcW w:w="3258" w:type="dxa"/>
          </w:tcPr>
          <w:p w:rsidR="00DE2707" w:rsidRPr="0086322C" w:rsidRDefault="00DE2707" w:rsidP="00BB4867">
            <w:pPr>
              <w:rPr>
                <w:rFonts w:ascii="Arial" w:hAnsi="Arial"/>
                <w:i/>
                <w:sz w:val="16"/>
              </w:rPr>
            </w:pPr>
            <w:r w:rsidRPr="0086322C">
              <w:rPr>
                <w:rFonts w:ascii="Arial" w:hAnsi="Arial"/>
                <w:i/>
                <w:sz w:val="16"/>
              </w:rPr>
              <w:t>Name of Reviewer</w:t>
            </w:r>
          </w:p>
        </w:tc>
        <w:tc>
          <w:tcPr>
            <w:tcW w:w="284" w:type="dxa"/>
          </w:tcPr>
          <w:p w:rsidR="00DE2707" w:rsidRDefault="00DE2707" w:rsidP="00BB4867">
            <w:pPr>
              <w:rPr>
                <w:rFonts w:ascii="Arial" w:hAnsi="Arial"/>
                <w:sz w:val="16"/>
              </w:rPr>
            </w:pPr>
          </w:p>
        </w:tc>
        <w:tc>
          <w:tcPr>
            <w:tcW w:w="3306" w:type="dxa"/>
            <w:gridSpan w:val="2"/>
          </w:tcPr>
          <w:p w:rsidR="00DE2707" w:rsidRPr="0086322C" w:rsidRDefault="00DE2707" w:rsidP="00BB4867">
            <w:pPr>
              <w:rPr>
                <w:rFonts w:ascii="Arial" w:hAnsi="Arial"/>
                <w:i/>
                <w:sz w:val="16"/>
              </w:rPr>
            </w:pPr>
            <w:r w:rsidRPr="0086322C">
              <w:rPr>
                <w:rFonts w:ascii="Arial" w:hAnsi="Arial"/>
                <w:i/>
                <w:sz w:val="16"/>
              </w:rPr>
              <w:t>Name of Reviewer and Title</w:t>
            </w:r>
          </w:p>
        </w:tc>
        <w:tc>
          <w:tcPr>
            <w:tcW w:w="20" w:type="dxa"/>
          </w:tcPr>
          <w:p w:rsidR="00DE2707" w:rsidRDefault="00DE2707" w:rsidP="00BB4867">
            <w:pPr>
              <w:rPr>
                <w:rFonts w:ascii="Arial" w:hAnsi="Arial"/>
                <w:sz w:val="16"/>
              </w:rPr>
            </w:pPr>
          </w:p>
        </w:tc>
        <w:tc>
          <w:tcPr>
            <w:tcW w:w="1987" w:type="dxa"/>
          </w:tcPr>
          <w:p w:rsidR="00DE2707" w:rsidRPr="0086322C" w:rsidRDefault="00DE2707" w:rsidP="00BB4867">
            <w:pPr>
              <w:rPr>
                <w:rFonts w:ascii="Arial" w:hAnsi="Arial"/>
                <w:i/>
                <w:sz w:val="16"/>
              </w:rPr>
            </w:pPr>
            <w:r w:rsidRPr="0086322C">
              <w:rPr>
                <w:rFonts w:ascii="Arial" w:hAnsi="Arial"/>
                <w:i/>
                <w:sz w:val="16"/>
              </w:rPr>
              <w:t>Date Reviewed</w:t>
            </w:r>
          </w:p>
        </w:tc>
      </w:tr>
      <w:tr w:rsidR="00DE2707" w:rsidTr="00242F2D">
        <w:tc>
          <w:tcPr>
            <w:tcW w:w="3258" w:type="dxa"/>
          </w:tcPr>
          <w:p w:rsidR="00DE2707" w:rsidRDefault="00DE2707" w:rsidP="00BB4867">
            <w:pPr>
              <w:rPr>
                <w:rFonts w:ascii="Arial" w:hAnsi="Arial"/>
              </w:rPr>
            </w:pPr>
          </w:p>
        </w:tc>
        <w:tc>
          <w:tcPr>
            <w:tcW w:w="284" w:type="dxa"/>
          </w:tcPr>
          <w:p w:rsidR="00DE2707" w:rsidRDefault="00DE2707" w:rsidP="00BB4867">
            <w:pPr>
              <w:rPr>
                <w:rFonts w:ascii="Arial" w:hAnsi="Arial"/>
              </w:rPr>
            </w:pPr>
          </w:p>
        </w:tc>
        <w:tc>
          <w:tcPr>
            <w:tcW w:w="3306" w:type="dxa"/>
            <w:gridSpan w:val="2"/>
          </w:tcPr>
          <w:p w:rsidR="00DE2707" w:rsidRDefault="00DE2707" w:rsidP="00BB4867">
            <w:pPr>
              <w:rPr>
                <w:rFonts w:ascii="Arial" w:hAnsi="Arial"/>
              </w:rPr>
            </w:pPr>
          </w:p>
        </w:tc>
        <w:tc>
          <w:tcPr>
            <w:tcW w:w="20" w:type="dxa"/>
          </w:tcPr>
          <w:p w:rsidR="00DE2707" w:rsidRDefault="00DE2707" w:rsidP="00BB4867">
            <w:pPr>
              <w:rPr>
                <w:rFonts w:ascii="Arial" w:hAnsi="Arial"/>
              </w:rPr>
            </w:pPr>
          </w:p>
        </w:tc>
        <w:tc>
          <w:tcPr>
            <w:tcW w:w="1987" w:type="dxa"/>
          </w:tcPr>
          <w:p w:rsidR="00DE2707" w:rsidRDefault="00DE2707" w:rsidP="00BB4867">
            <w:pPr>
              <w:rPr>
                <w:rFonts w:ascii="Arial" w:hAnsi="Arial"/>
              </w:rPr>
            </w:pPr>
          </w:p>
        </w:tc>
      </w:tr>
      <w:tr w:rsidR="00DE2707" w:rsidTr="00242F2D">
        <w:tc>
          <w:tcPr>
            <w:tcW w:w="3258" w:type="dxa"/>
            <w:tcBorders>
              <w:bottom w:val="single" w:sz="4" w:space="0" w:color="auto"/>
            </w:tcBorders>
          </w:tcPr>
          <w:p w:rsidR="00DE2707" w:rsidRDefault="00CD78BA" w:rsidP="00BB4867">
            <w:pPr>
              <w:pStyle w:val="Heading5"/>
            </w:pPr>
            <w:r w:rsidRPr="00D9086D">
              <w:rPr>
                <w:highlight w:val="black"/>
              </w:rPr>
              <w:t>K.Griffith</w:t>
            </w:r>
          </w:p>
        </w:tc>
        <w:tc>
          <w:tcPr>
            <w:tcW w:w="284" w:type="dxa"/>
          </w:tcPr>
          <w:p w:rsidR="00DE2707" w:rsidRDefault="00DE2707" w:rsidP="00BB4867">
            <w:pPr>
              <w:rPr>
                <w:rFonts w:ascii="Arial" w:hAnsi="Arial"/>
              </w:rPr>
            </w:pPr>
          </w:p>
        </w:tc>
        <w:tc>
          <w:tcPr>
            <w:tcW w:w="2488" w:type="dxa"/>
            <w:tcBorders>
              <w:bottom w:val="single" w:sz="4" w:space="0" w:color="auto"/>
            </w:tcBorders>
          </w:tcPr>
          <w:p w:rsidR="00DE2707" w:rsidRDefault="00C66653" w:rsidP="00CD78BA">
            <w:pPr>
              <w:rPr>
                <w:rFonts w:ascii="Arial" w:hAnsi="Arial"/>
                <w:b/>
                <w:sz w:val="18"/>
              </w:rPr>
            </w:pPr>
            <w:r w:rsidRPr="00D9086D">
              <w:rPr>
                <w:rFonts w:ascii="Arial" w:hAnsi="Arial"/>
                <w:b/>
                <w:sz w:val="18"/>
                <w:highlight w:val="black"/>
              </w:rPr>
              <w:t>(209) 468-1</w:t>
            </w:r>
            <w:r w:rsidR="00CD78BA" w:rsidRPr="00D9086D">
              <w:rPr>
                <w:rFonts w:ascii="Arial" w:hAnsi="Arial"/>
                <w:b/>
                <w:sz w:val="18"/>
                <w:highlight w:val="black"/>
              </w:rPr>
              <w:t>088</w:t>
            </w:r>
          </w:p>
        </w:tc>
        <w:tc>
          <w:tcPr>
            <w:tcW w:w="838" w:type="dxa"/>
            <w:gridSpan w:val="2"/>
          </w:tcPr>
          <w:p w:rsidR="00DE2707" w:rsidRDefault="00DE2707" w:rsidP="00BB4867">
            <w:pPr>
              <w:rPr>
                <w:rFonts w:ascii="Arial" w:hAnsi="Arial"/>
              </w:rPr>
            </w:pPr>
          </w:p>
        </w:tc>
        <w:tc>
          <w:tcPr>
            <w:tcW w:w="1987" w:type="dxa"/>
          </w:tcPr>
          <w:p w:rsidR="00DE2707" w:rsidRDefault="00DE2707" w:rsidP="00BB4867">
            <w:pPr>
              <w:rPr>
                <w:rFonts w:ascii="Arial" w:hAnsi="Arial"/>
              </w:rPr>
            </w:pPr>
          </w:p>
        </w:tc>
      </w:tr>
      <w:tr w:rsidR="00DE2707" w:rsidTr="00242F2D">
        <w:tc>
          <w:tcPr>
            <w:tcW w:w="3258" w:type="dxa"/>
          </w:tcPr>
          <w:p w:rsidR="00DE2707" w:rsidRPr="0086322C" w:rsidRDefault="00DE2707" w:rsidP="00BB4867">
            <w:pPr>
              <w:rPr>
                <w:rFonts w:ascii="Arial" w:hAnsi="Arial"/>
                <w:i/>
                <w:sz w:val="16"/>
              </w:rPr>
            </w:pPr>
            <w:r w:rsidRPr="0086322C">
              <w:rPr>
                <w:rFonts w:ascii="Arial" w:hAnsi="Arial"/>
                <w:i/>
                <w:sz w:val="16"/>
              </w:rPr>
              <w:t>IPV Hearing Contact Person</w:t>
            </w:r>
          </w:p>
        </w:tc>
        <w:tc>
          <w:tcPr>
            <w:tcW w:w="284" w:type="dxa"/>
          </w:tcPr>
          <w:p w:rsidR="00DE2707" w:rsidRDefault="00DE2707" w:rsidP="00BB4867">
            <w:pPr>
              <w:rPr>
                <w:rFonts w:ascii="Arial" w:hAnsi="Arial"/>
                <w:sz w:val="16"/>
              </w:rPr>
            </w:pPr>
          </w:p>
        </w:tc>
        <w:tc>
          <w:tcPr>
            <w:tcW w:w="3306" w:type="dxa"/>
            <w:gridSpan w:val="2"/>
          </w:tcPr>
          <w:p w:rsidR="00DE2707" w:rsidRPr="0086322C" w:rsidRDefault="00DE2707" w:rsidP="00BB4867">
            <w:pPr>
              <w:rPr>
                <w:rFonts w:ascii="Arial" w:hAnsi="Arial"/>
                <w:i/>
                <w:sz w:val="16"/>
              </w:rPr>
            </w:pPr>
            <w:r w:rsidRPr="0086322C">
              <w:rPr>
                <w:rFonts w:ascii="Arial" w:hAnsi="Arial"/>
                <w:i/>
                <w:sz w:val="16"/>
              </w:rPr>
              <w:t>Phone</w:t>
            </w:r>
          </w:p>
        </w:tc>
        <w:tc>
          <w:tcPr>
            <w:tcW w:w="20" w:type="dxa"/>
          </w:tcPr>
          <w:p w:rsidR="00DE2707" w:rsidRDefault="00DE2707" w:rsidP="00BB4867">
            <w:pPr>
              <w:rPr>
                <w:rFonts w:ascii="Arial" w:hAnsi="Arial"/>
                <w:sz w:val="16"/>
              </w:rPr>
            </w:pPr>
          </w:p>
        </w:tc>
        <w:tc>
          <w:tcPr>
            <w:tcW w:w="1987" w:type="dxa"/>
          </w:tcPr>
          <w:p w:rsidR="00DE2707" w:rsidRDefault="00DE2707" w:rsidP="00BB4867">
            <w:pPr>
              <w:rPr>
                <w:rFonts w:ascii="Arial" w:hAnsi="Arial"/>
                <w:sz w:val="16"/>
              </w:rPr>
            </w:pPr>
          </w:p>
        </w:tc>
      </w:tr>
      <w:tr w:rsidR="00DE2707" w:rsidTr="00242F2D">
        <w:tc>
          <w:tcPr>
            <w:tcW w:w="3258" w:type="dxa"/>
          </w:tcPr>
          <w:p w:rsidR="00DE2707" w:rsidRDefault="00DE2707" w:rsidP="00BB4867">
            <w:pPr>
              <w:rPr>
                <w:rFonts w:ascii="Arial" w:hAnsi="Arial"/>
              </w:rPr>
            </w:pPr>
          </w:p>
        </w:tc>
        <w:tc>
          <w:tcPr>
            <w:tcW w:w="284" w:type="dxa"/>
          </w:tcPr>
          <w:p w:rsidR="00DE2707" w:rsidRDefault="00DE2707" w:rsidP="00BB4867">
            <w:pPr>
              <w:rPr>
                <w:rFonts w:ascii="Arial" w:hAnsi="Arial"/>
              </w:rPr>
            </w:pPr>
          </w:p>
        </w:tc>
        <w:tc>
          <w:tcPr>
            <w:tcW w:w="3306" w:type="dxa"/>
            <w:gridSpan w:val="2"/>
          </w:tcPr>
          <w:p w:rsidR="00DE2707" w:rsidRDefault="00DE2707" w:rsidP="00BB4867">
            <w:pPr>
              <w:rPr>
                <w:rFonts w:ascii="Arial" w:hAnsi="Arial"/>
              </w:rPr>
            </w:pPr>
          </w:p>
        </w:tc>
        <w:tc>
          <w:tcPr>
            <w:tcW w:w="20" w:type="dxa"/>
          </w:tcPr>
          <w:p w:rsidR="00DE2707" w:rsidRDefault="00DE2707" w:rsidP="00BB4867">
            <w:pPr>
              <w:rPr>
                <w:rFonts w:ascii="Arial" w:hAnsi="Arial"/>
              </w:rPr>
            </w:pPr>
          </w:p>
        </w:tc>
        <w:tc>
          <w:tcPr>
            <w:tcW w:w="1987" w:type="dxa"/>
          </w:tcPr>
          <w:p w:rsidR="00DE2707" w:rsidRDefault="00DE2707" w:rsidP="00BB4867">
            <w:pPr>
              <w:rPr>
                <w:rFonts w:ascii="Arial" w:hAnsi="Arial"/>
              </w:rPr>
            </w:pPr>
          </w:p>
        </w:tc>
      </w:tr>
    </w:tbl>
    <w:p w:rsidR="00DE2707" w:rsidRDefault="00DE2707" w:rsidP="00DE2707">
      <w:pPr>
        <w:ind w:left="5040"/>
        <w:rPr>
          <w:rFonts w:ascii="Arial" w:hAnsi="Arial"/>
          <w:sz w:val="16"/>
        </w:rPr>
      </w:pPr>
    </w:p>
    <w:p w:rsidR="00DE2707" w:rsidRDefault="00DE2707" w:rsidP="00DE2707">
      <w:pPr>
        <w:ind w:left="5040"/>
        <w:rPr>
          <w:rFonts w:ascii="Arial" w:hAnsi="Arial"/>
          <w:sz w:val="16"/>
        </w:rPr>
      </w:pPr>
      <w:r>
        <w:rPr>
          <w:rFonts w:ascii="Arial" w:hAnsi="Arial"/>
          <w:sz w:val="16"/>
        </w:rPr>
        <w:t>Mail to:</w:t>
      </w:r>
      <w:r>
        <w:rPr>
          <w:rFonts w:ascii="Arial" w:hAnsi="Arial"/>
          <w:sz w:val="16"/>
        </w:rPr>
        <w:tab/>
        <w:t>California Department of Social Services</w:t>
      </w:r>
    </w:p>
    <w:p w:rsidR="00DE2707" w:rsidRDefault="00DE2707" w:rsidP="00DE2707">
      <w:pPr>
        <w:ind w:left="5760"/>
        <w:rPr>
          <w:rFonts w:ascii="Arial" w:hAnsi="Arial"/>
          <w:sz w:val="16"/>
        </w:rPr>
      </w:pPr>
      <w:r>
        <w:rPr>
          <w:rFonts w:ascii="Arial" w:hAnsi="Arial"/>
          <w:sz w:val="16"/>
        </w:rPr>
        <w:t>State Hearings Division</w:t>
      </w:r>
    </w:p>
    <w:p w:rsidR="00DE2707" w:rsidRDefault="00DE2707" w:rsidP="00DE2707">
      <w:pPr>
        <w:ind w:left="5760"/>
        <w:rPr>
          <w:rFonts w:ascii="Arial" w:hAnsi="Arial"/>
          <w:sz w:val="16"/>
        </w:rPr>
      </w:pPr>
      <w:r>
        <w:rPr>
          <w:rFonts w:ascii="Arial" w:hAnsi="Arial"/>
          <w:sz w:val="16"/>
        </w:rPr>
        <w:t xml:space="preserve">744 P Street, MS </w:t>
      </w:r>
      <w:r w:rsidR="0086322C">
        <w:rPr>
          <w:rFonts w:ascii="Arial" w:hAnsi="Arial"/>
          <w:sz w:val="16"/>
        </w:rPr>
        <w:t>9-16-36</w:t>
      </w:r>
    </w:p>
    <w:p w:rsidR="00DE2707" w:rsidRDefault="00DE2707" w:rsidP="00DE2707">
      <w:pPr>
        <w:ind w:left="5760"/>
        <w:rPr>
          <w:rFonts w:ascii="Arial" w:hAnsi="Arial"/>
        </w:rPr>
      </w:pPr>
      <w:r>
        <w:rPr>
          <w:rFonts w:ascii="Arial" w:hAnsi="Arial"/>
          <w:sz w:val="16"/>
        </w:rPr>
        <w:t>Sacramento, CA  95814</w:t>
      </w:r>
    </w:p>
    <w:p w:rsidR="00DE2707" w:rsidRDefault="00DE2707" w:rsidP="00DE2707">
      <w:pPr>
        <w:rPr>
          <w:rFonts w:ascii="Arial" w:hAnsi="Arial"/>
        </w:rPr>
      </w:pPr>
    </w:p>
    <w:p w:rsidR="00DE2707" w:rsidRDefault="00DE2707" w:rsidP="00DE2707">
      <w:pPr>
        <w:rPr>
          <w:rFonts w:ascii="Arial" w:hAnsi="Arial"/>
        </w:rPr>
      </w:pPr>
    </w:p>
    <w:p w:rsidR="00DE2707" w:rsidRDefault="00DE2707" w:rsidP="00DE2707">
      <w:pPr>
        <w:rPr>
          <w:rFonts w:ascii="Arial" w:hAnsi="Arial"/>
        </w:rPr>
      </w:pPr>
    </w:p>
    <w:p w:rsidR="00DE2707" w:rsidRDefault="00DE2707" w:rsidP="00DE2707">
      <w:pPr>
        <w:rPr>
          <w:rFonts w:ascii="Arial" w:hAnsi="Arial"/>
        </w:rPr>
      </w:pPr>
    </w:p>
    <w:p w:rsidR="00DE2707" w:rsidRDefault="00DE2707" w:rsidP="00DE2707">
      <w:pPr>
        <w:pStyle w:val="BodyTextIndent"/>
        <w:rPr>
          <w:sz w:val="16"/>
        </w:rPr>
      </w:pPr>
    </w:p>
    <w:p w:rsidR="00DE2707" w:rsidRDefault="00DE2707" w:rsidP="00DE2707">
      <w:pPr>
        <w:pStyle w:val="BodyTextIndent"/>
        <w:rPr>
          <w:sz w:val="16"/>
        </w:rPr>
      </w:pPr>
    </w:p>
    <w:p w:rsidR="00DE2707" w:rsidRDefault="00DE2707" w:rsidP="00DE2707">
      <w:pPr>
        <w:pStyle w:val="BodyTextIndent"/>
        <w:ind w:left="4050" w:firstLine="990"/>
        <w:rPr>
          <w:sz w:val="16"/>
        </w:rPr>
      </w:pPr>
      <w:r>
        <w:t xml:space="preserve">      </w:t>
      </w:r>
    </w:p>
    <w:p w:rsidR="00DE2707" w:rsidRDefault="00DE2707" w:rsidP="00DE2707">
      <w:pPr>
        <w:rPr>
          <w:rFonts w:ascii="Arial" w:hAnsi="Arial"/>
        </w:rPr>
      </w:pPr>
    </w:p>
    <w:p w:rsidR="00DE2707" w:rsidRDefault="00DE2707" w:rsidP="00DE2707"/>
    <w:p w:rsidR="006D1602" w:rsidRDefault="006D1602"/>
    <w:sectPr w:rsidR="006D1602" w:rsidSect="002B6971">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E7" w:rsidRDefault="00CE0BE7">
      <w:r>
        <w:separator/>
      </w:r>
    </w:p>
  </w:endnote>
  <w:endnote w:type="continuationSeparator" w:id="0">
    <w:p w:rsidR="00CE0BE7" w:rsidRDefault="00CE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141883"/>
      <w:docPartObj>
        <w:docPartGallery w:val="Page Numbers (Bottom of Page)"/>
        <w:docPartUnique/>
      </w:docPartObj>
    </w:sdtPr>
    <w:sdtEndPr/>
    <w:sdtContent>
      <w:sdt>
        <w:sdtPr>
          <w:id w:val="-2043819041"/>
          <w:docPartObj>
            <w:docPartGallery w:val="Page Numbers (Top of Page)"/>
            <w:docPartUnique/>
          </w:docPartObj>
        </w:sdtPr>
        <w:sdtEndPr/>
        <w:sdtContent>
          <w:p w:rsidR="00262A98" w:rsidRDefault="00262A98" w:rsidP="00262A98">
            <w:pPr>
              <w:pStyle w:val="Footer"/>
            </w:pPr>
            <w:r>
              <w:t>DPA 435 (1/18)</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D9086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086D">
              <w:rPr>
                <w:b/>
                <w:bCs/>
                <w:noProof/>
              </w:rPr>
              <w:t>8</w:t>
            </w:r>
            <w:r>
              <w:rPr>
                <w:b/>
                <w:bCs/>
                <w:sz w:val="24"/>
                <w:szCs w:val="24"/>
              </w:rPr>
              <w:fldChar w:fldCharType="end"/>
            </w:r>
          </w:p>
        </w:sdtContent>
      </w:sdt>
    </w:sdtContent>
  </w:sdt>
  <w:p w:rsidR="00CE0BE7" w:rsidRDefault="00CE0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157696"/>
      <w:docPartObj>
        <w:docPartGallery w:val="Page Numbers (Bottom of Page)"/>
        <w:docPartUnique/>
      </w:docPartObj>
    </w:sdtPr>
    <w:sdtEndPr/>
    <w:sdtContent>
      <w:sdt>
        <w:sdtPr>
          <w:id w:val="860082579"/>
          <w:docPartObj>
            <w:docPartGallery w:val="Page Numbers (Top of Page)"/>
            <w:docPartUnique/>
          </w:docPartObj>
        </w:sdtPr>
        <w:sdtEndPr/>
        <w:sdtContent>
          <w:p w:rsidR="00222474" w:rsidRDefault="00222474" w:rsidP="00222474">
            <w:pPr>
              <w:pStyle w:val="Footer"/>
            </w:pPr>
            <w:r>
              <w:t>DPA 435 (1/18)</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D9086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086D">
              <w:rPr>
                <w:b/>
                <w:bCs/>
                <w:noProof/>
              </w:rPr>
              <w:t>8</w:t>
            </w:r>
            <w:r>
              <w:rPr>
                <w:b/>
                <w:bCs/>
                <w:sz w:val="24"/>
                <w:szCs w:val="24"/>
              </w:rPr>
              <w:fldChar w:fldCharType="end"/>
            </w:r>
          </w:p>
        </w:sdtContent>
      </w:sdt>
    </w:sdtContent>
  </w:sdt>
  <w:p w:rsidR="00CE0BE7" w:rsidRDefault="00CE0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E7" w:rsidRDefault="00CE0BE7">
      <w:r>
        <w:separator/>
      </w:r>
    </w:p>
  </w:footnote>
  <w:footnote w:type="continuationSeparator" w:id="0">
    <w:p w:rsidR="00CE0BE7" w:rsidRDefault="00CE0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971" w:rsidRPr="002B6971" w:rsidRDefault="002B6971">
    <w:pPr>
      <w:pStyle w:val="Header"/>
      <w:rPr>
        <w:rFonts w:ascii="Arial" w:hAnsi="Arial" w:cs="Arial"/>
        <w:sz w:val="16"/>
        <w:szCs w:val="16"/>
      </w:rPr>
    </w:pPr>
    <w:r>
      <w:rPr>
        <w:rFonts w:ascii="Arial" w:hAnsi="Arial" w:cs="Arial"/>
        <w:sz w:val="16"/>
        <w:szCs w:val="16"/>
      </w:rPr>
      <w:t>State of California – Health and Human Services Agency</w:t>
    </w:r>
    <w:r>
      <w:rPr>
        <w:rFonts w:ascii="Arial" w:hAnsi="Arial" w:cs="Arial"/>
        <w:sz w:val="16"/>
        <w:szCs w:val="16"/>
      </w:rPr>
      <w:tab/>
    </w:r>
    <w:r>
      <w:rPr>
        <w:rFonts w:ascii="Arial" w:hAnsi="Arial" w:cs="Arial"/>
        <w:sz w:val="16"/>
        <w:szCs w:val="16"/>
      </w:rPr>
      <w:tab/>
      <w:t>California Department of Social Services</w:t>
    </w:r>
  </w:p>
  <w:p w:rsidR="00747D8A" w:rsidRDefault="00747D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428"/>
      <w:gridCol w:w="4428"/>
    </w:tblGrid>
    <w:tr w:rsidR="00CE0BE7" w:rsidTr="00BB4867">
      <w:tc>
        <w:tcPr>
          <w:tcW w:w="4428" w:type="dxa"/>
        </w:tcPr>
        <w:p w:rsidR="00CE0BE7" w:rsidRDefault="00CE0BE7" w:rsidP="00BB4867">
          <w:pPr>
            <w:pStyle w:val="Header"/>
            <w:rPr>
              <w:rFonts w:ascii="Arial" w:hAnsi="Arial"/>
              <w:sz w:val="16"/>
            </w:rPr>
          </w:pPr>
          <w:r>
            <w:rPr>
              <w:rFonts w:ascii="Arial" w:hAnsi="Arial"/>
              <w:sz w:val="16"/>
            </w:rPr>
            <w:t>State of California - Health and Human Services Agency</w:t>
          </w:r>
        </w:p>
      </w:tc>
      <w:tc>
        <w:tcPr>
          <w:tcW w:w="4428" w:type="dxa"/>
        </w:tcPr>
        <w:p w:rsidR="00CE0BE7" w:rsidRDefault="00CE0BE7" w:rsidP="00BB4867">
          <w:pPr>
            <w:pStyle w:val="Header"/>
            <w:jc w:val="right"/>
            <w:rPr>
              <w:rFonts w:ascii="Arial" w:hAnsi="Arial"/>
              <w:sz w:val="16"/>
            </w:rPr>
          </w:pPr>
          <w:r>
            <w:rPr>
              <w:rFonts w:ascii="Arial" w:hAnsi="Arial"/>
              <w:sz w:val="16"/>
            </w:rPr>
            <w:t>California Department of Social Services</w:t>
          </w:r>
        </w:p>
        <w:p w:rsidR="00CE0BE7" w:rsidRPr="00475397" w:rsidRDefault="00CE0BE7" w:rsidP="00BB4867">
          <w:pPr>
            <w:pStyle w:val="Header"/>
            <w:jc w:val="right"/>
            <w:rPr>
              <w:rFonts w:ascii="Arial" w:hAnsi="Arial"/>
            </w:rPr>
          </w:pPr>
        </w:p>
        <w:p w:rsidR="00CE0BE7" w:rsidRPr="00475397" w:rsidRDefault="00CE0BE7" w:rsidP="00BB4867">
          <w:pPr>
            <w:pStyle w:val="Header"/>
            <w:jc w:val="right"/>
            <w:rPr>
              <w:rFonts w:ascii="Arial" w:hAnsi="Arial"/>
            </w:rPr>
          </w:pPr>
        </w:p>
      </w:tc>
    </w:tr>
  </w:tbl>
  <w:p w:rsidR="00CE0BE7" w:rsidRDefault="00CE0BE7" w:rsidP="00747D8A">
    <w:pPr>
      <w:pStyle w:val="Title"/>
      <w:jc w:val="left"/>
    </w:pPr>
    <w:r>
      <w:t>County Allegation of</w:t>
    </w:r>
  </w:p>
  <w:p w:rsidR="00CE0BE7" w:rsidRDefault="00CE0BE7" w:rsidP="00747D8A">
    <w:pPr>
      <w:rPr>
        <w:rFonts w:ascii="Arial" w:hAnsi="Arial"/>
        <w:b/>
        <w:caps/>
        <w:sz w:val="22"/>
      </w:rPr>
    </w:pPr>
    <w:r>
      <w:rPr>
        <w:rFonts w:ascii="Arial" w:hAnsi="Arial"/>
        <w:b/>
        <w:caps/>
        <w:sz w:val="22"/>
      </w:rPr>
      <w:t xml:space="preserve">Intentional Program Violation </w:t>
    </w:r>
  </w:p>
  <w:p w:rsidR="00CE0BE7" w:rsidRDefault="00CE0BE7" w:rsidP="00747D8A">
    <w:pPr>
      <w:rPr>
        <w:rFonts w:ascii="Arial" w:hAnsi="Arial"/>
        <w:b/>
        <w:sz w:val="22"/>
      </w:rPr>
    </w:pPr>
    <w:r>
      <w:rPr>
        <w:rFonts w:ascii="Arial" w:hAnsi="Arial"/>
        <w:b/>
        <w:sz w:val="22"/>
      </w:rPr>
      <w:t>(Request for an Administrative Disqualification Hearing)</w:t>
    </w:r>
  </w:p>
  <w:p w:rsidR="002B6971" w:rsidRPr="00475397" w:rsidRDefault="002B6971" w:rsidP="00747D8A">
    <w:pPr>
      <w:rPr>
        <w:rFonts w:ascii="Arial" w:hAnsi="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DC4"/>
    <w:multiLevelType w:val="hybridMultilevel"/>
    <w:tmpl w:val="5418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11045"/>
    <w:multiLevelType w:val="hybridMultilevel"/>
    <w:tmpl w:val="10363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916A5"/>
    <w:multiLevelType w:val="singleLevel"/>
    <w:tmpl w:val="04090015"/>
    <w:lvl w:ilvl="0">
      <w:start w:val="1"/>
      <w:numFmt w:val="upperLetter"/>
      <w:lvlText w:val="%1."/>
      <w:lvlJc w:val="left"/>
      <w:pPr>
        <w:tabs>
          <w:tab w:val="num" w:pos="360"/>
        </w:tabs>
        <w:ind w:left="360" w:hanging="360"/>
      </w:pPr>
    </w:lvl>
  </w:abstractNum>
  <w:abstractNum w:abstractNumId="3">
    <w:nsid w:val="10CB6032"/>
    <w:multiLevelType w:val="hybridMultilevel"/>
    <w:tmpl w:val="63E2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54542"/>
    <w:multiLevelType w:val="hybridMultilevel"/>
    <w:tmpl w:val="7D3E5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8E5AC3"/>
    <w:multiLevelType w:val="hybridMultilevel"/>
    <w:tmpl w:val="6844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C1ED7"/>
    <w:multiLevelType w:val="hybridMultilevel"/>
    <w:tmpl w:val="A036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25A63"/>
    <w:multiLevelType w:val="hybridMultilevel"/>
    <w:tmpl w:val="C9F65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62483"/>
    <w:multiLevelType w:val="hybridMultilevel"/>
    <w:tmpl w:val="C038C214"/>
    <w:lvl w:ilvl="0" w:tplc="0A4A0A3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33229"/>
    <w:multiLevelType w:val="hybridMultilevel"/>
    <w:tmpl w:val="F7F04B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AD07724"/>
    <w:multiLevelType w:val="hybridMultilevel"/>
    <w:tmpl w:val="F98E3FD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1">
    <w:nsid w:val="4BDB4C7F"/>
    <w:multiLevelType w:val="hybridMultilevel"/>
    <w:tmpl w:val="D03AE99E"/>
    <w:lvl w:ilvl="0" w:tplc="0A4A0A3A">
      <w:start w:val="1"/>
      <w:numFmt w:val="decimal"/>
      <w:lvlText w:val=".3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0662048"/>
    <w:multiLevelType w:val="hybridMultilevel"/>
    <w:tmpl w:val="3696A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7A0FD0"/>
    <w:multiLevelType w:val="hybridMultilevel"/>
    <w:tmpl w:val="AB402EBE"/>
    <w:lvl w:ilvl="0" w:tplc="0A4A0A3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65027E"/>
    <w:multiLevelType w:val="hybridMultilevel"/>
    <w:tmpl w:val="A104B864"/>
    <w:lvl w:ilvl="0" w:tplc="0A4A0A3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2A3492"/>
    <w:multiLevelType w:val="hybridMultilevel"/>
    <w:tmpl w:val="2378F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952AB4"/>
    <w:multiLevelType w:val="hybridMultilevel"/>
    <w:tmpl w:val="E9947232"/>
    <w:lvl w:ilvl="0" w:tplc="0A4A0A3A">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2C4798"/>
    <w:multiLevelType w:val="hybridMultilevel"/>
    <w:tmpl w:val="AD1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911A9D"/>
    <w:multiLevelType w:val="hybridMultilevel"/>
    <w:tmpl w:val="A4A2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9A28F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0B340AF"/>
    <w:multiLevelType w:val="singleLevel"/>
    <w:tmpl w:val="65D061E8"/>
    <w:lvl w:ilvl="0">
      <w:start w:val="2"/>
      <w:numFmt w:val="upperLetter"/>
      <w:lvlText w:val="%1."/>
      <w:lvlJc w:val="left"/>
      <w:pPr>
        <w:tabs>
          <w:tab w:val="num" w:pos="720"/>
        </w:tabs>
        <w:ind w:left="720" w:hanging="720"/>
      </w:pPr>
      <w:rPr>
        <w:rFonts w:hint="default"/>
      </w:rPr>
    </w:lvl>
  </w:abstractNum>
  <w:abstractNum w:abstractNumId="21">
    <w:nsid w:val="77292966"/>
    <w:multiLevelType w:val="hybridMultilevel"/>
    <w:tmpl w:val="CB68EDDA"/>
    <w:lvl w:ilvl="0" w:tplc="0A4A0A3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9"/>
  </w:num>
  <w:num w:numId="4">
    <w:abstractNumId w:val="18"/>
  </w:num>
  <w:num w:numId="5">
    <w:abstractNumId w:val="1"/>
  </w:num>
  <w:num w:numId="6">
    <w:abstractNumId w:val="3"/>
  </w:num>
  <w:num w:numId="7">
    <w:abstractNumId w:val="7"/>
  </w:num>
  <w:num w:numId="8">
    <w:abstractNumId w:val="5"/>
  </w:num>
  <w:num w:numId="9">
    <w:abstractNumId w:val="14"/>
  </w:num>
  <w:num w:numId="10">
    <w:abstractNumId w:val="16"/>
  </w:num>
  <w:num w:numId="11">
    <w:abstractNumId w:val="8"/>
  </w:num>
  <w:num w:numId="12">
    <w:abstractNumId w:val="21"/>
  </w:num>
  <w:num w:numId="13">
    <w:abstractNumId w:val="11"/>
  </w:num>
  <w:num w:numId="14">
    <w:abstractNumId w:val="13"/>
  </w:num>
  <w:num w:numId="15">
    <w:abstractNumId w:val="10"/>
  </w:num>
  <w:num w:numId="16">
    <w:abstractNumId w:val="12"/>
  </w:num>
  <w:num w:numId="17">
    <w:abstractNumId w:val="9"/>
  </w:num>
  <w:num w:numId="18">
    <w:abstractNumId w:val="0"/>
  </w:num>
  <w:num w:numId="19">
    <w:abstractNumId w:val="15"/>
  </w:num>
  <w:num w:numId="20">
    <w:abstractNumId w:val="17"/>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07"/>
    <w:rsid w:val="00045799"/>
    <w:rsid w:val="00075F40"/>
    <w:rsid w:val="000F61D0"/>
    <w:rsid w:val="000F64E2"/>
    <w:rsid w:val="00100935"/>
    <w:rsid w:val="00110AED"/>
    <w:rsid w:val="00171586"/>
    <w:rsid w:val="001769B3"/>
    <w:rsid w:val="001C2993"/>
    <w:rsid w:val="001D6114"/>
    <w:rsid w:val="002161D5"/>
    <w:rsid w:val="00222474"/>
    <w:rsid w:val="00242F2D"/>
    <w:rsid w:val="00262A98"/>
    <w:rsid w:val="00267CA5"/>
    <w:rsid w:val="00281D0E"/>
    <w:rsid w:val="002B6971"/>
    <w:rsid w:val="00315B19"/>
    <w:rsid w:val="00345955"/>
    <w:rsid w:val="0039245A"/>
    <w:rsid w:val="00405C56"/>
    <w:rsid w:val="00407B20"/>
    <w:rsid w:val="0042090D"/>
    <w:rsid w:val="00475397"/>
    <w:rsid w:val="00482A19"/>
    <w:rsid w:val="004B0179"/>
    <w:rsid w:val="005544FF"/>
    <w:rsid w:val="005669F0"/>
    <w:rsid w:val="00584B0E"/>
    <w:rsid w:val="005B4495"/>
    <w:rsid w:val="005D1FBA"/>
    <w:rsid w:val="00626F2F"/>
    <w:rsid w:val="00671426"/>
    <w:rsid w:val="0067549B"/>
    <w:rsid w:val="006811D0"/>
    <w:rsid w:val="00690596"/>
    <w:rsid w:val="006A3E32"/>
    <w:rsid w:val="006D1602"/>
    <w:rsid w:val="00701122"/>
    <w:rsid w:val="00741F25"/>
    <w:rsid w:val="00747D8A"/>
    <w:rsid w:val="007662A0"/>
    <w:rsid w:val="00787BDA"/>
    <w:rsid w:val="007B3DE8"/>
    <w:rsid w:val="007F7634"/>
    <w:rsid w:val="008016DD"/>
    <w:rsid w:val="00802DDB"/>
    <w:rsid w:val="0082464A"/>
    <w:rsid w:val="0086322C"/>
    <w:rsid w:val="00880EC9"/>
    <w:rsid w:val="00886FE7"/>
    <w:rsid w:val="00912C95"/>
    <w:rsid w:val="00926970"/>
    <w:rsid w:val="00950342"/>
    <w:rsid w:val="009657C9"/>
    <w:rsid w:val="009E56A4"/>
    <w:rsid w:val="00A00A41"/>
    <w:rsid w:val="00A75809"/>
    <w:rsid w:val="00AA5CF8"/>
    <w:rsid w:val="00AE6DCB"/>
    <w:rsid w:val="00AF0B15"/>
    <w:rsid w:val="00B429DE"/>
    <w:rsid w:val="00B73CA6"/>
    <w:rsid w:val="00B8125B"/>
    <w:rsid w:val="00B84D55"/>
    <w:rsid w:val="00B86FC0"/>
    <w:rsid w:val="00BB4867"/>
    <w:rsid w:val="00BD404C"/>
    <w:rsid w:val="00C13FAC"/>
    <w:rsid w:val="00C66653"/>
    <w:rsid w:val="00CD78BA"/>
    <w:rsid w:val="00CE0BE7"/>
    <w:rsid w:val="00D46771"/>
    <w:rsid w:val="00D519DB"/>
    <w:rsid w:val="00D863E4"/>
    <w:rsid w:val="00D9086D"/>
    <w:rsid w:val="00D94F75"/>
    <w:rsid w:val="00DA4F9A"/>
    <w:rsid w:val="00DB7BB1"/>
    <w:rsid w:val="00DE2707"/>
    <w:rsid w:val="00E1738A"/>
    <w:rsid w:val="00E54D67"/>
    <w:rsid w:val="00E7347D"/>
    <w:rsid w:val="00E941BB"/>
    <w:rsid w:val="00F1767A"/>
    <w:rsid w:val="00F8399B"/>
    <w:rsid w:val="00F8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0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E2707"/>
    <w:pPr>
      <w:keepNext/>
      <w:outlineLvl w:val="0"/>
    </w:pPr>
    <w:rPr>
      <w:rFonts w:ascii="Arial" w:hAnsi="Arial"/>
      <w:b/>
      <w:color w:val="FFFFFF"/>
    </w:rPr>
  </w:style>
  <w:style w:type="paragraph" w:styleId="Heading2">
    <w:name w:val="heading 2"/>
    <w:basedOn w:val="Normal"/>
    <w:next w:val="Normal"/>
    <w:link w:val="Heading2Char"/>
    <w:qFormat/>
    <w:rsid w:val="00DE2707"/>
    <w:pPr>
      <w:keepNext/>
      <w:outlineLvl w:val="1"/>
    </w:pPr>
    <w:rPr>
      <w:rFonts w:ascii="Arial" w:hAnsi="Arial"/>
      <w:b/>
    </w:rPr>
  </w:style>
  <w:style w:type="paragraph" w:styleId="Heading3">
    <w:name w:val="heading 3"/>
    <w:basedOn w:val="Normal"/>
    <w:next w:val="Normal"/>
    <w:link w:val="Heading3Char"/>
    <w:qFormat/>
    <w:rsid w:val="00DE2707"/>
    <w:pPr>
      <w:keepNext/>
      <w:outlineLvl w:val="2"/>
    </w:pPr>
    <w:rPr>
      <w:rFonts w:ascii="Arial" w:hAnsi="Arial"/>
      <w:b/>
      <w:sz w:val="22"/>
    </w:rPr>
  </w:style>
  <w:style w:type="paragraph" w:styleId="Heading4">
    <w:name w:val="heading 4"/>
    <w:basedOn w:val="Normal"/>
    <w:next w:val="Normal"/>
    <w:link w:val="Heading4Char"/>
    <w:qFormat/>
    <w:rsid w:val="00DE2707"/>
    <w:pPr>
      <w:keepNext/>
      <w:ind w:left="-90"/>
      <w:outlineLvl w:val="3"/>
    </w:pPr>
    <w:rPr>
      <w:rFonts w:ascii="Arial" w:hAnsi="Arial"/>
      <w:b/>
      <w:sz w:val="22"/>
    </w:rPr>
  </w:style>
  <w:style w:type="paragraph" w:styleId="Heading5">
    <w:name w:val="heading 5"/>
    <w:basedOn w:val="Normal"/>
    <w:next w:val="Normal"/>
    <w:link w:val="Heading5Char"/>
    <w:qFormat/>
    <w:rsid w:val="00DE2707"/>
    <w:pPr>
      <w:keepNext/>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2707"/>
    <w:rPr>
      <w:rFonts w:ascii="Arial" w:eastAsia="Times New Roman" w:hAnsi="Arial" w:cs="Times New Roman"/>
      <w:b/>
      <w:color w:val="FFFFFF"/>
      <w:sz w:val="20"/>
      <w:szCs w:val="20"/>
    </w:rPr>
  </w:style>
  <w:style w:type="character" w:customStyle="1" w:styleId="Heading2Char">
    <w:name w:val="Heading 2 Char"/>
    <w:basedOn w:val="DefaultParagraphFont"/>
    <w:link w:val="Heading2"/>
    <w:rsid w:val="00DE2707"/>
    <w:rPr>
      <w:rFonts w:ascii="Arial" w:eastAsia="Times New Roman" w:hAnsi="Arial" w:cs="Times New Roman"/>
      <w:b/>
      <w:sz w:val="20"/>
      <w:szCs w:val="20"/>
    </w:rPr>
  </w:style>
  <w:style w:type="character" w:customStyle="1" w:styleId="Heading3Char">
    <w:name w:val="Heading 3 Char"/>
    <w:basedOn w:val="DefaultParagraphFont"/>
    <w:link w:val="Heading3"/>
    <w:rsid w:val="00DE2707"/>
    <w:rPr>
      <w:rFonts w:ascii="Arial" w:eastAsia="Times New Roman" w:hAnsi="Arial" w:cs="Times New Roman"/>
      <w:b/>
      <w:szCs w:val="20"/>
    </w:rPr>
  </w:style>
  <w:style w:type="character" w:customStyle="1" w:styleId="Heading4Char">
    <w:name w:val="Heading 4 Char"/>
    <w:basedOn w:val="DefaultParagraphFont"/>
    <w:link w:val="Heading4"/>
    <w:rsid w:val="00DE2707"/>
    <w:rPr>
      <w:rFonts w:ascii="Arial" w:eastAsia="Times New Roman" w:hAnsi="Arial" w:cs="Times New Roman"/>
      <w:b/>
      <w:szCs w:val="20"/>
    </w:rPr>
  </w:style>
  <w:style w:type="character" w:customStyle="1" w:styleId="Heading5Char">
    <w:name w:val="Heading 5 Char"/>
    <w:basedOn w:val="DefaultParagraphFont"/>
    <w:link w:val="Heading5"/>
    <w:rsid w:val="00DE2707"/>
    <w:rPr>
      <w:rFonts w:ascii="Arial" w:eastAsia="Times New Roman" w:hAnsi="Arial" w:cs="Times New Roman"/>
      <w:b/>
      <w:sz w:val="18"/>
      <w:szCs w:val="20"/>
    </w:rPr>
  </w:style>
  <w:style w:type="paragraph" w:styleId="Header">
    <w:name w:val="header"/>
    <w:basedOn w:val="Normal"/>
    <w:link w:val="HeaderChar"/>
    <w:uiPriority w:val="99"/>
    <w:unhideWhenUsed/>
    <w:rsid w:val="00DE2707"/>
    <w:pPr>
      <w:tabs>
        <w:tab w:val="center" w:pos="4680"/>
        <w:tab w:val="right" w:pos="9360"/>
      </w:tabs>
    </w:pPr>
  </w:style>
  <w:style w:type="character" w:customStyle="1" w:styleId="HeaderChar">
    <w:name w:val="Header Char"/>
    <w:basedOn w:val="DefaultParagraphFont"/>
    <w:link w:val="Header"/>
    <w:uiPriority w:val="99"/>
    <w:rsid w:val="00DE2707"/>
    <w:rPr>
      <w:rFonts w:ascii="Times New Roman" w:eastAsia="Times New Roman" w:hAnsi="Times New Roman" w:cs="Times New Roman"/>
      <w:sz w:val="20"/>
      <w:szCs w:val="20"/>
    </w:rPr>
  </w:style>
  <w:style w:type="paragraph" w:styleId="BodyTextIndent">
    <w:name w:val="Body Text Indent"/>
    <w:basedOn w:val="Normal"/>
    <w:link w:val="BodyTextIndentChar"/>
    <w:rsid w:val="00DE2707"/>
    <w:pPr>
      <w:ind w:left="720"/>
    </w:pPr>
    <w:rPr>
      <w:rFonts w:ascii="Arial" w:hAnsi="Arial"/>
    </w:rPr>
  </w:style>
  <w:style w:type="character" w:customStyle="1" w:styleId="BodyTextIndentChar">
    <w:name w:val="Body Text Indent Char"/>
    <w:basedOn w:val="DefaultParagraphFont"/>
    <w:link w:val="BodyTextIndent"/>
    <w:rsid w:val="00DE2707"/>
    <w:rPr>
      <w:rFonts w:ascii="Arial" w:eastAsia="Times New Roman" w:hAnsi="Arial" w:cs="Times New Roman"/>
      <w:sz w:val="20"/>
      <w:szCs w:val="20"/>
    </w:rPr>
  </w:style>
  <w:style w:type="paragraph" w:styleId="BodyTextIndent3">
    <w:name w:val="Body Text Indent 3"/>
    <w:basedOn w:val="Normal"/>
    <w:link w:val="BodyTextIndent3Char"/>
    <w:rsid w:val="00DE2707"/>
    <w:pPr>
      <w:ind w:left="720" w:hanging="720"/>
    </w:pPr>
    <w:rPr>
      <w:rFonts w:ascii="Arial" w:hAnsi="Arial"/>
    </w:rPr>
  </w:style>
  <w:style w:type="character" w:customStyle="1" w:styleId="BodyTextIndent3Char">
    <w:name w:val="Body Text Indent 3 Char"/>
    <w:basedOn w:val="DefaultParagraphFont"/>
    <w:link w:val="BodyTextIndent3"/>
    <w:rsid w:val="00DE2707"/>
    <w:rPr>
      <w:rFonts w:ascii="Arial" w:eastAsia="Times New Roman" w:hAnsi="Arial" w:cs="Times New Roman"/>
      <w:sz w:val="20"/>
      <w:szCs w:val="20"/>
    </w:rPr>
  </w:style>
  <w:style w:type="paragraph" w:styleId="BodyText">
    <w:name w:val="Body Text"/>
    <w:basedOn w:val="Normal"/>
    <w:link w:val="BodyTextChar"/>
    <w:rsid w:val="00DE2707"/>
    <w:rPr>
      <w:rFonts w:ascii="Arial" w:hAnsi="Arial"/>
      <w:sz w:val="22"/>
    </w:rPr>
  </w:style>
  <w:style w:type="character" w:customStyle="1" w:styleId="BodyTextChar">
    <w:name w:val="Body Text Char"/>
    <w:basedOn w:val="DefaultParagraphFont"/>
    <w:link w:val="BodyText"/>
    <w:rsid w:val="00DE2707"/>
    <w:rPr>
      <w:rFonts w:ascii="Arial" w:eastAsia="Times New Roman" w:hAnsi="Arial" w:cs="Times New Roman"/>
      <w:szCs w:val="20"/>
    </w:rPr>
  </w:style>
  <w:style w:type="paragraph" w:styleId="BlockText">
    <w:name w:val="Block Text"/>
    <w:basedOn w:val="Normal"/>
    <w:rsid w:val="00DE2707"/>
    <w:pPr>
      <w:ind w:left="720" w:right="-630"/>
    </w:pPr>
    <w:rPr>
      <w:rFonts w:ascii="Arial" w:hAnsi="Arial"/>
      <w:sz w:val="24"/>
    </w:rPr>
  </w:style>
  <w:style w:type="paragraph" w:styleId="Title">
    <w:name w:val="Title"/>
    <w:basedOn w:val="Normal"/>
    <w:link w:val="TitleChar"/>
    <w:qFormat/>
    <w:rsid w:val="00DE2707"/>
    <w:pPr>
      <w:jc w:val="center"/>
    </w:pPr>
    <w:rPr>
      <w:rFonts w:ascii="Arial" w:hAnsi="Arial"/>
      <w:b/>
      <w:caps/>
      <w:sz w:val="22"/>
    </w:rPr>
  </w:style>
  <w:style w:type="character" w:customStyle="1" w:styleId="TitleChar">
    <w:name w:val="Title Char"/>
    <w:basedOn w:val="DefaultParagraphFont"/>
    <w:link w:val="Title"/>
    <w:rsid w:val="00DE2707"/>
    <w:rPr>
      <w:rFonts w:ascii="Arial" w:eastAsia="Times New Roman" w:hAnsi="Arial" w:cs="Times New Roman"/>
      <w:b/>
      <w:caps/>
      <w:szCs w:val="20"/>
    </w:rPr>
  </w:style>
  <w:style w:type="paragraph" w:styleId="Footer">
    <w:name w:val="footer"/>
    <w:basedOn w:val="Normal"/>
    <w:link w:val="FooterChar"/>
    <w:uiPriority w:val="99"/>
    <w:unhideWhenUsed/>
    <w:rsid w:val="00475397"/>
    <w:pPr>
      <w:tabs>
        <w:tab w:val="center" w:pos="4680"/>
        <w:tab w:val="right" w:pos="9360"/>
      </w:tabs>
    </w:pPr>
  </w:style>
  <w:style w:type="character" w:customStyle="1" w:styleId="FooterChar">
    <w:name w:val="Footer Char"/>
    <w:basedOn w:val="DefaultParagraphFont"/>
    <w:link w:val="Footer"/>
    <w:uiPriority w:val="99"/>
    <w:rsid w:val="0047539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7CA5"/>
    <w:rPr>
      <w:rFonts w:ascii="Tahoma" w:hAnsi="Tahoma" w:cs="Tahoma"/>
      <w:sz w:val="16"/>
      <w:szCs w:val="16"/>
    </w:rPr>
  </w:style>
  <w:style w:type="character" w:customStyle="1" w:styleId="BalloonTextChar">
    <w:name w:val="Balloon Text Char"/>
    <w:basedOn w:val="DefaultParagraphFont"/>
    <w:link w:val="BalloonText"/>
    <w:uiPriority w:val="99"/>
    <w:semiHidden/>
    <w:rsid w:val="00267CA5"/>
    <w:rPr>
      <w:rFonts w:ascii="Tahoma" w:eastAsia="Times New Roman" w:hAnsi="Tahoma" w:cs="Tahoma"/>
      <w:sz w:val="16"/>
      <w:szCs w:val="16"/>
    </w:rPr>
  </w:style>
  <w:style w:type="paragraph" w:styleId="ListParagraph">
    <w:name w:val="List Paragraph"/>
    <w:basedOn w:val="Normal"/>
    <w:uiPriority w:val="34"/>
    <w:qFormat/>
    <w:rsid w:val="007F7634"/>
    <w:pPr>
      <w:ind w:left="720"/>
      <w:contextualSpacing/>
    </w:pPr>
  </w:style>
  <w:style w:type="table" w:styleId="TableGrid">
    <w:name w:val="Table Grid"/>
    <w:basedOn w:val="TableNormal"/>
    <w:uiPriority w:val="59"/>
    <w:rsid w:val="0034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0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E2707"/>
    <w:pPr>
      <w:keepNext/>
      <w:outlineLvl w:val="0"/>
    </w:pPr>
    <w:rPr>
      <w:rFonts w:ascii="Arial" w:hAnsi="Arial"/>
      <w:b/>
      <w:color w:val="FFFFFF"/>
    </w:rPr>
  </w:style>
  <w:style w:type="paragraph" w:styleId="Heading2">
    <w:name w:val="heading 2"/>
    <w:basedOn w:val="Normal"/>
    <w:next w:val="Normal"/>
    <w:link w:val="Heading2Char"/>
    <w:qFormat/>
    <w:rsid w:val="00DE2707"/>
    <w:pPr>
      <w:keepNext/>
      <w:outlineLvl w:val="1"/>
    </w:pPr>
    <w:rPr>
      <w:rFonts w:ascii="Arial" w:hAnsi="Arial"/>
      <w:b/>
    </w:rPr>
  </w:style>
  <w:style w:type="paragraph" w:styleId="Heading3">
    <w:name w:val="heading 3"/>
    <w:basedOn w:val="Normal"/>
    <w:next w:val="Normal"/>
    <w:link w:val="Heading3Char"/>
    <w:qFormat/>
    <w:rsid w:val="00DE2707"/>
    <w:pPr>
      <w:keepNext/>
      <w:outlineLvl w:val="2"/>
    </w:pPr>
    <w:rPr>
      <w:rFonts w:ascii="Arial" w:hAnsi="Arial"/>
      <w:b/>
      <w:sz w:val="22"/>
    </w:rPr>
  </w:style>
  <w:style w:type="paragraph" w:styleId="Heading4">
    <w:name w:val="heading 4"/>
    <w:basedOn w:val="Normal"/>
    <w:next w:val="Normal"/>
    <w:link w:val="Heading4Char"/>
    <w:qFormat/>
    <w:rsid w:val="00DE2707"/>
    <w:pPr>
      <w:keepNext/>
      <w:ind w:left="-90"/>
      <w:outlineLvl w:val="3"/>
    </w:pPr>
    <w:rPr>
      <w:rFonts w:ascii="Arial" w:hAnsi="Arial"/>
      <w:b/>
      <w:sz w:val="22"/>
    </w:rPr>
  </w:style>
  <w:style w:type="paragraph" w:styleId="Heading5">
    <w:name w:val="heading 5"/>
    <w:basedOn w:val="Normal"/>
    <w:next w:val="Normal"/>
    <w:link w:val="Heading5Char"/>
    <w:qFormat/>
    <w:rsid w:val="00DE2707"/>
    <w:pPr>
      <w:keepNext/>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2707"/>
    <w:rPr>
      <w:rFonts w:ascii="Arial" w:eastAsia="Times New Roman" w:hAnsi="Arial" w:cs="Times New Roman"/>
      <w:b/>
      <w:color w:val="FFFFFF"/>
      <w:sz w:val="20"/>
      <w:szCs w:val="20"/>
    </w:rPr>
  </w:style>
  <w:style w:type="character" w:customStyle="1" w:styleId="Heading2Char">
    <w:name w:val="Heading 2 Char"/>
    <w:basedOn w:val="DefaultParagraphFont"/>
    <w:link w:val="Heading2"/>
    <w:rsid w:val="00DE2707"/>
    <w:rPr>
      <w:rFonts w:ascii="Arial" w:eastAsia="Times New Roman" w:hAnsi="Arial" w:cs="Times New Roman"/>
      <w:b/>
      <w:sz w:val="20"/>
      <w:szCs w:val="20"/>
    </w:rPr>
  </w:style>
  <w:style w:type="character" w:customStyle="1" w:styleId="Heading3Char">
    <w:name w:val="Heading 3 Char"/>
    <w:basedOn w:val="DefaultParagraphFont"/>
    <w:link w:val="Heading3"/>
    <w:rsid w:val="00DE2707"/>
    <w:rPr>
      <w:rFonts w:ascii="Arial" w:eastAsia="Times New Roman" w:hAnsi="Arial" w:cs="Times New Roman"/>
      <w:b/>
      <w:szCs w:val="20"/>
    </w:rPr>
  </w:style>
  <w:style w:type="character" w:customStyle="1" w:styleId="Heading4Char">
    <w:name w:val="Heading 4 Char"/>
    <w:basedOn w:val="DefaultParagraphFont"/>
    <w:link w:val="Heading4"/>
    <w:rsid w:val="00DE2707"/>
    <w:rPr>
      <w:rFonts w:ascii="Arial" w:eastAsia="Times New Roman" w:hAnsi="Arial" w:cs="Times New Roman"/>
      <w:b/>
      <w:szCs w:val="20"/>
    </w:rPr>
  </w:style>
  <w:style w:type="character" w:customStyle="1" w:styleId="Heading5Char">
    <w:name w:val="Heading 5 Char"/>
    <w:basedOn w:val="DefaultParagraphFont"/>
    <w:link w:val="Heading5"/>
    <w:rsid w:val="00DE2707"/>
    <w:rPr>
      <w:rFonts w:ascii="Arial" w:eastAsia="Times New Roman" w:hAnsi="Arial" w:cs="Times New Roman"/>
      <w:b/>
      <w:sz w:val="18"/>
      <w:szCs w:val="20"/>
    </w:rPr>
  </w:style>
  <w:style w:type="paragraph" w:styleId="Header">
    <w:name w:val="header"/>
    <w:basedOn w:val="Normal"/>
    <w:link w:val="HeaderChar"/>
    <w:uiPriority w:val="99"/>
    <w:unhideWhenUsed/>
    <w:rsid w:val="00DE2707"/>
    <w:pPr>
      <w:tabs>
        <w:tab w:val="center" w:pos="4680"/>
        <w:tab w:val="right" w:pos="9360"/>
      </w:tabs>
    </w:pPr>
  </w:style>
  <w:style w:type="character" w:customStyle="1" w:styleId="HeaderChar">
    <w:name w:val="Header Char"/>
    <w:basedOn w:val="DefaultParagraphFont"/>
    <w:link w:val="Header"/>
    <w:uiPriority w:val="99"/>
    <w:rsid w:val="00DE2707"/>
    <w:rPr>
      <w:rFonts w:ascii="Times New Roman" w:eastAsia="Times New Roman" w:hAnsi="Times New Roman" w:cs="Times New Roman"/>
      <w:sz w:val="20"/>
      <w:szCs w:val="20"/>
    </w:rPr>
  </w:style>
  <w:style w:type="paragraph" w:styleId="BodyTextIndent">
    <w:name w:val="Body Text Indent"/>
    <w:basedOn w:val="Normal"/>
    <w:link w:val="BodyTextIndentChar"/>
    <w:rsid w:val="00DE2707"/>
    <w:pPr>
      <w:ind w:left="720"/>
    </w:pPr>
    <w:rPr>
      <w:rFonts w:ascii="Arial" w:hAnsi="Arial"/>
    </w:rPr>
  </w:style>
  <w:style w:type="character" w:customStyle="1" w:styleId="BodyTextIndentChar">
    <w:name w:val="Body Text Indent Char"/>
    <w:basedOn w:val="DefaultParagraphFont"/>
    <w:link w:val="BodyTextIndent"/>
    <w:rsid w:val="00DE2707"/>
    <w:rPr>
      <w:rFonts w:ascii="Arial" w:eastAsia="Times New Roman" w:hAnsi="Arial" w:cs="Times New Roman"/>
      <w:sz w:val="20"/>
      <w:szCs w:val="20"/>
    </w:rPr>
  </w:style>
  <w:style w:type="paragraph" w:styleId="BodyTextIndent3">
    <w:name w:val="Body Text Indent 3"/>
    <w:basedOn w:val="Normal"/>
    <w:link w:val="BodyTextIndent3Char"/>
    <w:rsid w:val="00DE2707"/>
    <w:pPr>
      <w:ind w:left="720" w:hanging="720"/>
    </w:pPr>
    <w:rPr>
      <w:rFonts w:ascii="Arial" w:hAnsi="Arial"/>
    </w:rPr>
  </w:style>
  <w:style w:type="character" w:customStyle="1" w:styleId="BodyTextIndent3Char">
    <w:name w:val="Body Text Indent 3 Char"/>
    <w:basedOn w:val="DefaultParagraphFont"/>
    <w:link w:val="BodyTextIndent3"/>
    <w:rsid w:val="00DE2707"/>
    <w:rPr>
      <w:rFonts w:ascii="Arial" w:eastAsia="Times New Roman" w:hAnsi="Arial" w:cs="Times New Roman"/>
      <w:sz w:val="20"/>
      <w:szCs w:val="20"/>
    </w:rPr>
  </w:style>
  <w:style w:type="paragraph" w:styleId="BodyText">
    <w:name w:val="Body Text"/>
    <w:basedOn w:val="Normal"/>
    <w:link w:val="BodyTextChar"/>
    <w:rsid w:val="00DE2707"/>
    <w:rPr>
      <w:rFonts w:ascii="Arial" w:hAnsi="Arial"/>
      <w:sz w:val="22"/>
    </w:rPr>
  </w:style>
  <w:style w:type="character" w:customStyle="1" w:styleId="BodyTextChar">
    <w:name w:val="Body Text Char"/>
    <w:basedOn w:val="DefaultParagraphFont"/>
    <w:link w:val="BodyText"/>
    <w:rsid w:val="00DE2707"/>
    <w:rPr>
      <w:rFonts w:ascii="Arial" w:eastAsia="Times New Roman" w:hAnsi="Arial" w:cs="Times New Roman"/>
      <w:szCs w:val="20"/>
    </w:rPr>
  </w:style>
  <w:style w:type="paragraph" w:styleId="BlockText">
    <w:name w:val="Block Text"/>
    <w:basedOn w:val="Normal"/>
    <w:rsid w:val="00DE2707"/>
    <w:pPr>
      <w:ind w:left="720" w:right="-630"/>
    </w:pPr>
    <w:rPr>
      <w:rFonts w:ascii="Arial" w:hAnsi="Arial"/>
      <w:sz w:val="24"/>
    </w:rPr>
  </w:style>
  <w:style w:type="paragraph" w:styleId="Title">
    <w:name w:val="Title"/>
    <w:basedOn w:val="Normal"/>
    <w:link w:val="TitleChar"/>
    <w:qFormat/>
    <w:rsid w:val="00DE2707"/>
    <w:pPr>
      <w:jc w:val="center"/>
    </w:pPr>
    <w:rPr>
      <w:rFonts w:ascii="Arial" w:hAnsi="Arial"/>
      <w:b/>
      <w:caps/>
      <w:sz w:val="22"/>
    </w:rPr>
  </w:style>
  <w:style w:type="character" w:customStyle="1" w:styleId="TitleChar">
    <w:name w:val="Title Char"/>
    <w:basedOn w:val="DefaultParagraphFont"/>
    <w:link w:val="Title"/>
    <w:rsid w:val="00DE2707"/>
    <w:rPr>
      <w:rFonts w:ascii="Arial" w:eastAsia="Times New Roman" w:hAnsi="Arial" w:cs="Times New Roman"/>
      <w:b/>
      <w:caps/>
      <w:szCs w:val="20"/>
    </w:rPr>
  </w:style>
  <w:style w:type="paragraph" w:styleId="Footer">
    <w:name w:val="footer"/>
    <w:basedOn w:val="Normal"/>
    <w:link w:val="FooterChar"/>
    <w:uiPriority w:val="99"/>
    <w:unhideWhenUsed/>
    <w:rsid w:val="00475397"/>
    <w:pPr>
      <w:tabs>
        <w:tab w:val="center" w:pos="4680"/>
        <w:tab w:val="right" w:pos="9360"/>
      </w:tabs>
    </w:pPr>
  </w:style>
  <w:style w:type="character" w:customStyle="1" w:styleId="FooterChar">
    <w:name w:val="Footer Char"/>
    <w:basedOn w:val="DefaultParagraphFont"/>
    <w:link w:val="Footer"/>
    <w:uiPriority w:val="99"/>
    <w:rsid w:val="0047539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7CA5"/>
    <w:rPr>
      <w:rFonts w:ascii="Tahoma" w:hAnsi="Tahoma" w:cs="Tahoma"/>
      <w:sz w:val="16"/>
      <w:szCs w:val="16"/>
    </w:rPr>
  </w:style>
  <w:style w:type="character" w:customStyle="1" w:styleId="BalloonTextChar">
    <w:name w:val="Balloon Text Char"/>
    <w:basedOn w:val="DefaultParagraphFont"/>
    <w:link w:val="BalloonText"/>
    <w:uiPriority w:val="99"/>
    <w:semiHidden/>
    <w:rsid w:val="00267CA5"/>
    <w:rPr>
      <w:rFonts w:ascii="Tahoma" w:eastAsia="Times New Roman" w:hAnsi="Tahoma" w:cs="Tahoma"/>
      <w:sz w:val="16"/>
      <w:szCs w:val="16"/>
    </w:rPr>
  </w:style>
  <w:style w:type="paragraph" w:styleId="ListParagraph">
    <w:name w:val="List Paragraph"/>
    <w:basedOn w:val="Normal"/>
    <w:uiPriority w:val="34"/>
    <w:qFormat/>
    <w:rsid w:val="007F7634"/>
    <w:pPr>
      <w:ind w:left="720"/>
      <w:contextualSpacing/>
    </w:pPr>
  </w:style>
  <w:style w:type="table" w:styleId="TableGrid">
    <w:name w:val="Table Grid"/>
    <w:basedOn w:val="TableNormal"/>
    <w:uiPriority w:val="59"/>
    <w:rsid w:val="0034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06C26689ED3F47936053D429BDF58C" ma:contentTypeVersion="9" ma:contentTypeDescription="Create a new document." ma:contentTypeScope="" ma:versionID="66ecbbe427636473f978a03321d118df">
  <xsd:schema xmlns:xsd="http://www.w3.org/2001/XMLSchema" xmlns:xs="http://www.w3.org/2001/XMLSchema" xmlns:p="http://schemas.microsoft.com/office/2006/metadata/properties" xmlns:ns2="bdda19d9-f9ba-46b3-a6de-8cd7cd5343b5" xmlns:ns3="b480663d-7f8b-472d-9c70-e03b8f8cc4c6" targetNamespace="http://schemas.microsoft.com/office/2006/metadata/properties" ma:root="true" ma:fieldsID="81672e0168d4235f3e1b1a331d259dae" ns2:_="" ns3:_="">
    <xsd:import namespace="bdda19d9-f9ba-46b3-a6de-8cd7cd5343b5"/>
    <xsd:import namespace="b480663d-7f8b-472d-9c70-e03b8f8cc4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a19d9-f9ba-46b3-a6de-8cd7cd534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d8703d-a7c8-4a51-8730-763bd45d72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0663d-7f8b-472d-9c70-e03b8f8cc4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fcc9c-6109-48d3-8202-d2de5a44e771}" ma:internalName="TaxCatchAll" ma:showField="CatchAllData" ma:web="b480663d-7f8b-472d-9c70-e03b8f8cc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80663d-7f8b-472d-9c70-e03b8f8cc4c6" xsi:nil="true"/>
    <lcf76f155ced4ddcb4097134ff3c332f xmlns="bdda19d9-f9ba-46b3-a6de-8cd7cd5343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566C03-5B21-42B8-BF7E-CDA17819658B}">
  <ds:schemaRefs>
    <ds:schemaRef ds:uri="http://schemas.openxmlformats.org/officeDocument/2006/bibliography"/>
  </ds:schemaRefs>
</ds:datastoreItem>
</file>

<file path=customXml/itemProps2.xml><?xml version="1.0" encoding="utf-8"?>
<ds:datastoreItem xmlns:ds="http://schemas.openxmlformats.org/officeDocument/2006/customXml" ds:itemID="{B6484031-A81E-48B6-ABCB-BBA543DA7ADF}"/>
</file>

<file path=customXml/itemProps3.xml><?xml version="1.0" encoding="utf-8"?>
<ds:datastoreItem xmlns:ds="http://schemas.openxmlformats.org/officeDocument/2006/customXml" ds:itemID="{4D316967-0DA7-458E-B8CC-8A9555393841}"/>
</file>

<file path=customXml/itemProps4.xml><?xml version="1.0" encoding="utf-8"?>
<ds:datastoreItem xmlns:ds="http://schemas.openxmlformats.org/officeDocument/2006/customXml" ds:itemID="{B3801342-D2C6-4993-B098-723D5BFDA8F0}"/>
</file>

<file path=docProps/app.xml><?xml version="1.0" encoding="utf-8"?>
<Properties xmlns="http://schemas.openxmlformats.org/officeDocument/2006/extended-properties" xmlns:vt="http://schemas.openxmlformats.org/officeDocument/2006/docPropsVTypes">
  <Template>Normal</Template>
  <TotalTime>0</TotalTime>
  <Pages>8</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State of California – Health and Human Services Agency</vt:lpstr>
    </vt:vector>
  </TitlesOfParts>
  <Company>Hewlett-Packard Company</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Health and Human Services Agency</dc:title>
  <dc:creator>Schrepfer, Neal</dc:creator>
  <cp:lastModifiedBy>Griffith, Kandi</cp:lastModifiedBy>
  <cp:revision>2</cp:revision>
  <cp:lastPrinted>2019-01-14T15:55:00Z</cp:lastPrinted>
  <dcterms:created xsi:type="dcterms:W3CDTF">2019-10-21T16:44:00Z</dcterms:created>
  <dcterms:modified xsi:type="dcterms:W3CDTF">2019-10-21T16:44:00Z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0x010100B806C26689ED3F47936053D429BDF58C</vt:lpwstr>
  </property>
</Properties>
</file>