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A06AB" w14:textId="77777777" w:rsidR="003A6246" w:rsidRDefault="003A6246" w:rsidP="00B753D2">
      <w:pPr>
        <w:jc w:val="center"/>
        <w:rPr>
          <w:rFonts w:ascii="Arial" w:hAnsi="Arial" w:cs="Arial"/>
          <w:b/>
          <w:sz w:val="72"/>
          <w:szCs w:val="72"/>
        </w:rPr>
      </w:pPr>
    </w:p>
    <w:p w14:paraId="5F2E821F" w14:textId="77777777" w:rsidR="003A6246" w:rsidRDefault="003A6246" w:rsidP="00B753D2">
      <w:pPr>
        <w:jc w:val="center"/>
        <w:rPr>
          <w:rFonts w:ascii="Arial" w:hAnsi="Arial" w:cs="Arial"/>
          <w:b/>
          <w:sz w:val="72"/>
          <w:szCs w:val="72"/>
        </w:rPr>
      </w:pPr>
    </w:p>
    <w:p w14:paraId="1642BB5A" w14:textId="77777777" w:rsidR="003A6246" w:rsidRDefault="003A6246" w:rsidP="00B753D2">
      <w:pPr>
        <w:jc w:val="center"/>
        <w:rPr>
          <w:rFonts w:ascii="Arial" w:hAnsi="Arial" w:cs="Arial"/>
          <w:b/>
          <w:sz w:val="72"/>
          <w:szCs w:val="72"/>
        </w:rPr>
      </w:pPr>
    </w:p>
    <w:p w14:paraId="191A283D" w14:textId="77777777" w:rsidR="00920D2C" w:rsidRDefault="00920D2C" w:rsidP="00B753D2">
      <w:pPr>
        <w:jc w:val="center"/>
        <w:rPr>
          <w:rFonts w:ascii="Arial" w:hAnsi="Arial" w:cs="Arial"/>
          <w:b/>
          <w:sz w:val="72"/>
          <w:szCs w:val="72"/>
        </w:rPr>
      </w:pPr>
      <w:r>
        <w:rPr>
          <w:rFonts w:ascii="Arial" w:hAnsi="Arial" w:cs="Arial"/>
          <w:b/>
          <w:sz w:val="72"/>
          <w:szCs w:val="72"/>
        </w:rPr>
        <w:t>Fraud 102</w:t>
      </w:r>
      <w:r w:rsidR="008167FB">
        <w:rPr>
          <w:rFonts w:ascii="Arial" w:hAnsi="Arial" w:cs="Arial"/>
          <w:b/>
          <w:sz w:val="72"/>
          <w:szCs w:val="72"/>
        </w:rPr>
        <w:t>:</w:t>
      </w:r>
    </w:p>
    <w:p w14:paraId="1B867D03" w14:textId="77777777" w:rsidR="008167FB" w:rsidRDefault="008167FB" w:rsidP="00B753D2">
      <w:pPr>
        <w:jc w:val="center"/>
        <w:rPr>
          <w:rFonts w:ascii="Arial" w:hAnsi="Arial" w:cs="Arial"/>
          <w:b/>
          <w:sz w:val="72"/>
          <w:szCs w:val="72"/>
        </w:rPr>
      </w:pPr>
    </w:p>
    <w:p w14:paraId="11768F32" w14:textId="77777777" w:rsidR="00B753D2" w:rsidRPr="008167FB" w:rsidRDefault="008167FB" w:rsidP="00B753D2">
      <w:pPr>
        <w:jc w:val="center"/>
        <w:rPr>
          <w:rFonts w:ascii="Arial" w:hAnsi="Arial" w:cs="Arial"/>
          <w:b/>
          <w:sz w:val="58"/>
          <w:szCs w:val="72"/>
        </w:rPr>
      </w:pPr>
      <w:r w:rsidRPr="008167FB">
        <w:rPr>
          <w:rFonts w:ascii="Arial" w:hAnsi="Arial" w:cs="Arial"/>
          <w:b/>
          <w:sz w:val="58"/>
          <w:szCs w:val="72"/>
        </w:rPr>
        <w:t xml:space="preserve">Understanding </w:t>
      </w:r>
      <w:r w:rsidR="00B753D2" w:rsidRPr="008167FB">
        <w:rPr>
          <w:rFonts w:ascii="Arial" w:hAnsi="Arial" w:cs="Arial"/>
          <w:b/>
          <w:sz w:val="58"/>
          <w:szCs w:val="72"/>
        </w:rPr>
        <w:t>IEVS</w:t>
      </w:r>
      <w:r w:rsidRPr="008167FB">
        <w:rPr>
          <w:rFonts w:ascii="Arial" w:hAnsi="Arial" w:cs="Arial"/>
          <w:b/>
          <w:sz w:val="58"/>
          <w:szCs w:val="72"/>
        </w:rPr>
        <w:t xml:space="preserve"> Matches</w:t>
      </w:r>
    </w:p>
    <w:p w14:paraId="0C601FFF" w14:textId="77777777" w:rsidR="003A6246" w:rsidRPr="008167FB" w:rsidRDefault="003A6246" w:rsidP="00B753D2">
      <w:pPr>
        <w:jc w:val="center"/>
        <w:rPr>
          <w:rFonts w:ascii="Arial" w:hAnsi="Arial" w:cs="Arial"/>
          <w:b/>
          <w:sz w:val="58"/>
          <w:szCs w:val="72"/>
        </w:rPr>
      </w:pPr>
      <w:r w:rsidRPr="008167FB">
        <w:rPr>
          <w:rFonts w:ascii="Arial" w:hAnsi="Arial" w:cs="Arial"/>
          <w:b/>
          <w:sz w:val="58"/>
          <w:szCs w:val="72"/>
        </w:rPr>
        <w:t>&amp; Overpayments</w:t>
      </w:r>
    </w:p>
    <w:p w14:paraId="5EB84144" w14:textId="77777777" w:rsidR="00C91030" w:rsidRPr="00F50A65" w:rsidRDefault="00C91030">
      <w:pPr>
        <w:rPr>
          <w:rFonts w:ascii="Arial" w:hAnsi="Arial" w:cs="Arial"/>
        </w:rPr>
      </w:pPr>
    </w:p>
    <w:p w14:paraId="5DACC06B" w14:textId="77777777" w:rsidR="003A6246" w:rsidRDefault="003A6246">
      <w:pPr>
        <w:rPr>
          <w:rFonts w:ascii="Arial" w:hAnsi="Arial" w:cs="Arial"/>
          <w:u w:val="single"/>
        </w:rPr>
      </w:pPr>
    </w:p>
    <w:p w14:paraId="475EA63B" w14:textId="77777777" w:rsidR="006648E3" w:rsidRPr="00F50A65" w:rsidRDefault="006648E3">
      <w:pPr>
        <w:rPr>
          <w:rFonts w:ascii="Arial" w:hAnsi="Arial" w:cs="Arial"/>
          <w:u w:val="single"/>
        </w:rPr>
        <w:sectPr w:rsidR="006648E3" w:rsidRPr="00F50A65" w:rsidSect="003A6246">
          <w:footerReference w:type="default" r:id="rId8"/>
          <w:pgSz w:w="12240" w:h="15840"/>
          <w:pgMar w:top="1008" w:right="1800" w:bottom="1008" w:left="1800" w:header="720" w:footer="720" w:gutter="0"/>
          <w:pgBorders w:display="firstPage" w:offsetFrom="page">
            <w:top w:val="thinThickSmallGap" w:sz="24" w:space="24" w:color="auto"/>
            <w:left w:val="thinThickSmallGap" w:sz="24" w:space="24" w:color="auto"/>
            <w:bottom w:val="thinThickSmallGap" w:sz="24" w:space="24" w:color="auto"/>
            <w:right w:val="thinThickSmallGap" w:sz="24" w:space="24" w:color="auto"/>
          </w:pgBorders>
          <w:cols w:space="720"/>
          <w:docGrid w:linePitch="360"/>
        </w:sectPr>
      </w:pPr>
    </w:p>
    <w:p w14:paraId="151C0BB7" w14:textId="77777777" w:rsidR="00B753D2" w:rsidRPr="00F50A65" w:rsidRDefault="00B753D2">
      <w:pPr>
        <w:rPr>
          <w:rFonts w:ascii="Arial" w:hAnsi="Arial" w:cs="Arial"/>
          <w:u w:val="single"/>
        </w:rPr>
      </w:pPr>
    </w:p>
    <w:p w14:paraId="6FFA1CA1" w14:textId="77777777" w:rsidR="00F02B2A" w:rsidRPr="00F50A65" w:rsidRDefault="00F02B2A">
      <w:pPr>
        <w:rPr>
          <w:rFonts w:ascii="Arial" w:hAnsi="Arial" w:cs="Arial"/>
          <w:u w:val="single"/>
        </w:rPr>
      </w:pPr>
    </w:p>
    <w:p w14:paraId="692952AF" w14:textId="77777777" w:rsidR="00F638A9" w:rsidRDefault="00F638A9">
      <w:pPr>
        <w:rPr>
          <w:rFonts w:ascii="Arial" w:hAnsi="Arial" w:cs="Arial"/>
          <w:b/>
          <w:sz w:val="28"/>
          <w:szCs w:val="28"/>
        </w:rPr>
      </w:pPr>
      <w:r w:rsidRPr="00F50A65">
        <w:rPr>
          <w:rFonts w:ascii="Arial" w:hAnsi="Arial" w:cs="Arial"/>
          <w:b/>
          <w:sz w:val="28"/>
          <w:szCs w:val="28"/>
        </w:rPr>
        <w:t>Introduction</w:t>
      </w:r>
    </w:p>
    <w:p w14:paraId="7155E9B3" w14:textId="77777777" w:rsidR="00CE5785" w:rsidRPr="00F50A65" w:rsidRDefault="00CE5785">
      <w:pPr>
        <w:rPr>
          <w:rFonts w:ascii="Arial" w:hAnsi="Arial" w:cs="Arial"/>
          <w:b/>
          <w:sz w:val="28"/>
          <w:szCs w:val="28"/>
        </w:rPr>
      </w:pPr>
    </w:p>
    <w:p w14:paraId="07F367F9" w14:textId="77777777" w:rsidR="0023213C" w:rsidRPr="00F50A65" w:rsidRDefault="0023213C">
      <w:pPr>
        <w:rPr>
          <w:rFonts w:ascii="Arial" w:hAnsi="Arial" w:cs="Arial"/>
          <w:color w:val="333333"/>
          <w:lang w:val="en"/>
        </w:rPr>
      </w:pPr>
      <w:bookmarkStart w:id="0" w:name="_Hlk28683771"/>
      <w:r w:rsidRPr="00F50A65">
        <w:rPr>
          <w:rFonts w:ascii="Arial" w:hAnsi="Arial" w:cs="Arial"/>
          <w:color w:val="333333"/>
          <w:lang w:val="en"/>
        </w:rPr>
        <w:t>This workshop provides an overview of the Income Eligibility Verification System (IEVS). It will cover the</w:t>
      </w:r>
      <w:r w:rsidR="00FD7DE7">
        <w:rPr>
          <w:rFonts w:ascii="Arial" w:hAnsi="Arial" w:cs="Arial"/>
          <w:color w:val="333333"/>
          <w:lang w:val="en"/>
        </w:rPr>
        <w:t xml:space="preserve"> required</w:t>
      </w:r>
      <w:r w:rsidRPr="00F50A65">
        <w:rPr>
          <w:rFonts w:ascii="Arial" w:hAnsi="Arial" w:cs="Arial"/>
          <w:color w:val="333333"/>
          <w:lang w:val="en"/>
        </w:rPr>
        <w:t xml:space="preserve"> processing timeframes and will also examine the Overpayment and Over Issuance processes</w:t>
      </w:r>
      <w:r w:rsidR="003805E8">
        <w:rPr>
          <w:rFonts w:ascii="Arial" w:hAnsi="Arial" w:cs="Arial"/>
          <w:color w:val="333333"/>
          <w:lang w:val="en"/>
        </w:rPr>
        <w:t xml:space="preserve"> and computation</w:t>
      </w:r>
      <w:r w:rsidR="003A6246">
        <w:rPr>
          <w:rFonts w:ascii="Arial" w:hAnsi="Arial" w:cs="Arial"/>
          <w:color w:val="333333"/>
          <w:lang w:val="en"/>
        </w:rPr>
        <w:t xml:space="preserve"> methodology</w:t>
      </w:r>
      <w:r w:rsidRPr="00F50A65">
        <w:rPr>
          <w:rFonts w:ascii="Arial" w:hAnsi="Arial" w:cs="Arial"/>
          <w:color w:val="333333"/>
          <w:lang w:val="en"/>
        </w:rPr>
        <w:t>.</w:t>
      </w:r>
    </w:p>
    <w:p w14:paraId="1FE87D52" w14:textId="77777777" w:rsidR="0023213C" w:rsidRPr="00F50A65" w:rsidRDefault="0023213C">
      <w:pPr>
        <w:rPr>
          <w:rFonts w:ascii="Arial" w:hAnsi="Arial" w:cs="Arial"/>
          <w:color w:val="333333"/>
          <w:lang w:val="en"/>
        </w:rPr>
      </w:pPr>
    </w:p>
    <w:p w14:paraId="351C7FAB" w14:textId="77777777" w:rsidR="00CE5785" w:rsidRDefault="0023213C">
      <w:pPr>
        <w:rPr>
          <w:rFonts w:ascii="Arial" w:hAnsi="Arial" w:cs="Arial"/>
          <w:color w:val="333333"/>
          <w:lang w:val="en"/>
        </w:rPr>
      </w:pPr>
      <w:r w:rsidRPr="00F50A65">
        <w:rPr>
          <w:rFonts w:ascii="Arial" w:hAnsi="Arial" w:cs="Arial"/>
          <w:color w:val="333333"/>
          <w:lang w:val="en"/>
        </w:rPr>
        <w:t>Investigators will learn the</w:t>
      </w:r>
      <w:r w:rsidR="003A6246">
        <w:rPr>
          <w:rFonts w:ascii="Arial" w:hAnsi="Arial" w:cs="Arial"/>
          <w:color w:val="333333"/>
          <w:lang w:val="en"/>
        </w:rPr>
        <w:t xml:space="preserve"> history, origin, </w:t>
      </w:r>
      <w:r w:rsidR="000377DB">
        <w:rPr>
          <w:rFonts w:ascii="Arial" w:hAnsi="Arial" w:cs="Arial"/>
          <w:color w:val="333333"/>
          <w:lang w:val="en"/>
        </w:rPr>
        <w:t>f</w:t>
      </w:r>
      <w:r w:rsidR="003A6246">
        <w:rPr>
          <w:rFonts w:ascii="Arial" w:hAnsi="Arial" w:cs="Arial"/>
          <w:color w:val="333333"/>
          <w:lang w:val="en"/>
        </w:rPr>
        <w:t>requency</w:t>
      </w:r>
      <w:r w:rsidR="000377DB">
        <w:rPr>
          <w:rFonts w:ascii="Arial" w:hAnsi="Arial" w:cs="Arial"/>
          <w:color w:val="333333"/>
          <w:lang w:val="en"/>
        </w:rPr>
        <w:t xml:space="preserve">, and </w:t>
      </w:r>
      <w:r w:rsidR="00FD7DE7">
        <w:rPr>
          <w:rFonts w:ascii="Arial" w:hAnsi="Arial" w:cs="Arial"/>
          <w:color w:val="333333"/>
          <w:lang w:val="en"/>
        </w:rPr>
        <w:t>data</w:t>
      </w:r>
      <w:r w:rsidR="000377DB">
        <w:rPr>
          <w:rFonts w:ascii="Arial" w:hAnsi="Arial" w:cs="Arial"/>
          <w:color w:val="333333"/>
          <w:lang w:val="en"/>
        </w:rPr>
        <w:t xml:space="preserve"> that is received on each </w:t>
      </w:r>
      <w:r w:rsidR="00CE5785">
        <w:rPr>
          <w:rFonts w:ascii="Arial" w:hAnsi="Arial" w:cs="Arial"/>
          <w:color w:val="333333"/>
          <w:lang w:val="en"/>
        </w:rPr>
        <w:t>of the IEVS Matches</w:t>
      </w:r>
      <w:r w:rsidR="000377DB">
        <w:rPr>
          <w:rFonts w:ascii="Arial" w:hAnsi="Arial" w:cs="Arial"/>
          <w:color w:val="333333"/>
          <w:lang w:val="en"/>
        </w:rPr>
        <w:t xml:space="preserve">. </w:t>
      </w:r>
      <w:r w:rsidR="003A6246">
        <w:rPr>
          <w:rFonts w:ascii="Arial" w:hAnsi="Arial" w:cs="Arial"/>
          <w:color w:val="333333"/>
          <w:lang w:val="en"/>
        </w:rPr>
        <w:t>The</w:t>
      </w:r>
      <w:r w:rsidR="000377DB">
        <w:rPr>
          <w:rFonts w:ascii="Arial" w:hAnsi="Arial" w:cs="Arial"/>
          <w:color w:val="333333"/>
          <w:lang w:val="en"/>
        </w:rPr>
        <w:t xml:space="preserve">y will </w:t>
      </w:r>
      <w:r w:rsidR="00CE5785">
        <w:rPr>
          <w:rFonts w:ascii="Arial" w:hAnsi="Arial" w:cs="Arial"/>
          <w:color w:val="333333"/>
          <w:lang w:val="en"/>
        </w:rPr>
        <w:t>learn</w:t>
      </w:r>
      <w:r w:rsidR="000377DB">
        <w:rPr>
          <w:rFonts w:ascii="Arial" w:hAnsi="Arial" w:cs="Arial"/>
          <w:color w:val="333333"/>
          <w:lang w:val="en"/>
        </w:rPr>
        <w:t xml:space="preserve"> the</w:t>
      </w:r>
      <w:r w:rsidR="003A6246">
        <w:rPr>
          <w:rFonts w:ascii="Arial" w:hAnsi="Arial" w:cs="Arial"/>
          <w:color w:val="333333"/>
          <w:lang w:val="en"/>
        </w:rPr>
        <w:t xml:space="preserve"> </w:t>
      </w:r>
      <w:r w:rsidRPr="00F50A65">
        <w:rPr>
          <w:rFonts w:ascii="Arial" w:hAnsi="Arial" w:cs="Arial"/>
          <w:color w:val="333333"/>
          <w:lang w:val="en"/>
        </w:rPr>
        <w:t>processing requirements of</w:t>
      </w:r>
      <w:r w:rsidR="000377DB">
        <w:rPr>
          <w:rFonts w:ascii="Arial" w:hAnsi="Arial" w:cs="Arial"/>
          <w:color w:val="333333"/>
          <w:lang w:val="en"/>
        </w:rPr>
        <w:t xml:space="preserve"> the</w:t>
      </w:r>
      <w:r w:rsidRPr="00F50A65">
        <w:rPr>
          <w:rFonts w:ascii="Arial" w:hAnsi="Arial" w:cs="Arial"/>
          <w:color w:val="333333"/>
          <w:lang w:val="en"/>
        </w:rPr>
        <w:t xml:space="preserve"> IEVS</w:t>
      </w:r>
      <w:r w:rsidR="000377DB">
        <w:rPr>
          <w:rFonts w:ascii="Arial" w:hAnsi="Arial" w:cs="Arial"/>
          <w:color w:val="333333"/>
          <w:lang w:val="en"/>
        </w:rPr>
        <w:t xml:space="preserve"> matches</w:t>
      </w:r>
      <w:r w:rsidRPr="00F50A65">
        <w:rPr>
          <w:rFonts w:ascii="Arial" w:hAnsi="Arial" w:cs="Arial"/>
          <w:color w:val="333333"/>
          <w:lang w:val="en"/>
        </w:rPr>
        <w:t xml:space="preserve">, </w:t>
      </w:r>
      <w:r w:rsidR="000377DB">
        <w:rPr>
          <w:rFonts w:ascii="Arial" w:hAnsi="Arial" w:cs="Arial"/>
          <w:color w:val="333333"/>
          <w:lang w:val="en"/>
        </w:rPr>
        <w:t xml:space="preserve">and </w:t>
      </w:r>
      <w:r w:rsidRPr="00F50A65">
        <w:rPr>
          <w:rFonts w:ascii="Arial" w:hAnsi="Arial" w:cs="Arial"/>
          <w:color w:val="333333"/>
          <w:lang w:val="en"/>
        </w:rPr>
        <w:t>how the</w:t>
      </w:r>
      <w:r w:rsidR="00CE5785">
        <w:rPr>
          <w:rFonts w:ascii="Arial" w:hAnsi="Arial" w:cs="Arial"/>
          <w:color w:val="333333"/>
          <w:lang w:val="en"/>
        </w:rPr>
        <w:t xml:space="preserve"> information </w:t>
      </w:r>
      <w:r w:rsidRPr="00F50A65">
        <w:rPr>
          <w:rFonts w:ascii="Arial" w:hAnsi="Arial" w:cs="Arial"/>
          <w:color w:val="333333"/>
          <w:lang w:val="en"/>
        </w:rPr>
        <w:t>impact</w:t>
      </w:r>
      <w:r w:rsidR="00CE5785">
        <w:rPr>
          <w:rFonts w:ascii="Arial" w:hAnsi="Arial" w:cs="Arial"/>
          <w:color w:val="333333"/>
          <w:lang w:val="en"/>
        </w:rPr>
        <w:t xml:space="preserve">s </w:t>
      </w:r>
      <w:r w:rsidRPr="00F50A65">
        <w:rPr>
          <w:rFonts w:ascii="Arial" w:hAnsi="Arial" w:cs="Arial"/>
          <w:color w:val="333333"/>
          <w:lang w:val="en"/>
        </w:rPr>
        <w:t>eligibility</w:t>
      </w:r>
      <w:r w:rsidR="000377DB">
        <w:rPr>
          <w:rFonts w:ascii="Arial" w:hAnsi="Arial" w:cs="Arial"/>
          <w:color w:val="333333"/>
          <w:lang w:val="en"/>
        </w:rPr>
        <w:t xml:space="preserve">.  </w:t>
      </w:r>
    </w:p>
    <w:p w14:paraId="215A8489" w14:textId="77777777" w:rsidR="00CE5785" w:rsidRDefault="00CE5785">
      <w:pPr>
        <w:rPr>
          <w:rFonts w:ascii="Arial" w:hAnsi="Arial" w:cs="Arial"/>
          <w:color w:val="333333"/>
          <w:lang w:val="en"/>
        </w:rPr>
      </w:pPr>
    </w:p>
    <w:p w14:paraId="289B4533" w14:textId="77777777" w:rsidR="00F638A9" w:rsidRPr="00F50A65" w:rsidRDefault="00CE5785">
      <w:pPr>
        <w:rPr>
          <w:rFonts w:ascii="Arial" w:hAnsi="Arial" w:cs="Arial"/>
          <w:color w:val="333333"/>
          <w:lang w:val="en"/>
        </w:rPr>
      </w:pPr>
      <w:r>
        <w:rPr>
          <w:rFonts w:ascii="Arial" w:hAnsi="Arial" w:cs="Arial"/>
          <w:color w:val="333333"/>
          <w:lang w:val="en"/>
        </w:rPr>
        <w:t>Lastly</w:t>
      </w:r>
      <w:r w:rsidR="000377DB">
        <w:rPr>
          <w:rFonts w:ascii="Arial" w:hAnsi="Arial" w:cs="Arial"/>
          <w:color w:val="333333"/>
          <w:lang w:val="en"/>
        </w:rPr>
        <w:t xml:space="preserve">, </w:t>
      </w:r>
      <w:r>
        <w:rPr>
          <w:rFonts w:ascii="Arial" w:hAnsi="Arial" w:cs="Arial"/>
          <w:color w:val="333333"/>
          <w:lang w:val="en"/>
        </w:rPr>
        <w:t>Investigators will have an understanding of how</w:t>
      </w:r>
      <w:r w:rsidR="0023213C" w:rsidRPr="00F50A65">
        <w:rPr>
          <w:rFonts w:ascii="Arial" w:hAnsi="Arial" w:cs="Arial"/>
          <w:color w:val="333333"/>
          <w:lang w:val="en"/>
        </w:rPr>
        <w:t xml:space="preserve"> overpayment</w:t>
      </w:r>
      <w:r>
        <w:rPr>
          <w:rFonts w:ascii="Arial" w:hAnsi="Arial" w:cs="Arial"/>
          <w:color w:val="333333"/>
          <w:lang w:val="en"/>
        </w:rPr>
        <w:t>s are</w:t>
      </w:r>
      <w:r w:rsidR="0023213C" w:rsidRPr="00F50A65">
        <w:rPr>
          <w:rFonts w:ascii="Arial" w:hAnsi="Arial" w:cs="Arial"/>
          <w:color w:val="333333"/>
          <w:lang w:val="en"/>
        </w:rPr>
        <w:t xml:space="preserve"> </w:t>
      </w:r>
      <w:r w:rsidR="00FD7DE7">
        <w:rPr>
          <w:rFonts w:ascii="Arial" w:hAnsi="Arial" w:cs="Arial"/>
          <w:color w:val="333333"/>
          <w:lang w:val="en"/>
        </w:rPr>
        <w:t>computed</w:t>
      </w:r>
      <w:r w:rsidR="0023213C" w:rsidRPr="00F50A65">
        <w:rPr>
          <w:rFonts w:ascii="Arial" w:hAnsi="Arial" w:cs="Arial"/>
          <w:color w:val="333333"/>
          <w:lang w:val="en"/>
        </w:rPr>
        <w:t xml:space="preserve"> in accordance with the program rules.</w:t>
      </w:r>
    </w:p>
    <w:bookmarkEnd w:id="0"/>
    <w:p w14:paraId="67BA8FAA" w14:textId="77777777" w:rsidR="00F50A65" w:rsidRPr="00F50A65" w:rsidRDefault="00F50A65">
      <w:pPr>
        <w:rPr>
          <w:rFonts w:ascii="Arial" w:hAnsi="Arial" w:cs="Arial"/>
          <w:color w:val="333333"/>
          <w:lang w:val="en"/>
        </w:rPr>
      </w:pPr>
      <w:r w:rsidRPr="00F50A65">
        <w:rPr>
          <w:rFonts w:ascii="Arial" w:hAnsi="Arial" w:cs="Arial"/>
          <w:color w:val="333333"/>
          <w:lang w:val="en"/>
        </w:rPr>
        <w:br w:type="page"/>
      </w:r>
    </w:p>
    <w:p w14:paraId="7B265A4D" w14:textId="77777777" w:rsidR="00F50A65" w:rsidRPr="00F50A65" w:rsidRDefault="00F50A65">
      <w:pPr>
        <w:rPr>
          <w:rFonts w:ascii="Arial" w:hAnsi="Arial" w:cs="Arial"/>
        </w:rPr>
      </w:pPr>
    </w:p>
    <w:p w14:paraId="09632B3F" w14:textId="77777777" w:rsidR="00F638A9" w:rsidRPr="00F50A65" w:rsidRDefault="00F638A9">
      <w:pPr>
        <w:rPr>
          <w:rFonts w:ascii="Arial" w:hAnsi="Arial" w:cs="Arial"/>
        </w:rPr>
      </w:pPr>
    </w:p>
    <w:p w14:paraId="3C7EB953" w14:textId="77777777" w:rsidR="00F638A9" w:rsidRPr="00F50A65" w:rsidRDefault="00F638A9">
      <w:pPr>
        <w:rPr>
          <w:rFonts w:ascii="Arial" w:hAnsi="Arial" w:cs="Arial"/>
          <w:sz w:val="22"/>
          <w:szCs w:val="22"/>
        </w:rPr>
      </w:pPr>
    </w:p>
    <w:p w14:paraId="649869C9" w14:textId="77777777" w:rsidR="00C91030" w:rsidRPr="00F50A65" w:rsidRDefault="00C91030">
      <w:pPr>
        <w:rPr>
          <w:rFonts w:ascii="Arial" w:hAnsi="Arial" w:cs="Arial"/>
          <w:b/>
          <w:sz w:val="28"/>
          <w:szCs w:val="28"/>
        </w:rPr>
      </w:pPr>
      <w:r w:rsidRPr="00F50A65">
        <w:rPr>
          <w:rFonts w:ascii="Arial" w:hAnsi="Arial" w:cs="Arial"/>
          <w:b/>
          <w:sz w:val="28"/>
          <w:szCs w:val="28"/>
        </w:rPr>
        <w:t>Income and Eligibility Verification Systems</w:t>
      </w:r>
      <w:r w:rsidR="0062423B" w:rsidRPr="00F50A65">
        <w:rPr>
          <w:rFonts w:ascii="Arial" w:hAnsi="Arial" w:cs="Arial"/>
          <w:b/>
          <w:sz w:val="28"/>
          <w:szCs w:val="28"/>
        </w:rPr>
        <w:t xml:space="preserve"> (IEVS)</w:t>
      </w:r>
    </w:p>
    <w:p w14:paraId="461F2C8B" w14:textId="77777777" w:rsidR="00BE5EEC" w:rsidRDefault="00BE5EEC">
      <w:pPr>
        <w:rPr>
          <w:rFonts w:ascii="Arial" w:hAnsi="Arial" w:cs="Arial"/>
          <w:sz w:val="4"/>
        </w:rPr>
      </w:pPr>
    </w:p>
    <w:p w14:paraId="34FCB93F" w14:textId="77777777" w:rsidR="00B015FB" w:rsidRDefault="00B015FB">
      <w:pPr>
        <w:rPr>
          <w:rFonts w:ascii="Arial" w:hAnsi="Arial" w:cs="Arial"/>
          <w:sz w:val="4"/>
        </w:rPr>
      </w:pPr>
    </w:p>
    <w:p w14:paraId="5E5B7D2D" w14:textId="77777777" w:rsidR="00B015FB" w:rsidRDefault="00B015FB">
      <w:pPr>
        <w:rPr>
          <w:rFonts w:ascii="Arial" w:hAnsi="Arial" w:cs="Arial"/>
        </w:rPr>
      </w:pPr>
      <w:r>
        <w:rPr>
          <w:rFonts w:ascii="Arial" w:hAnsi="Arial" w:cs="Arial"/>
        </w:rPr>
        <w:t>In July 1987, the California Department of Health Services, which is now the Department of Health Care Services (DHCS), and the California Department of Social Services (CDSS) implemented the Income and Eligibility Verification System (IEVS).</w:t>
      </w:r>
    </w:p>
    <w:p w14:paraId="76DE18A3" w14:textId="77777777" w:rsidR="00B97E8F" w:rsidRDefault="00B97E8F">
      <w:pPr>
        <w:rPr>
          <w:rFonts w:ascii="Arial" w:hAnsi="Arial" w:cs="Arial"/>
        </w:rPr>
      </w:pPr>
    </w:p>
    <w:p w14:paraId="416417A1" w14:textId="77777777" w:rsidR="00B97E8F" w:rsidRPr="00F50A65" w:rsidRDefault="00B97E8F" w:rsidP="00B97E8F">
      <w:pPr>
        <w:rPr>
          <w:rFonts w:ascii="Arial" w:hAnsi="Arial" w:cs="Arial"/>
        </w:rPr>
      </w:pPr>
      <w:r w:rsidRPr="00F50A65">
        <w:rPr>
          <w:rFonts w:ascii="Arial" w:hAnsi="Arial" w:cs="Arial"/>
        </w:rPr>
        <w:t xml:space="preserve">The Income and Eligibility Verification System (IEVS) is system mandated by federal and state law that is utilized for the purposes of verifying eligibility and benefit amounts for CalWORKs, Refugee/Entrant Cash Assistance, CalFresh (including California Food Assistance Program), and Medi-Cal programs.  </w:t>
      </w:r>
    </w:p>
    <w:p w14:paraId="37EB636A" w14:textId="77777777" w:rsidR="00B97E8F" w:rsidRPr="00F50A65" w:rsidRDefault="00B97E8F" w:rsidP="00B97E8F">
      <w:pPr>
        <w:rPr>
          <w:rFonts w:ascii="Arial" w:hAnsi="Arial" w:cs="Arial"/>
        </w:rPr>
      </w:pPr>
    </w:p>
    <w:p w14:paraId="5C51B0DF" w14:textId="77777777" w:rsidR="00B97E8F" w:rsidRPr="00F50A65" w:rsidRDefault="00B97E8F" w:rsidP="00B97E8F">
      <w:pPr>
        <w:rPr>
          <w:rFonts w:ascii="Arial" w:hAnsi="Arial" w:cs="Arial"/>
        </w:rPr>
      </w:pPr>
      <w:r w:rsidRPr="00F50A65">
        <w:rPr>
          <w:rFonts w:ascii="Arial" w:hAnsi="Arial" w:cs="Arial"/>
        </w:rPr>
        <w:t xml:space="preserve">IEVS matches applicant name, date of birth, and Social Security Number (SSN) with state welfare files, wage and unemployment/disability benefit files, interest and dividend information from State Franchise Tax Board (FTB) files and Social Security Administration (SSA). </w:t>
      </w:r>
    </w:p>
    <w:p w14:paraId="44FB5346" w14:textId="77777777" w:rsidR="00B97E8F" w:rsidRDefault="00B97E8F">
      <w:pPr>
        <w:rPr>
          <w:rFonts w:ascii="Arial" w:hAnsi="Arial" w:cs="Arial"/>
        </w:rPr>
      </w:pPr>
    </w:p>
    <w:p w14:paraId="78B66C5C" w14:textId="77777777" w:rsidR="00B97E8F" w:rsidRDefault="00B97E8F">
      <w:pPr>
        <w:rPr>
          <w:rFonts w:ascii="Arial" w:hAnsi="Arial" w:cs="Arial"/>
        </w:rPr>
      </w:pPr>
      <w:r>
        <w:rPr>
          <w:rFonts w:ascii="Arial" w:hAnsi="Arial" w:cs="Arial"/>
        </w:rPr>
        <w:t>There are two components to IEVS.</w:t>
      </w:r>
    </w:p>
    <w:p w14:paraId="0967EDA7" w14:textId="77777777" w:rsidR="00B97E8F" w:rsidRDefault="00B97E8F" w:rsidP="00B97E8F">
      <w:pPr>
        <w:pStyle w:val="ListParagraph"/>
        <w:numPr>
          <w:ilvl w:val="0"/>
          <w:numId w:val="32"/>
        </w:numPr>
        <w:rPr>
          <w:rFonts w:ascii="Arial" w:hAnsi="Arial" w:cs="Arial"/>
        </w:rPr>
      </w:pPr>
      <w:r>
        <w:rPr>
          <w:rFonts w:ascii="Arial" w:hAnsi="Arial" w:cs="Arial"/>
        </w:rPr>
        <w:t xml:space="preserve">Applicant </w:t>
      </w:r>
    </w:p>
    <w:p w14:paraId="7314C641" w14:textId="77777777" w:rsidR="00B97E8F" w:rsidRPr="00B97E8F" w:rsidRDefault="00B97E8F" w:rsidP="00B97E8F">
      <w:pPr>
        <w:pStyle w:val="ListParagraph"/>
        <w:numPr>
          <w:ilvl w:val="0"/>
          <w:numId w:val="32"/>
        </w:numPr>
        <w:rPr>
          <w:rFonts w:ascii="Arial" w:hAnsi="Arial" w:cs="Arial"/>
        </w:rPr>
      </w:pPr>
      <w:r>
        <w:rPr>
          <w:rFonts w:ascii="Arial" w:hAnsi="Arial" w:cs="Arial"/>
        </w:rPr>
        <w:t>Recipient</w:t>
      </w:r>
    </w:p>
    <w:p w14:paraId="7F069A5B" w14:textId="77777777" w:rsidR="00B015FB" w:rsidRDefault="00B015FB">
      <w:pPr>
        <w:rPr>
          <w:rFonts w:ascii="Arial" w:hAnsi="Arial" w:cs="Arial"/>
        </w:rPr>
      </w:pPr>
    </w:p>
    <w:p w14:paraId="3B5C80E2" w14:textId="77777777" w:rsidR="006657AD" w:rsidRPr="00B015FB" w:rsidRDefault="006657AD">
      <w:pPr>
        <w:rPr>
          <w:rFonts w:ascii="Arial" w:hAnsi="Arial" w:cs="Arial"/>
        </w:rPr>
      </w:pPr>
    </w:p>
    <w:p w14:paraId="66C92043" w14:textId="77777777" w:rsidR="0062423B" w:rsidRDefault="00BE5EEC">
      <w:pPr>
        <w:rPr>
          <w:rFonts w:ascii="Arial" w:hAnsi="Arial" w:cs="Arial"/>
          <w:b/>
          <w:sz w:val="26"/>
          <w:szCs w:val="26"/>
        </w:rPr>
      </w:pPr>
      <w:r w:rsidRPr="00B97E8F">
        <w:rPr>
          <w:rFonts w:ascii="Arial" w:hAnsi="Arial" w:cs="Arial"/>
          <w:b/>
          <w:sz w:val="26"/>
          <w:szCs w:val="26"/>
        </w:rPr>
        <w:t>Applicant IEVS</w:t>
      </w:r>
    </w:p>
    <w:p w14:paraId="4CE79317" w14:textId="77777777" w:rsidR="00B97E8F" w:rsidRPr="00B97E8F" w:rsidRDefault="00B97E8F">
      <w:pPr>
        <w:rPr>
          <w:rFonts w:ascii="Arial" w:hAnsi="Arial" w:cs="Arial"/>
          <w:sz w:val="26"/>
          <w:szCs w:val="26"/>
        </w:rPr>
      </w:pPr>
    </w:p>
    <w:p w14:paraId="6B02B0A5" w14:textId="77777777" w:rsidR="00645699" w:rsidRPr="00F50A65" w:rsidRDefault="00B97E8F">
      <w:pPr>
        <w:rPr>
          <w:rFonts w:ascii="Arial" w:hAnsi="Arial" w:cs="Arial"/>
        </w:rPr>
      </w:pPr>
      <w:r w:rsidRPr="006657AD">
        <w:rPr>
          <w:rFonts w:ascii="Arial" w:hAnsi="Arial" w:cs="Arial"/>
        </w:rPr>
        <w:t>When an applicant applies for CalWORKS, CalFresh, or Medical, the county submits identifying information (name,</w:t>
      </w:r>
      <w:r w:rsidR="006657AD">
        <w:rPr>
          <w:rFonts w:ascii="Arial" w:hAnsi="Arial" w:cs="Arial"/>
        </w:rPr>
        <w:t xml:space="preserve"> </w:t>
      </w:r>
      <w:r w:rsidRPr="006657AD">
        <w:rPr>
          <w:rFonts w:ascii="Arial" w:hAnsi="Arial" w:cs="Arial"/>
        </w:rPr>
        <w:t>SSN,</w:t>
      </w:r>
      <w:r w:rsidR="006657AD">
        <w:rPr>
          <w:rFonts w:ascii="Arial" w:hAnsi="Arial" w:cs="Arial"/>
        </w:rPr>
        <w:t xml:space="preserve"> </w:t>
      </w:r>
      <w:r w:rsidR="006657AD" w:rsidRPr="006657AD">
        <w:rPr>
          <w:rFonts w:ascii="Arial" w:hAnsi="Arial" w:cs="Arial"/>
        </w:rPr>
        <w:t>etc.</w:t>
      </w:r>
      <w:r w:rsidR="006657AD">
        <w:rPr>
          <w:rFonts w:ascii="Arial" w:hAnsi="Arial" w:cs="Arial"/>
        </w:rPr>
        <w:t>.</w:t>
      </w:r>
      <w:r w:rsidRPr="006657AD">
        <w:rPr>
          <w:rFonts w:ascii="Arial" w:hAnsi="Arial" w:cs="Arial"/>
        </w:rPr>
        <w:t>) to DHS via the MEDS system</w:t>
      </w:r>
      <w:r w:rsidR="006657AD" w:rsidRPr="006657AD">
        <w:rPr>
          <w:rFonts w:ascii="Arial" w:hAnsi="Arial" w:cs="Arial"/>
        </w:rPr>
        <w:t>. The applicant information is cross matched with the MEDS file and IEVS Applicant file and with the various income and benefit sources.</w:t>
      </w:r>
      <w:r w:rsidR="006657AD">
        <w:rPr>
          <w:rFonts w:ascii="Arial" w:hAnsi="Arial" w:cs="Arial"/>
        </w:rPr>
        <w:t xml:space="preserve">  When all the information is received, the abstract data is sent through the consortia to the county within 3 to 4 working days. This information is used during the eligibility determination process to verify the accuracy of income, assets, and eligibility information provided by the client.</w:t>
      </w:r>
      <w:bookmarkStart w:id="1" w:name="ref"/>
      <w:bookmarkStart w:id="2" w:name="form"/>
      <w:bookmarkStart w:id="3" w:name="terms"/>
      <w:bookmarkStart w:id="4" w:name="guide"/>
      <w:bookmarkEnd w:id="1"/>
      <w:bookmarkEnd w:id="2"/>
      <w:bookmarkEnd w:id="3"/>
      <w:bookmarkEnd w:id="4"/>
    </w:p>
    <w:p w14:paraId="613F9B3B" w14:textId="77777777" w:rsidR="00645699" w:rsidRPr="00F50A65" w:rsidRDefault="00645699">
      <w:pPr>
        <w:rPr>
          <w:rFonts w:ascii="Arial" w:hAnsi="Arial" w:cs="Arial"/>
        </w:rPr>
      </w:pPr>
    </w:p>
    <w:p w14:paraId="603318D9" w14:textId="77777777" w:rsidR="00812122" w:rsidRPr="00F50A65" w:rsidRDefault="00645699">
      <w:pPr>
        <w:rPr>
          <w:rFonts w:ascii="Arial" w:hAnsi="Arial" w:cs="Arial"/>
          <w:b/>
        </w:rPr>
      </w:pPr>
      <w:r w:rsidRPr="00F50A65">
        <w:rPr>
          <w:rFonts w:ascii="Arial" w:hAnsi="Arial" w:cs="Arial"/>
          <w:b/>
        </w:rPr>
        <w:t xml:space="preserve">Processing </w:t>
      </w:r>
      <w:r w:rsidR="00812122" w:rsidRPr="00F50A65">
        <w:rPr>
          <w:rFonts w:ascii="Arial" w:hAnsi="Arial" w:cs="Arial"/>
          <w:b/>
        </w:rPr>
        <w:t>Time Frame</w:t>
      </w:r>
    </w:p>
    <w:p w14:paraId="234D24AF" w14:textId="77777777" w:rsidR="00645699" w:rsidRPr="00F50A65" w:rsidRDefault="00645699">
      <w:pPr>
        <w:rPr>
          <w:rFonts w:ascii="Arial" w:hAnsi="Arial" w:cs="Arial"/>
          <w:b/>
        </w:rPr>
      </w:pPr>
    </w:p>
    <w:p w14:paraId="61851DF8" w14:textId="77777777" w:rsidR="00645699" w:rsidRPr="00F50A65" w:rsidRDefault="00645699" w:rsidP="00645699">
      <w:pPr>
        <w:rPr>
          <w:rFonts w:ascii="Arial" w:hAnsi="Arial" w:cs="Arial"/>
        </w:rPr>
      </w:pPr>
      <w:r w:rsidRPr="00F50A65">
        <w:rPr>
          <w:rFonts w:ascii="Arial" w:hAnsi="Arial" w:cs="Arial"/>
        </w:rPr>
        <w:t xml:space="preserve">Applicant IEVS abstracts must be processed no later than 30 days for CalWORKs applications and 45 days for the CalFresh and Medi-Cal programs from the date the IEVS abstract is generated, which is identified as the “report date”, or prior to allowance of assistance if abstracts are received prior to issuance of benefits, </w:t>
      </w:r>
      <w:r w:rsidRPr="00F50A65">
        <w:rPr>
          <w:rFonts w:ascii="Arial" w:hAnsi="Arial" w:cs="Arial"/>
          <w:b/>
        </w:rPr>
        <w:t>whichever is earlier</w:t>
      </w:r>
      <w:r w:rsidRPr="00F50A65">
        <w:rPr>
          <w:rFonts w:ascii="Arial" w:hAnsi="Arial" w:cs="Arial"/>
        </w:rPr>
        <w:t>.</w:t>
      </w:r>
    </w:p>
    <w:p w14:paraId="4ADBAF79" w14:textId="77777777" w:rsidR="00190F28" w:rsidRPr="00F50A65" w:rsidRDefault="00190F28">
      <w:pPr>
        <w:rPr>
          <w:rFonts w:ascii="Arial" w:hAnsi="Arial" w:cs="Arial"/>
        </w:rPr>
      </w:pPr>
    </w:p>
    <w:p w14:paraId="68E7A2E0" w14:textId="77777777" w:rsidR="00190F28" w:rsidRPr="00F50A65" w:rsidRDefault="00190F28">
      <w:pPr>
        <w:rPr>
          <w:rFonts w:ascii="Arial" w:hAnsi="Arial" w:cs="Arial"/>
        </w:rPr>
      </w:pPr>
    </w:p>
    <w:p w14:paraId="19605720" w14:textId="77777777" w:rsidR="00190F28" w:rsidRPr="00F50A65" w:rsidRDefault="00190F28">
      <w:pPr>
        <w:rPr>
          <w:rFonts w:ascii="Arial" w:hAnsi="Arial" w:cs="Arial"/>
        </w:rPr>
      </w:pPr>
    </w:p>
    <w:p w14:paraId="1FFB21BF" w14:textId="77777777" w:rsidR="00190F28" w:rsidRPr="00F50A65" w:rsidRDefault="00190F28">
      <w:pPr>
        <w:rPr>
          <w:rFonts w:ascii="Arial" w:hAnsi="Arial" w:cs="Arial"/>
        </w:rPr>
      </w:pPr>
      <w:r w:rsidRPr="00F50A65">
        <w:rPr>
          <w:rFonts w:ascii="Arial" w:hAnsi="Arial" w:cs="Arial"/>
        </w:rPr>
        <w:br w:type="page"/>
      </w:r>
    </w:p>
    <w:p w14:paraId="004A5BEE" w14:textId="77777777" w:rsidR="00190F28" w:rsidRPr="00F50A65" w:rsidRDefault="00190F28">
      <w:pPr>
        <w:rPr>
          <w:rFonts w:ascii="Arial" w:hAnsi="Arial" w:cs="Arial"/>
        </w:rPr>
      </w:pPr>
    </w:p>
    <w:p w14:paraId="3FB56E23" w14:textId="77777777" w:rsidR="00190F28" w:rsidRDefault="00190F28">
      <w:pPr>
        <w:rPr>
          <w:rFonts w:ascii="Arial" w:hAnsi="Arial" w:cs="Arial"/>
          <w:b/>
          <w:sz w:val="28"/>
          <w:szCs w:val="28"/>
        </w:rPr>
      </w:pPr>
      <w:r w:rsidRPr="00F50A65">
        <w:rPr>
          <w:rFonts w:ascii="Arial" w:hAnsi="Arial" w:cs="Arial"/>
          <w:b/>
          <w:sz w:val="28"/>
          <w:szCs w:val="28"/>
        </w:rPr>
        <w:t>Recipient IEVS</w:t>
      </w:r>
    </w:p>
    <w:p w14:paraId="2E4F02CB" w14:textId="77777777" w:rsidR="006657AD" w:rsidRPr="00F50A65" w:rsidRDefault="006657AD">
      <w:pPr>
        <w:rPr>
          <w:rFonts w:ascii="Arial" w:hAnsi="Arial" w:cs="Arial"/>
          <w:b/>
          <w:sz w:val="28"/>
          <w:szCs w:val="28"/>
        </w:rPr>
      </w:pPr>
    </w:p>
    <w:p w14:paraId="282AF1F3" w14:textId="77777777" w:rsidR="00F50A65" w:rsidRDefault="00190F28">
      <w:pPr>
        <w:rPr>
          <w:rFonts w:ascii="Arial" w:hAnsi="Arial" w:cs="Arial"/>
        </w:rPr>
      </w:pPr>
      <w:r w:rsidRPr="00F50A65">
        <w:rPr>
          <w:rFonts w:ascii="Arial" w:hAnsi="Arial" w:cs="Arial"/>
        </w:rPr>
        <w:t xml:space="preserve">Recipient IEVS </w:t>
      </w:r>
      <w:r w:rsidR="006657AD">
        <w:rPr>
          <w:rFonts w:ascii="Arial" w:hAnsi="Arial" w:cs="Arial"/>
        </w:rPr>
        <w:t xml:space="preserve">provides income and eligibility information at various times of the year, depending on the match. An </w:t>
      </w:r>
      <w:r w:rsidR="00F50A65">
        <w:rPr>
          <w:rFonts w:ascii="Arial" w:hAnsi="Arial" w:cs="Arial"/>
        </w:rPr>
        <w:t>abstract</w:t>
      </w:r>
      <w:r w:rsidRPr="00F50A65">
        <w:rPr>
          <w:rFonts w:ascii="Arial" w:hAnsi="Arial" w:cs="Arial"/>
        </w:rPr>
        <w:t xml:space="preserve"> </w:t>
      </w:r>
      <w:r w:rsidR="00F50A65">
        <w:rPr>
          <w:rFonts w:ascii="Arial" w:hAnsi="Arial" w:cs="Arial"/>
        </w:rPr>
        <w:t xml:space="preserve">is generated </w:t>
      </w:r>
      <w:r w:rsidRPr="00F50A65">
        <w:rPr>
          <w:rFonts w:ascii="Arial" w:hAnsi="Arial" w:cs="Arial"/>
        </w:rPr>
        <w:t>on an individual when there is information in excess of the tolerance level for that individual.</w:t>
      </w:r>
      <w:r w:rsidR="006657AD">
        <w:rPr>
          <w:rFonts w:ascii="Arial" w:hAnsi="Arial" w:cs="Arial"/>
        </w:rPr>
        <w:t xml:space="preserve"> The tolerance level and/or thresholds for some matches are used to ensure that only information is sent to counties which, if unreported, could be expected to impact eligibility or benefit amount.</w:t>
      </w:r>
    </w:p>
    <w:p w14:paraId="1290C6B4" w14:textId="77777777" w:rsidR="00F50A65" w:rsidRDefault="00F50A65">
      <w:pPr>
        <w:rPr>
          <w:rFonts w:ascii="Arial" w:hAnsi="Arial" w:cs="Arial"/>
        </w:rPr>
      </w:pPr>
    </w:p>
    <w:p w14:paraId="5723AF8C" w14:textId="77777777" w:rsidR="00190F28" w:rsidRPr="00F50A65" w:rsidRDefault="00F50A65">
      <w:pPr>
        <w:rPr>
          <w:rFonts w:ascii="Arial" w:hAnsi="Arial" w:cs="Arial"/>
        </w:rPr>
      </w:pPr>
      <w:r>
        <w:rPr>
          <w:rFonts w:ascii="Arial" w:hAnsi="Arial" w:cs="Arial"/>
        </w:rPr>
        <w:t>This</w:t>
      </w:r>
      <w:r w:rsidR="00190F28" w:rsidRPr="00F50A65">
        <w:rPr>
          <w:rFonts w:ascii="Arial" w:hAnsi="Arial" w:cs="Arial"/>
        </w:rPr>
        <w:t xml:space="preserve"> is a list of the matches with a description and frequency of the runs.</w:t>
      </w:r>
    </w:p>
    <w:p w14:paraId="0F1264A1" w14:textId="77777777" w:rsidR="00812122" w:rsidRPr="00F50A65" w:rsidRDefault="00812122">
      <w:pPr>
        <w:rPr>
          <w:rFonts w:ascii="Arial" w:hAnsi="Arial" w:cs="Arial"/>
        </w:rPr>
      </w:pPr>
    </w:p>
    <w:p w14:paraId="4FAB3500" w14:textId="77777777" w:rsidR="00812122" w:rsidRPr="00243609" w:rsidRDefault="00243609">
      <w:pPr>
        <w:rPr>
          <w:rFonts w:ascii="Arial" w:hAnsi="Arial" w:cs="Arial"/>
          <w:b/>
        </w:rPr>
      </w:pPr>
      <w:r w:rsidRPr="00243609">
        <w:rPr>
          <w:rFonts w:ascii="Arial" w:hAnsi="Arial" w:cs="Arial"/>
          <w:b/>
        </w:rPr>
        <w:t xml:space="preserve">Processing </w:t>
      </w:r>
      <w:r w:rsidR="00812122" w:rsidRPr="00243609">
        <w:rPr>
          <w:rFonts w:ascii="Arial" w:hAnsi="Arial" w:cs="Arial"/>
          <w:b/>
        </w:rPr>
        <w:t>Time Frame</w:t>
      </w:r>
    </w:p>
    <w:p w14:paraId="761D29E6" w14:textId="77777777" w:rsidR="00812122" w:rsidRDefault="00812122">
      <w:pPr>
        <w:rPr>
          <w:rFonts w:ascii="Arial" w:hAnsi="Arial" w:cs="Arial"/>
        </w:rPr>
      </w:pPr>
      <w:r w:rsidRPr="00F50A65">
        <w:rPr>
          <w:rFonts w:ascii="Arial" w:hAnsi="Arial" w:cs="Arial"/>
        </w:rPr>
        <w:t>Recipient IEVS matches</w:t>
      </w:r>
      <w:r w:rsidR="00243609">
        <w:rPr>
          <w:rFonts w:ascii="Arial" w:hAnsi="Arial" w:cs="Arial"/>
        </w:rPr>
        <w:t xml:space="preserve"> are required to be processed</w:t>
      </w:r>
      <w:r w:rsidRPr="00F50A65">
        <w:rPr>
          <w:rFonts w:ascii="Arial" w:hAnsi="Arial" w:cs="Arial"/>
        </w:rPr>
        <w:t xml:space="preserve"> within 45 days of receipt</w:t>
      </w:r>
      <w:r w:rsidR="00243609">
        <w:rPr>
          <w:rFonts w:ascii="Arial" w:hAnsi="Arial" w:cs="Arial"/>
        </w:rPr>
        <w:t>,</w:t>
      </w:r>
      <w:r w:rsidR="00FB47AF" w:rsidRPr="00F50A65">
        <w:rPr>
          <w:rFonts w:ascii="Arial" w:hAnsi="Arial" w:cs="Arial"/>
        </w:rPr>
        <w:t xml:space="preserve"> </w:t>
      </w:r>
      <w:r w:rsidR="001865E2">
        <w:rPr>
          <w:rFonts w:ascii="Arial" w:hAnsi="Arial" w:cs="Arial"/>
        </w:rPr>
        <w:t>an OP/OI must be established by the end of the quarter after the match was received</w:t>
      </w:r>
      <w:r w:rsidR="002E7404">
        <w:rPr>
          <w:rFonts w:ascii="Arial" w:hAnsi="Arial" w:cs="Arial"/>
        </w:rPr>
        <w:t>.</w:t>
      </w:r>
    </w:p>
    <w:p w14:paraId="57DD41C8" w14:textId="77777777" w:rsidR="001865E2" w:rsidRDefault="001865E2">
      <w:pPr>
        <w:rPr>
          <w:rFonts w:ascii="Arial" w:hAnsi="Arial" w:cs="Arial"/>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4"/>
        <w:gridCol w:w="4504"/>
      </w:tblGrid>
      <w:tr w:rsidR="00177A24" w:rsidRPr="00177A24" w14:paraId="54D33C48" w14:textId="77777777" w:rsidTr="00177A24">
        <w:tc>
          <w:tcPr>
            <w:tcW w:w="5224" w:type="dxa"/>
          </w:tcPr>
          <w:p w14:paraId="5E317EC7" w14:textId="77777777" w:rsidR="00177A24" w:rsidRPr="00177A24" w:rsidRDefault="00177A24" w:rsidP="005628CC">
            <w:pPr>
              <w:pStyle w:val="Default"/>
              <w:rPr>
                <w:b/>
                <w:bCs/>
              </w:rPr>
            </w:pPr>
            <w:r w:rsidRPr="00177A24">
              <w:rPr>
                <w:b/>
                <w:bCs/>
              </w:rPr>
              <w:t>Integrated Fraud Detection (IFD 440)</w:t>
            </w:r>
          </w:p>
        </w:tc>
        <w:tc>
          <w:tcPr>
            <w:tcW w:w="4504" w:type="dxa"/>
          </w:tcPr>
          <w:p w14:paraId="2BD9926D" w14:textId="77777777" w:rsidR="00177A24" w:rsidRPr="00177A24" w:rsidRDefault="00177A24" w:rsidP="00177A24">
            <w:pPr>
              <w:pStyle w:val="Default"/>
              <w:jc w:val="right"/>
              <w:rPr>
                <w:b/>
                <w:bCs/>
              </w:rPr>
            </w:pPr>
            <w:r>
              <w:rPr>
                <w:b/>
                <w:bCs/>
              </w:rPr>
              <w:t>Quarterly</w:t>
            </w:r>
          </w:p>
        </w:tc>
      </w:tr>
    </w:tbl>
    <w:p w14:paraId="46BC8A72" w14:textId="77777777" w:rsidR="009B4362" w:rsidRPr="009B4362" w:rsidRDefault="009B4362" w:rsidP="006E4C82">
      <w:pPr>
        <w:pStyle w:val="Default"/>
        <w:rPr>
          <w:b/>
          <w:bCs/>
          <w:sz w:val="16"/>
        </w:rPr>
      </w:pPr>
    </w:p>
    <w:p w14:paraId="4A180DA8" w14:textId="77777777" w:rsidR="006E4C82" w:rsidRPr="00F50A65" w:rsidRDefault="006E4C82" w:rsidP="006E4C82">
      <w:pPr>
        <w:pStyle w:val="Default"/>
      </w:pPr>
      <w:r w:rsidRPr="00F50A65">
        <w:rPr>
          <w:b/>
          <w:bCs/>
        </w:rPr>
        <w:t xml:space="preserve">Wage Match </w:t>
      </w:r>
    </w:p>
    <w:p w14:paraId="17D0C27F" w14:textId="77777777" w:rsidR="00D83D95" w:rsidRDefault="00D83D95">
      <w:pPr>
        <w:rPr>
          <w:rFonts w:ascii="Arial" w:hAnsi="Arial" w:cs="Arial"/>
        </w:rPr>
      </w:pPr>
      <w:r w:rsidRPr="00F50A65">
        <w:rPr>
          <w:rFonts w:ascii="Arial" w:hAnsi="Arial" w:cs="Arial"/>
        </w:rPr>
        <w:t xml:space="preserve">The </w:t>
      </w:r>
      <w:r w:rsidR="009B4362">
        <w:rPr>
          <w:rFonts w:ascii="Arial" w:hAnsi="Arial" w:cs="Arial"/>
        </w:rPr>
        <w:t>wage match</w:t>
      </w:r>
      <w:r w:rsidRPr="00F50A65">
        <w:rPr>
          <w:rFonts w:ascii="Arial" w:hAnsi="Arial" w:cs="Arial"/>
        </w:rPr>
        <w:t xml:space="preserve"> contains earnings that were reported to the EDD from employers and this information is 9-12 months old.  A request for verification must be sent to the client to determine if the earnings continue, the amount paid, and the frequency of payments.  </w:t>
      </w:r>
    </w:p>
    <w:p w14:paraId="3EC23B28" w14:textId="77777777" w:rsidR="002E7404" w:rsidRDefault="002E7404">
      <w:pPr>
        <w:rPr>
          <w:rFonts w:ascii="Arial" w:hAnsi="Arial" w:cs="Arial"/>
        </w:rPr>
      </w:pPr>
    </w:p>
    <w:p w14:paraId="3C645023" w14:textId="77777777" w:rsidR="009B4362" w:rsidRDefault="009B4362">
      <w:pPr>
        <w:rPr>
          <w:rFonts w:ascii="Arial" w:hAnsi="Arial" w:cs="Arial"/>
          <w:b/>
        </w:rPr>
      </w:pPr>
      <w:r>
        <w:rPr>
          <w:rFonts w:ascii="Arial" w:hAnsi="Arial" w:cs="Arial"/>
          <w:b/>
        </w:rPr>
        <w:t>Duplicate Aid</w:t>
      </w:r>
    </w:p>
    <w:p w14:paraId="6F632A0D" w14:textId="77777777" w:rsidR="009B4362" w:rsidRDefault="009B4362">
      <w:pPr>
        <w:rPr>
          <w:rFonts w:ascii="Arial" w:hAnsi="Arial" w:cs="Arial"/>
        </w:rPr>
      </w:pPr>
      <w:r>
        <w:rPr>
          <w:rFonts w:ascii="Arial" w:hAnsi="Arial" w:cs="Arial"/>
        </w:rPr>
        <w:t>This match finds two or more records containing the same identifiers. This information is 7-9 months old.</w:t>
      </w:r>
    </w:p>
    <w:p w14:paraId="4A511EAC" w14:textId="77777777" w:rsidR="002E7404" w:rsidRDefault="002E7404">
      <w:pPr>
        <w:rPr>
          <w:rFonts w:ascii="Arial" w:hAnsi="Arial" w:cs="Arial"/>
        </w:rPr>
      </w:pPr>
    </w:p>
    <w:p w14:paraId="25128055" w14:textId="77777777" w:rsidR="009B4362" w:rsidRPr="009B4362" w:rsidRDefault="009B4362">
      <w:pPr>
        <w:rPr>
          <w:rFonts w:ascii="Arial" w:hAnsi="Arial" w:cs="Arial"/>
          <w:b/>
        </w:rPr>
      </w:pPr>
      <w:r w:rsidRPr="009B4362">
        <w:rPr>
          <w:rFonts w:ascii="Arial" w:hAnsi="Arial" w:cs="Arial"/>
          <w:b/>
        </w:rPr>
        <w:t>SSI/SSP Match</w:t>
      </w:r>
    </w:p>
    <w:p w14:paraId="51D1FA2B" w14:textId="77777777" w:rsidR="009B4362" w:rsidRDefault="009B4362">
      <w:pPr>
        <w:rPr>
          <w:rFonts w:ascii="Arial" w:hAnsi="Arial" w:cs="Arial"/>
        </w:rPr>
      </w:pPr>
      <w:r>
        <w:rPr>
          <w:rFonts w:ascii="Arial" w:hAnsi="Arial" w:cs="Arial"/>
        </w:rPr>
        <w:t>This match compares information with the Social Security Administration and will identify individuals receiving CalWORKs/CalFresh benefits and SSI/SSP benefits.</w:t>
      </w:r>
    </w:p>
    <w:p w14:paraId="7F7733C9" w14:textId="77777777" w:rsidR="009B4362" w:rsidRDefault="009B4362">
      <w:pPr>
        <w:rPr>
          <w:rFonts w:ascii="Arial" w:hAnsi="Arial" w:cs="Arial"/>
        </w:rPr>
      </w:pPr>
    </w:p>
    <w:p w14:paraId="1B0AA301" w14:textId="77777777" w:rsidR="001865E2" w:rsidRPr="00F50A65" w:rsidRDefault="001865E2">
      <w:pPr>
        <w:rPr>
          <w:rFonts w:ascii="Arial" w:hAnsi="Arial" w:cs="Arial"/>
        </w:rPr>
      </w:pPr>
    </w:p>
    <w:p w14:paraId="021C0FF2" w14:textId="77777777" w:rsidR="00D83D95" w:rsidRPr="00F50A65" w:rsidRDefault="00D83D95">
      <w:pPr>
        <w:rPr>
          <w:rFonts w:ascii="Arial" w:hAnsi="Arial" w:cs="Arial"/>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4063"/>
      </w:tblGrid>
      <w:tr w:rsidR="00177A24" w:rsidRPr="00177A24" w14:paraId="1B82DC5D" w14:textId="77777777" w:rsidTr="00177A24">
        <w:tc>
          <w:tcPr>
            <w:tcW w:w="5665" w:type="dxa"/>
          </w:tcPr>
          <w:p w14:paraId="099C5B55" w14:textId="77777777" w:rsidR="00177A24" w:rsidRPr="00177A24" w:rsidRDefault="00177A24" w:rsidP="006A036F">
            <w:pPr>
              <w:pStyle w:val="Default"/>
            </w:pPr>
            <w:r w:rsidRPr="00177A24">
              <w:rPr>
                <w:b/>
                <w:bCs/>
              </w:rPr>
              <w:t xml:space="preserve">Internal Revenue Service (IRS) Asset Match </w:t>
            </w:r>
          </w:p>
        </w:tc>
        <w:tc>
          <w:tcPr>
            <w:tcW w:w="4063" w:type="dxa"/>
          </w:tcPr>
          <w:p w14:paraId="4E6889FF" w14:textId="77777777" w:rsidR="00177A24" w:rsidRPr="00177A24" w:rsidRDefault="00177A24" w:rsidP="00177A24">
            <w:pPr>
              <w:pStyle w:val="Default"/>
              <w:jc w:val="right"/>
              <w:rPr>
                <w:b/>
                <w:bCs/>
              </w:rPr>
            </w:pPr>
            <w:r>
              <w:rPr>
                <w:b/>
                <w:bCs/>
              </w:rPr>
              <w:t>Annually</w:t>
            </w:r>
          </w:p>
        </w:tc>
      </w:tr>
    </w:tbl>
    <w:p w14:paraId="064C9316" w14:textId="77777777" w:rsidR="006E4C82" w:rsidRPr="00F50A65" w:rsidRDefault="00177A24">
      <w:pPr>
        <w:rPr>
          <w:rFonts w:ascii="Arial" w:hAnsi="Arial" w:cs="Arial"/>
        </w:rPr>
      </w:pPr>
      <w:r w:rsidRPr="00177A24">
        <w:rPr>
          <w:rFonts w:ascii="Arial" w:hAnsi="Arial" w:cs="Arial"/>
        </w:rPr>
        <w:t xml:space="preserve">Provides information on unearned income (e.g. interest or dividends) reported to the Internal Revenue Service and other income information not on the Franchise Tax Board’s file. </w:t>
      </w:r>
      <w:r w:rsidR="008530C7" w:rsidRPr="00F50A65">
        <w:rPr>
          <w:rFonts w:ascii="Arial" w:hAnsi="Arial" w:cs="Arial"/>
        </w:rPr>
        <w:t xml:space="preserve">This report will provide information on Pensions, Lottery winnings, interest on bank accounts, and retirement accounts (401k).  Pensions and Lottery winnings are acted on to determine if current eligibility will be affected and if there are Over payments and Overissuances to be </w:t>
      </w:r>
      <w:r w:rsidR="002449C2" w:rsidRPr="00F50A65">
        <w:rPr>
          <w:rFonts w:ascii="Arial" w:hAnsi="Arial" w:cs="Arial"/>
        </w:rPr>
        <w:t>calculated.  Interest on bank accounts, stocks, bonds, retirement accounts are generally exempt</w:t>
      </w:r>
      <w:r>
        <w:rPr>
          <w:rFonts w:ascii="Arial" w:hAnsi="Arial" w:cs="Arial"/>
        </w:rPr>
        <w:t>.</w:t>
      </w:r>
    </w:p>
    <w:p w14:paraId="42B3686B" w14:textId="77777777" w:rsidR="008530C7" w:rsidRPr="00F50A65" w:rsidRDefault="008530C7">
      <w:pPr>
        <w:rPr>
          <w:rFonts w:ascii="Arial" w:hAnsi="Arial" w:cs="Arial"/>
        </w:rPr>
      </w:pPr>
    </w:p>
    <w:p w14:paraId="77B997E6" w14:textId="77777777" w:rsidR="002449C2" w:rsidRPr="00F50A65" w:rsidRDefault="002449C2">
      <w:pPr>
        <w:rPr>
          <w:rFonts w:ascii="Arial" w:hAnsi="Arial" w:cs="Arial"/>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5"/>
        <w:gridCol w:w="4153"/>
      </w:tblGrid>
      <w:tr w:rsidR="00177A24" w:rsidRPr="00177A24" w14:paraId="3A5DFE22" w14:textId="77777777" w:rsidTr="00177A24">
        <w:tc>
          <w:tcPr>
            <w:tcW w:w="5575" w:type="dxa"/>
          </w:tcPr>
          <w:p w14:paraId="26055A40" w14:textId="77777777" w:rsidR="00177A24" w:rsidRPr="00177A24" w:rsidRDefault="00177A24" w:rsidP="00A56465">
            <w:pPr>
              <w:pStyle w:val="Default"/>
            </w:pPr>
            <w:r w:rsidRPr="00177A24">
              <w:rPr>
                <w:b/>
                <w:bCs/>
              </w:rPr>
              <w:t xml:space="preserve">Beneficiary Earning Exchange Record (BEER) </w:t>
            </w:r>
          </w:p>
        </w:tc>
        <w:tc>
          <w:tcPr>
            <w:tcW w:w="4153" w:type="dxa"/>
          </w:tcPr>
          <w:p w14:paraId="3664214B" w14:textId="77777777" w:rsidR="00177A24" w:rsidRPr="00177A24" w:rsidRDefault="00177A24" w:rsidP="00177A24">
            <w:pPr>
              <w:pStyle w:val="Default"/>
              <w:jc w:val="right"/>
              <w:rPr>
                <w:b/>
                <w:bCs/>
              </w:rPr>
            </w:pPr>
            <w:r>
              <w:rPr>
                <w:b/>
                <w:bCs/>
              </w:rPr>
              <w:t>Monthly</w:t>
            </w:r>
          </w:p>
        </w:tc>
      </w:tr>
    </w:tbl>
    <w:p w14:paraId="42EB278F" w14:textId="77777777" w:rsidR="002449C2" w:rsidRDefault="00177A24">
      <w:pPr>
        <w:rPr>
          <w:rFonts w:ascii="Arial" w:hAnsi="Arial" w:cs="Arial"/>
        </w:rPr>
      </w:pPr>
      <w:r w:rsidRPr="00177A24">
        <w:rPr>
          <w:rFonts w:ascii="Arial" w:hAnsi="Arial" w:cs="Arial"/>
        </w:rPr>
        <w:t>Provides wage information that includes out-of-state wages, self-employment, and wages not previously reported to EDD</w:t>
      </w:r>
      <w:r w:rsidRPr="00F50A65">
        <w:t xml:space="preserve">. </w:t>
      </w:r>
      <w:r w:rsidR="002449C2" w:rsidRPr="00F50A65">
        <w:rPr>
          <w:rFonts w:ascii="Arial" w:hAnsi="Arial" w:cs="Arial"/>
        </w:rPr>
        <w:t>Wages that do not appear on the IFD440 will appear on the BEER Report, such as Self</w:t>
      </w:r>
      <w:r>
        <w:rPr>
          <w:rFonts w:ascii="Arial" w:hAnsi="Arial" w:cs="Arial"/>
        </w:rPr>
        <w:t>-</w:t>
      </w:r>
      <w:r w:rsidR="002449C2" w:rsidRPr="00F50A65">
        <w:rPr>
          <w:rFonts w:ascii="Arial" w:hAnsi="Arial" w:cs="Arial"/>
        </w:rPr>
        <w:t>Employed Earnings, and Federal and out of state earnings</w:t>
      </w:r>
      <w:r>
        <w:rPr>
          <w:rFonts w:ascii="Arial" w:hAnsi="Arial" w:cs="Arial"/>
        </w:rPr>
        <w:t>.</w:t>
      </w:r>
    </w:p>
    <w:p w14:paraId="52595E2F" w14:textId="77777777" w:rsidR="00177A24" w:rsidRDefault="00177A24">
      <w:pPr>
        <w:rPr>
          <w:rFonts w:ascii="Arial" w:hAnsi="Arial" w:cs="Arial"/>
        </w:rPr>
      </w:pPr>
    </w:p>
    <w:p w14:paraId="497F049E" w14:textId="77777777" w:rsidR="00177A24" w:rsidRPr="00F50A65" w:rsidRDefault="00177A24">
      <w:pPr>
        <w:rPr>
          <w:rFonts w:ascii="Arial" w:hAnsi="Arial" w:cs="Arial"/>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3"/>
        <w:gridCol w:w="4595"/>
      </w:tblGrid>
      <w:tr w:rsidR="00177A24" w:rsidRPr="00177A24" w14:paraId="6802F123" w14:textId="77777777" w:rsidTr="00CB7B06">
        <w:tc>
          <w:tcPr>
            <w:tcW w:w="5133" w:type="dxa"/>
          </w:tcPr>
          <w:p w14:paraId="28E10F8B" w14:textId="77777777" w:rsidR="00177A24" w:rsidRPr="00177A24" w:rsidRDefault="00177A24" w:rsidP="00870CA8">
            <w:pPr>
              <w:rPr>
                <w:rFonts w:ascii="Arial" w:hAnsi="Arial" w:cs="Arial"/>
                <w:b/>
                <w:bCs/>
              </w:rPr>
            </w:pPr>
            <w:r w:rsidRPr="00177A24">
              <w:rPr>
                <w:rFonts w:ascii="Arial" w:hAnsi="Arial" w:cs="Arial"/>
                <w:b/>
                <w:bCs/>
              </w:rPr>
              <w:t>Fleeing Felon Match (FFM</w:t>
            </w:r>
          </w:p>
        </w:tc>
        <w:tc>
          <w:tcPr>
            <w:tcW w:w="4595" w:type="dxa"/>
          </w:tcPr>
          <w:p w14:paraId="5D1E21C9" w14:textId="77777777" w:rsidR="00177A24" w:rsidRPr="00177A24" w:rsidRDefault="00177A24" w:rsidP="00177A24">
            <w:pPr>
              <w:jc w:val="right"/>
              <w:rPr>
                <w:rFonts w:ascii="Arial" w:hAnsi="Arial" w:cs="Arial"/>
                <w:b/>
                <w:bCs/>
              </w:rPr>
            </w:pPr>
            <w:r>
              <w:rPr>
                <w:rFonts w:ascii="Arial" w:hAnsi="Arial" w:cs="Arial"/>
                <w:b/>
                <w:bCs/>
              </w:rPr>
              <w:t>Monthly</w:t>
            </w:r>
          </w:p>
        </w:tc>
      </w:tr>
    </w:tbl>
    <w:p w14:paraId="53E9B2BE" w14:textId="77777777" w:rsidR="00CB7B06" w:rsidRPr="00CB7B06" w:rsidRDefault="00CB7B06">
      <w:pPr>
        <w:rPr>
          <w:rFonts w:ascii="Arial" w:hAnsi="Arial" w:cs="Arial"/>
          <w:bCs/>
        </w:rPr>
      </w:pPr>
      <w:r w:rsidRPr="00CB7B06">
        <w:rPr>
          <w:rFonts w:ascii="Arial" w:hAnsi="Arial" w:cs="Arial"/>
        </w:rPr>
        <w:lastRenderedPageBreak/>
        <w:t>The Department of Justice provides CDSS with a computer file of all felony warrants from the Wanted Person’s System</w:t>
      </w:r>
      <w:r w:rsidRPr="00CB7B06">
        <w:t>.</w:t>
      </w:r>
    </w:p>
    <w:p w14:paraId="477AF37F" w14:textId="77777777" w:rsidR="00DC5A6E" w:rsidRPr="00F50A65" w:rsidRDefault="00DC5A6E">
      <w:pPr>
        <w:rPr>
          <w:rFonts w:ascii="Arial" w:hAnsi="Arial" w:cs="Arial"/>
          <w:bCs/>
        </w:rPr>
      </w:pPr>
      <w:r w:rsidRPr="00F50A65">
        <w:rPr>
          <w:rFonts w:ascii="Arial" w:hAnsi="Arial" w:cs="Arial"/>
          <w:bCs/>
        </w:rPr>
        <w:t>For the CalFresh Program (ACL 15-82) the warrant must have one of the 3 NCIC codes:</w:t>
      </w:r>
    </w:p>
    <w:p w14:paraId="52DC2C1F" w14:textId="77777777" w:rsidR="00DC5A6E" w:rsidRPr="00F50A65" w:rsidRDefault="00DC5A6E" w:rsidP="00DC5A6E">
      <w:pPr>
        <w:pStyle w:val="ListParagraph"/>
        <w:numPr>
          <w:ilvl w:val="0"/>
          <w:numId w:val="27"/>
        </w:numPr>
        <w:rPr>
          <w:rFonts w:ascii="Arial" w:hAnsi="Arial" w:cs="Arial"/>
          <w:bCs/>
        </w:rPr>
      </w:pPr>
      <w:r w:rsidRPr="00F50A65">
        <w:rPr>
          <w:rFonts w:ascii="Arial" w:hAnsi="Arial" w:cs="Arial"/>
          <w:bCs/>
        </w:rPr>
        <w:t>Escape (4901</w:t>
      </w:r>
    </w:p>
    <w:p w14:paraId="63958B0F" w14:textId="77777777" w:rsidR="00DC5A6E" w:rsidRPr="00F50A65" w:rsidRDefault="00DC5A6E" w:rsidP="00DC5A6E">
      <w:pPr>
        <w:pStyle w:val="ListParagraph"/>
        <w:numPr>
          <w:ilvl w:val="0"/>
          <w:numId w:val="27"/>
        </w:numPr>
        <w:rPr>
          <w:rFonts w:ascii="Arial" w:hAnsi="Arial" w:cs="Arial"/>
          <w:bCs/>
        </w:rPr>
      </w:pPr>
      <w:r w:rsidRPr="00F50A65">
        <w:rPr>
          <w:rFonts w:ascii="Arial" w:hAnsi="Arial" w:cs="Arial"/>
          <w:bCs/>
        </w:rPr>
        <w:t>Flight to Avoid (prosecution, confinement, ect) (4902)</w:t>
      </w:r>
    </w:p>
    <w:p w14:paraId="7B04AA91" w14:textId="77777777" w:rsidR="00DC5A6E" w:rsidRPr="00F50A65" w:rsidRDefault="00DC5A6E" w:rsidP="00DC5A6E">
      <w:pPr>
        <w:pStyle w:val="ListParagraph"/>
        <w:numPr>
          <w:ilvl w:val="0"/>
          <w:numId w:val="27"/>
        </w:numPr>
        <w:rPr>
          <w:rFonts w:ascii="Arial" w:hAnsi="Arial" w:cs="Arial"/>
        </w:rPr>
      </w:pPr>
      <w:r w:rsidRPr="00F50A65">
        <w:rPr>
          <w:rFonts w:ascii="Arial" w:hAnsi="Arial" w:cs="Arial"/>
          <w:bCs/>
        </w:rPr>
        <w:t>Flight-Escape (4999)</w:t>
      </w:r>
    </w:p>
    <w:p w14:paraId="7D1080FF" w14:textId="77777777" w:rsidR="006E4C82" w:rsidRPr="00F50A65" w:rsidRDefault="008465EF">
      <w:pPr>
        <w:rPr>
          <w:rFonts w:ascii="Arial" w:hAnsi="Arial" w:cs="Arial"/>
        </w:rPr>
      </w:pPr>
      <w:r w:rsidRPr="00F50A65">
        <w:rPr>
          <w:rFonts w:ascii="Arial" w:hAnsi="Arial" w:cs="Arial"/>
        </w:rPr>
        <w:t xml:space="preserve">The individual </w:t>
      </w:r>
      <w:r w:rsidR="00CB7B06">
        <w:rPr>
          <w:rFonts w:ascii="Arial" w:hAnsi="Arial" w:cs="Arial"/>
        </w:rPr>
        <w:t>are not eligible for CalWORKs.</w:t>
      </w:r>
    </w:p>
    <w:p w14:paraId="7D31AE72" w14:textId="77777777" w:rsidR="008465EF" w:rsidRDefault="008465EF">
      <w:pPr>
        <w:rPr>
          <w:rFonts w:ascii="Arial" w:hAnsi="Arial" w:cs="Arial"/>
        </w:rPr>
      </w:pPr>
    </w:p>
    <w:p w14:paraId="75FE3655" w14:textId="77777777" w:rsidR="002E7404" w:rsidRPr="00F50A65" w:rsidRDefault="002E7404">
      <w:pPr>
        <w:rPr>
          <w:rFonts w:ascii="Arial" w:hAnsi="Arial" w:cs="Arial"/>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8"/>
        <w:gridCol w:w="4520"/>
      </w:tblGrid>
      <w:tr w:rsidR="00CB7B06" w:rsidRPr="00CB7B06" w14:paraId="501275DC" w14:textId="77777777" w:rsidTr="00CB7B06">
        <w:tc>
          <w:tcPr>
            <w:tcW w:w="5208" w:type="dxa"/>
          </w:tcPr>
          <w:p w14:paraId="347762E0" w14:textId="77777777" w:rsidR="00CB7B06" w:rsidRPr="00CB7B06" w:rsidRDefault="00CB7B06" w:rsidP="00A80C3A">
            <w:pPr>
              <w:pStyle w:val="Default"/>
              <w:rPr>
                <w:b/>
                <w:bCs/>
              </w:rPr>
            </w:pPr>
            <w:r w:rsidRPr="00CB7B06">
              <w:rPr>
                <w:b/>
                <w:bCs/>
              </w:rPr>
              <w:t xml:space="preserve">California Youth Authority (CYA) Match </w:t>
            </w:r>
          </w:p>
        </w:tc>
        <w:tc>
          <w:tcPr>
            <w:tcW w:w="4520" w:type="dxa"/>
          </w:tcPr>
          <w:p w14:paraId="6318F8ED" w14:textId="77777777" w:rsidR="00CB7B06" w:rsidRPr="00CB7B06" w:rsidRDefault="00CB7B06" w:rsidP="00CB7B06">
            <w:pPr>
              <w:pStyle w:val="Default"/>
              <w:jc w:val="right"/>
              <w:rPr>
                <w:b/>
                <w:bCs/>
              </w:rPr>
            </w:pPr>
            <w:r>
              <w:rPr>
                <w:b/>
                <w:bCs/>
              </w:rPr>
              <w:t>Monthly</w:t>
            </w:r>
          </w:p>
        </w:tc>
      </w:tr>
    </w:tbl>
    <w:p w14:paraId="6F4069FC" w14:textId="77777777" w:rsidR="00CB7B06" w:rsidRPr="00CB7B06" w:rsidRDefault="00CB7B06" w:rsidP="00D63191">
      <w:pPr>
        <w:rPr>
          <w:rFonts w:ascii="Arial" w:hAnsi="Arial" w:cs="Arial"/>
        </w:rPr>
      </w:pPr>
      <w:r w:rsidRPr="00CB7B06">
        <w:rPr>
          <w:rFonts w:ascii="Arial" w:hAnsi="Arial" w:cs="Arial"/>
        </w:rPr>
        <w:t>The CYA provides CDSS with a file of minors incarcerated in a juvenile hall or other county juvenile facility</w:t>
      </w:r>
      <w:r>
        <w:rPr>
          <w:rFonts w:ascii="Arial" w:hAnsi="Arial" w:cs="Arial"/>
        </w:rPr>
        <w:t>.</w:t>
      </w:r>
    </w:p>
    <w:p w14:paraId="152EEC6C" w14:textId="77777777" w:rsidR="00D63191" w:rsidRPr="00D63191" w:rsidRDefault="00D63191" w:rsidP="00D63191">
      <w:pPr>
        <w:rPr>
          <w:rFonts w:ascii="Arial" w:hAnsi="Arial" w:cs="Arial"/>
          <w:sz w:val="4"/>
        </w:rPr>
      </w:pPr>
    </w:p>
    <w:p w14:paraId="4430B916" w14:textId="77777777" w:rsidR="008465EF" w:rsidRDefault="008465EF">
      <w:pPr>
        <w:rPr>
          <w:rFonts w:ascii="Arial" w:hAnsi="Arial" w:cs="Arial"/>
        </w:rPr>
      </w:pPr>
    </w:p>
    <w:p w14:paraId="1C395045" w14:textId="77777777" w:rsidR="002E7404" w:rsidRPr="00F50A65" w:rsidRDefault="002E7404">
      <w:pPr>
        <w:rPr>
          <w:rFonts w:ascii="Arial" w:hAnsi="Arial" w:cs="Arial"/>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9"/>
        <w:gridCol w:w="4469"/>
      </w:tblGrid>
      <w:tr w:rsidR="00CB7B06" w:rsidRPr="00CB7B06" w14:paraId="3AC93D2C" w14:textId="77777777" w:rsidTr="00CB7B06">
        <w:tc>
          <w:tcPr>
            <w:tcW w:w="5259" w:type="dxa"/>
          </w:tcPr>
          <w:p w14:paraId="5DC92149" w14:textId="77777777" w:rsidR="00CB7B06" w:rsidRPr="00CB7B06" w:rsidRDefault="00CB7B06" w:rsidP="00CE65B4">
            <w:pPr>
              <w:pStyle w:val="Default"/>
              <w:rPr>
                <w:b/>
                <w:bCs/>
              </w:rPr>
            </w:pPr>
            <w:r w:rsidRPr="00CB7B06">
              <w:rPr>
                <w:b/>
                <w:bCs/>
              </w:rPr>
              <w:t xml:space="preserve">Nationwide Prisoner Match (NPM) </w:t>
            </w:r>
          </w:p>
        </w:tc>
        <w:tc>
          <w:tcPr>
            <w:tcW w:w="4469" w:type="dxa"/>
          </w:tcPr>
          <w:p w14:paraId="080ECC88" w14:textId="77777777" w:rsidR="00CB7B06" w:rsidRPr="00CB7B06" w:rsidRDefault="00CB7B06" w:rsidP="00CB7B06">
            <w:pPr>
              <w:pStyle w:val="Default"/>
              <w:jc w:val="right"/>
              <w:rPr>
                <w:b/>
                <w:bCs/>
              </w:rPr>
            </w:pPr>
            <w:r>
              <w:rPr>
                <w:b/>
                <w:bCs/>
              </w:rPr>
              <w:t>Monthly</w:t>
            </w:r>
          </w:p>
        </w:tc>
      </w:tr>
    </w:tbl>
    <w:p w14:paraId="553C8A90" w14:textId="77777777" w:rsidR="00CB7B06" w:rsidRPr="00F50A65" w:rsidRDefault="00CB7B06" w:rsidP="006E4C82">
      <w:pPr>
        <w:pStyle w:val="Default"/>
        <w:rPr>
          <w:b/>
          <w:bCs/>
        </w:rPr>
      </w:pPr>
      <w:r w:rsidRPr="00F50A65">
        <w:t>The CDSS matches records against the Social Security Administration’s Prisoner Update Program System</w:t>
      </w:r>
      <w:r w:rsidR="002E7404">
        <w:t>(PUPS)</w:t>
      </w:r>
      <w:r w:rsidRPr="00F50A65">
        <w:t>, which contains data from other states’ jails and prisons</w:t>
      </w:r>
      <w:r w:rsidR="002E7404">
        <w:t xml:space="preserve"> when an individual is incarcerated in federal, state and local correctional, penal, or other detention facilities.</w:t>
      </w:r>
    </w:p>
    <w:p w14:paraId="0E9C9E64" w14:textId="77777777" w:rsidR="008465EF" w:rsidRDefault="008465EF">
      <w:pPr>
        <w:rPr>
          <w:rFonts w:ascii="Arial" w:hAnsi="Arial" w:cs="Arial"/>
        </w:rPr>
      </w:pPr>
    </w:p>
    <w:p w14:paraId="29752145" w14:textId="77777777" w:rsidR="002E7404" w:rsidRPr="00F50A65" w:rsidRDefault="002E7404">
      <w:pPr>
        <w:rPr>
          <w:rFonts w:ascii="Arial" w:hAnsi="Arial" w:cs="Arial"/>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2"/>
        <w:gridCol w:w="4516"/>
      </w:tblGrid>
      <w:tr w:rsidR="00CB7B06" w:rsidRPr="00CB7B06" w14:paraId="37E587A6" w14:textId="77777777" w:rsidTr="00CB7B06">
        <w:tc>
          <w:tcPr>
            <w:tcW w:w="5212" w:type="dxa"/>
          </w:tcPr>
          <w:p w14:paraId="0D8A1DB9" w14:textId="77777777" w:rsidR="00CB7B06" w:rsidRPr="00CB7B06" w:rsidRDefault="00CB7B06" w:rsidP="00A6480C">
            <w:pPr>
              <w:pStyle w:val="Default"/>
              <w:rPr>
                <w:b/>
                <w:bCs/>
              </w:rPr>
            </w:pPr>
            <w:r w:rsidRPr="00CB7B06">
              <w:rPr>
                <w:b/>
                <w:bCs/>
              </w:rPr>
              <w:t xml:space="preserve">Deceased Persons Match (DPM) </w:t>
            </w:r>
          </w:p>
        </w:tc>
        <w:tc>
          <w:tcPr>
            <w:tcW w:w="4516" w:type="dxa"/>
          </w:tcPr>
          <w:p w14:paraId="06A30AE4" w14:textId="77777777" w:rsidR="00CB7B06" w:rsidRPr="00CB7B06" w:rsidRDefault="00CB7B06" w:rsidP="00CB7B06">
            <w:pPr>
              <w:pStyle w:val="Default"/>
              <w:jc w:val="right"/>
              <w:rPr>
                <w:b/>
                <w:bCs/>
              </w:rPr>
            </w:pPr>
            <w:r>
              <w:rPr>
                <w:b/>
                <w:bCs/>
              </w:rPr>
              <w:t>Semi-Annually</w:t>
            </w:r>
          </w:p>
        </w:tc>
      </w:tr>
    </w:tbl>
    <w:p w14:paraId="7B91B555" w14:textId="77777777" w:rsidR="006E4C82" w:rsidRDefault="002E7404">
      <w:pPr>
        <w:rPr>
          <w:rFonts w:ascii="Arial" w:hAnsi="Arial" w:cs="Arial"/>
        </w:rPr>
      </w:pPr>
      <w:r w:rsidRPr="002E7404">
        <w:rPr>
          <w:rFonts w:ascii="Arial" w:hAnsi="Arial" w:cs="Arial"/>
        </w:rPr>
        <w:t>The DPM obtains information from SSA on deceased individuals and uses the information to verify and otherwise ensure that food stamps and CalWORKs benefits are not issued to individuals who are using the SSNs of a deceased person.</w:t>
      </w:r>
    </w:p>
    <w:p w14:paraId="1FE66967" w14:textId="77777777" w:rsidR="002E7404" w:rsidRDefault="002E7404">
      <w:pPr>
        <w:rPr>
          <w:rFonts w:ascii="Arial" w:hAnsi="Arial" w:cs="Arial"/>
        </w:rPr>
      </w:pPr>
    </w:p>
    <w:p w14:paraId="65666111" w14:textId="77777777" w:rsidR="002E7404" w:rsidRPr="002E7404" w:rsidRDefault="002E7404">
      <w:pPr>
        <w:rPr>
          <w:rFonts w:ascii="Arial" w:hAnsi="Arial" w:cs="Arial"/>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7"/>
        <w:gridCol w:w="4461"/>
      </w:tblGrid>
      <w:tr w:rsidR="00CB7B06" w:rsidRPr="00CB7B06" w14:paraId="0B3FCF35" w14:textId="77777777" w:rsidTr="00CB7B06">
        <w:tc>
          <w:tcPr>
            <w:tcW w:w="5267" w:type="dxa"/>
          </w:tcPr>
          <w:p w14:paraId="23A6C269" w14:textId="77777777" w:rsidR="00CB7B06" w:rsidRPr="00CB7B06" w:rsidRDefault="00CB7B06" w:rsidP="003A6648">
            <w:pPr>
              <w:pStyle w:val="Default"/>
              <w:rPr>
                <w:b/>
                <w:bCs/>
              </w:rPr>
            </w:pPr>
            <w:r w:rsidRPr="00CB7B06">
              <w:rPr>
                <w:b/>
                <w:bCs/>
              </w:rPr>
              <w:t xml:space="preserve">Payment Verification System (PVS) </w:t>
            </w:r>
          </w:p>
        </w:tc>
        <w:tc>
          <w:tcPr>
            <w:tcW w:w="4461" w:type="dxa"/>
          </w:tcPr>
          <w:p w14:paraId="4F7D0BF0" w14:textId="77777777" w:rsidR="00CB7B06" w:rsidRPr="00CB7B06" w:rsidRDefault="00CB7B06" w:rsidP="00CB7B06">
            <w:pPr>
              <w:pStyle w:val="Default"/>
              <w:jc w:val="right"/>
              <w:rPr>
                <w:b/>
                <w:bCs/>
              </w:rPr>
            </w:pPr>
            <w:r>
              <w:rPr>
                <w:b/>
                <w:bCs/>
              </w:rPr>
              <w:t>Monthly</w:t>
            </w:r>
          </w:p>
        </w:tc>
      </w:tr>
    </w:tbl>
    <w:p w14:paraId="29FCCFA4" w14:textId="77777777" w:rsidR="006E4C82" w:rsidRPr="00CB7B06" w:rsidRDefault="00CB7B06">
      <w:pPr>
        <w:rPr>
          <w:rFonts w:ascii="Arial" w:hAnsi="Arial" w:cs="Arial"/>
        </w:rPr>
      </w:pPr>
      <w:r w:rsidRPr="00CB7B06">
        <w:rPr>
          <w:rFonts w:ascii="Arial" w:hAnsi="Arial" w:cs="Arial"/>
        </w:rPr>
        <w:t>SSA provides information on Retirement, Survivors and Disability Insurance. EDD provides information on State Unemployment Insurance, and State Disability Insurance benefits. This match also provides information from the SSA BENDEX file of recipients reported as being on aid in two or more states at the same time</w:t>
      </w:r>
      <w:r w:rsidR="00D63191" w:rsidRPr="00CB7B06">
        <w:rPr>
          <w:rFonts w:ascii="Arial" w:hAnsi="Arial" w:cs="Arial"/>
        </w:rPr>
        <w:t>.</w:t>
      </w:r>
    </w:p>
    <w:p w14:paraId="62B68092" w14:textId="77777777" w:rsidR="008465EF" w:rsidRDefault="008465EF">
      <w:pPr>
        <w:rPr>
          <w:rFonts w:ascii="Arial" w:hAnsi="Arial" w:cs="Arial"/>
        </w:rPr>
      </w:pPr>
    </w:p>
    <w:p w14:paraId="0E6F5183" w14:textId="77777777" w:rsidR="002E7404" w:rsidRPr="00F50A65" w:rsidRDefault="002E7404">
      <w:pPr>
        <w:rPr>
          <w:rFonts w:ascii="Arial" w:hAnsi="Arial" w:cs="Arial"/>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6"/>
        <w:gridCol w:w="4562"/>
      </w:tblGrid>
      <w:tr w:rsidR="002E7404" w:rsidRPr="002E7404" w14:paraId="7BD2C73A" w14:textId="77777777" w:rsidTr="002E7404">
        <w:tc>
          <w:tcPr>
            <w:tcW w:w="5166" w:type="dxa"/>
          </w:tcPr>
          <w:p w14:paraId="5F96B45A" w14:textId="77777777" w:rsidR="002E7404" w:rsidRPr="002E7404" w:rsidRDefault="002E7404" w:rsidP="0017659D">
            <w:pPr>
              <w:pStyle w:val="Default"/>
              <w:rPr>
                <w:b/>
                <w:bCs/>
              </w:rPr>
            </w:pPr>
            <w:r w:rsidRPr="002E7404">
              <w:rPr>
                <w:b/>
                <w:bCs/>
              </w:rPr>
              <w:t xml:space="preserve">New Hire Registry Match </w:t>
            </w:r>
            <w:r w:rsidRPr="00F50A65">
              <w:rPr>
                <w:b/>
                <w:bCs/>
              </w:rPr>
              <w:t>(NHR)</w:t>
            </w:r>
          </w:p>
        </w:tc>
        <w:tc>
          <w:tcPr>
            <w:tcW w:w="4562" w:type="dxa"/>
          </w:tcPr>
          <w:p w14:paraId="3391CF84" w14:textId="77777777" w:rsidR="002E7404" w:rsidRPr="002E7404" w:rsidRDefault="002E7404" w:rsidP="002E7404">
            <w:pPr>
              <w:pStyle w:val="Default"/>
              <w:jc w:val="right"/>
              <w:rPr>
                <w:b/>
                <w:bCs/>
              </w:rPr>
            </w:pPr>
            <w:r>
              <w:rPr>
                <w:b/>
                <w:bCs/>
              </w:rPr>
              <w:t>Monthly</w:t>
            </w:r>
          </w:p>
        </w:tc>
      </w:tr>
    </w:tbl>
    <w:p w14:paraId="6031F8D3" w14:textId="77777777" w:rsidR="006E4C82" w:rsidRPr="002E7404" w:rsidRDefault="002E7404">
      <w:pPr>
        <w:rPr>
          <w:rFonts w:ascii="Arial" w:hAnsi="Arial" w:cs="Arial"/>
        </w:rPr>
      </w:pPr>
      <w:r w:rsidRPr="002E7404">
        <w:rPr>
          <w:rFonts w:ascii="Arial" w:hAnsi="Arial" w:cs="Arial"/>
        </w:rPr>
        <w:t>Provides counties with information on welfare recipients who were recently hired, rehired, or returned to work</w:t>
      </w:r>
      <w:r>
        <w:rPr>
          <w:rFonts w:ascii="Arial" w:hAnsi="Arial" w:cs="Arial"/>
        </w:rPr>
        <w:t>.</w:t>
      </w:r>
    </w:p>
    <w:p w14:paraId="7823A11F" w14:textId="77777777" w:rsidR="00CC7E2B" w:rsidRDefault="00CC7E2B">
      <w:pPr>
        <w:rPr>
          <w:rFonts w:ascii="Arial" w:hAnsi="Arial" w:cs="Arial"/>
          <w:b/>
          <w:sz w:val="28"/>
          <w:szCs w:val="28"/>
        </w:rPr>
      </w:pPr>
      <w:r>
        <w:rPr>
          <w:rFonts w:ascii="Arial" w:hAnsi="Arial" w:cs="Arial"/>
          <w:b/>
          <w:sz w:val="28"/>
          <w:szCs w:val="28"/>
        </w:rPr>
        <w:br w:type="page"/>
      </w:r>
    </w:p>
    <w:p w14:paraId="09E926BD" w14:textId="77777777" w:rsidR="00E01C43" w:rsidRDefault="00CC7E2B" w:rsidP="00CC7E2B">
      <w:pPr>
        <w:rPr>
          <w:rFonts w:ascii="Arial" w:hAnsi="Arial" w:cs="Arial"/>
          <w:b/>
          <w:sz w:val="28"/>
        </w:rPr>
      </w:pPr>
      <w:r w:rsidRPr="00CC7E2B">
        <w:rPr>
          <w:rFonts w:ascii="Arial" w:hAnsi="Arial" w:cs="Arial"/>
          <w:b/>
          <w:sz w:val="28"/>
        </w:rPr>
        <w:lastRenderedPageBreak/>
        <w:t xml:space="preserve">IEVS Processing Timeframes </w:t>
      </w:r>
    </w:p>
    <w:p w14:paraId="507FD988" w14:textId="77777777" w:rsidR="00D63191" w:rsidRPr="00CC7E2B" w:rsidRDefault="00CC7E2B" w:rsidP="00CC7E2B">
      <w:pPr>
        <w:rPr>
          <w:rFonts w:ascii="Arial" w:hAnsi="Arial" w:cs="Arial"/>
          <w:b/>
          <w:sz w:val="28"/>
        </w:rPr>
      </w:pPr>
      <w:r w:rsidRPr="00CC7E2B">
        <w:rPr>
          <w:rFonts w:ascii="Arial" w:hAnsi="Arial" w:cs="Arial"/>
          <w:b/>
          <w:sz w:val="28"/>
        </w:rPr>
        <w:t>ACL 17-41</w:t>
      </w:r>
    </w:p>
    <w:p w14:paraId="53C90B13" w14:textId="77777777" w:rsidR="00125034" w:rsidRPr="00F50A65" w:rsidRDefault="00125034">
      <w:pPr>
        <w:rPr>
          <w:rFonts w:ascii="Arial" w:hAnsi="Arial" w:cs="Arial"/>
        </w:rPr>
      </w:pPr>
    </w:p>
    <w:p w14:paraId="62BABB7B" w14:textId="77777777" w:rsidR="00E01C43" w:rsidRPr="00207018" w:rsidRDefault="00E01C43">
      <w:pPr>
        <w:rPr>
          <w:rFonts w:ascii="Arial" w:hAnsi="Arial" w:cs="Arial"/>
          <w:b/>
        </w:rPr>
      </w:pPr>
      <w:r w:rsidRPr="00207018">
        <w:rPr>
          <w:rFonts w:ascii="Arial" w:hAnsi="Arial" w:cs="Arial"/>
          <w:b/>
        </w:rPr>
        <w:t>Initial 45-Day Processing of IEVS Match</w:t>
      </w:r>
    </w:p>
    <w:p w14:paraId="30B746E2" w14:textId="77777777" w:rsidR="00E01C43" w:rsidRDefault="00E01C43">
      <w:pPr>
        <w:rPr>
          <w:rFonts w:ascii="Arial" w:hAnsi="Arial" w:cs="Arial"/>
        </w:rPr>
      </w:pPr>
      <w:r>
        <w:rPr>
          <w:rFonts w:ascii="Arial" w:hAnsi="Arial" w:cs="Arial"/>
        </w:rPr>
        <w:t>Potential discrepancies are considered “Discovered” or “Identified” on the run date, or date of receipt. The IEVS Match follow-up must be completed within 45 calendar days of receipt. Further rules state that the match is considered “Initiated or Pursued” when the county has reviewed the match and determined whether it may affect eligibility or benefit level. If there is no discrepancy, or a discrepancy has been identified and at a minimum, the client has been mailed a client verification letter.</w:t>
      </w:r>
      <w:r w:rsidR="00207018">
        <w:rPr>
          <w:rFonts w:ascii="Arial" w:hAnsi="Arial" w:cs="Arial"/>
        </w:rPr>
        <w:t xml:space="preserve"> The 45-day processing does not apply to the Criminal Matches.</w:t>
      </w:r>
    </w:p>
    <w:p w14:paraId="022726D8" w14:textId="77777777" w:rsidR="00E01C43" w:rsidRDefault="00E01C43">
      <w:pPr>
        <w:rPr>
          <w:rFonts w:ascii="Arial" w:hAnsi="Arial" w:cs="Arial"/>
        </w:rPr>
      </w:pPr>
    </w:p>
    <w:p w14:paraId="3309DEAC" w14:textId="77777777" w:rsidR="00E01C43" w:rsidRPr="00207018" w:rsidRDefault="00E01C43">
      <w:pPr>
        <w:rPr>
          <w:rFonts w:ascii="Arial" w:hAnsi="Arial" w:cs="Arial"/>
          <w:b/>
        </w:rPr>
      </w:pPr>
      <w:r w:rsidRPr="00207018">
        <w:rPr>
          <w:rFonts w:ascii="Arial" w:hAnsi="Arial" w:cs="Arial"/>
          <w:b/>
        </w:rPr>
        <w:t>Completion of IEVS Match Processing</w:t>
      </w:r>
    </w:p>
    <w:p w14:paraId="1CB03ACA" w14:textId="77777777" w:rsidR="00E01C43" w:rsidRDefault="00E01C43">
      <w:pPr>
        <w:rPr>
          <w:rFonts w:ascii="Arial" w:hAnsi="Arial" w:cs="Arial"/>
        </w:rPr>
      </w:pPr>
      <w:r>
        <w:rPr>
          <w:rFonts w:ascii="Arial" w:hAnsi="Arial" w:cs="Arial"/>
        </w:rPr>
        <w:t>For open cases, the IEVS match is considered “Complete” when the county has either established the OP/OI by the quarter after the quarter in which the discrepancy was “Discovered/Identified” or determined there was no discrepancy.</w:t>
      </w:r>
    </w:p>
    <w:p w14:paraId="2FCC1ABF" w14:textId="77777777" w:rsidR="00E01C43" w:rsidRDefault="00E01C43">
      <w:pPr>
        <w:rPr>
          <w:rFonts w:ascii="Arial" w:hAnsi="Arial" w:cs="Arial"/>
        </w:rPr>
      </w:pPr>
    </w:p>
    <w:p w14:paraId="442AD02D" w14:textId="77777777" w:rsidR="00E01C43" w:rsidRDefault="00E01C43">
      <w:pPr>
        <w:rPr>
          <w:rFonts w:ascii="Arial" w:hAnsi="Arial" w:cs="Arial"/>
          <w:b/>
          <w:sz w:val="28"/>
        </w:rPr>
      </w:pPr>
      <w:r w:rsidRPr="00E01C43">
        <w:rPr>
          <w:rFonts w:ascii="Arial" w:hAnsi="Arial" w:cs="Arial"/>
          <w:b/>
          <w:sz w:val="28"/>
        </w:rPr>
        <w:t xml:space="preserve">Criminal Prosecution </w:t>
      </w:r>
      <w:r w:rsidR="00B1322C">
        <w:rPr>
          <w:rFonts w:ascii="Arial" w:hAnsi="Arial" w:cs="Arial"/>
          <w:b/>
          <w:sz w:val="28"/>
        </w:rPr>
        <w:t>of</w:t>
      </w:r>
      <w:r w:rsidRPr="00E01C43">
        <w:rPr>
          <w:rFonts w:ascii="Arial" w:hAnsi="Arial" w:cs="Arial"/>
          <w:b/>
          <w:sz w:val="28"/>
        </w:rPr>
        <w:t xml:space="preserve"> Intentional Program Violation Time Frames </w:t>
      </w:r>
    </w:p>
    <w:p w14:paraId="3981306E" w14:textId="77777777" w:rsidR="000D61A4" w:rsidRDefault="00E01C43">
      <w:pPr>
        <w:rPr>
          <w:rFonts w:ascii="Arial" w:hAnsi="Arial" w:cs="Arial"/>
          <w:b/>
          <w:sz w:val="28"/>
        </w:rPr>
      </w:pPr>
      <w:r w:rsidRPr="00E01C43">
        <w:rPr>
          <w:rFonts w:ascii="Arial" w:hAnsi="Arial" w:cs="Arial"/>
          <w:b/>
          <w:sz w:val="28"/>
        </w:rPr>
        <w:t>ACL 18-22</w:t>
      </w:r>
      <w:r w:rsidR="0093228A">
        <w:rPr>
          <w:rFonts w:ascii="Arial" w:hAnsi="Arial" w:cs="Arial"/>
          <w:b/>
          <w:sz w:val="28"/>
        </w:rPr>
        <w:t xml:space="preserve"> (SB 360)</w:t>
      </w:r>
    </w:p>
    <w:p w14:paraId="2C2BBCE3" w14:textId="77777777" w:rsidR="000D61A4" w:rsidRPr="000D61A4" w:rsidRDefault="000D61A4">
      <w:pPr>
        <w:rPr>
          <w:rFonts w:ascii="Arial" w:hAnsi="Arial" w:cs="Arial"/>
          <w:b/>
          <w:sz w:val="22"/>
        </w:rPr>
      </w:pPr>
    </w:p>
    <w:p w14:paraId="24FA0A89" w14:textId="77777777" w:rsidR="000D61A4" w:rsidRDefault="000D61A4">
      <w:pPr>
        <w:rPr>
          <w:rFonts w:ascii="Arial" w:hAnsi="Arial" w:cs="Arial"/>
        </w:rPr>
      </w:pPr>
      <w:r>
        <w:rPr>
          <w:rFonts w:ascii="Arial" w:hAnsi="Arial" w:cs="Arial"/>
        </w:rPr>
        <w:t>This ACL affects IEVS matches received on or after January 1,2018. It excludes from criminal prosecution the portion of the OP/OI that includes the period of time when the CWD did not process the IEVS information timely.</w:t>
      </w:r>
    </w:p>
    <w:p w14:paraId="2772FAD8" w14:textId="77777777" w:rsidR="000D61A4" w:rsidRDefault="000D61A4">
      <w:pPr>
        <w:rPr>
          <w:rFonts w:ascii="Arial" w:hAnsi="Arial" w:cs="Arial"/>
        </w:rPr>
      </w:pPr>
    </w:p>
    <w:p w14:paraId="010DF87B" w14:textId="08A169F0" w:rsidR="005C327B" w:rsidRDefault="005C327B">
      <w:pPr>
        <w:rPr>
          <w:rFonts w:ascii="Arial" w:hAnsi="Arial" w:cs="Arial"/>
        </w:rPr>
      </w:pPr>
      <w:r>
        <w:rPr>
          <w:rFonts w:ascii="Arial" w:hAnsi="Arial" w:cs="Arial"/>
        </w:rPr>
        <w:t>It specifically stipulates that a person shall not be subject to criminal prosecution for an OP/OI for any month in which the CWD was in receipt of any IEVS data match information indicating any potential for an OP/OI when:</w:t>
      </w:r>
    </w:p>
    <w:p w14:paraId="3369DD9A" w14:textId="77777777" w:rsidR="00CE3D4B" w:rsidRDefault="00CE3D4B">
      <w:pPr>
        <w:rPr>
          <w:rFonts w:ascii="Arial" w:hAnsi="Arial" w:cs="Arial"/>
        </w:rPr>
      </w:pPr>
    </w:p>
    <w:p w14:paraId="10022927" w14:textId="77777777" w:rsidR="005C327B" w:rsidRDefault="005C327B" w:rsidP="005C327B">
      <w:pPr>
        <w:pStyle w:val="ListParagraph"/>
        <w:numPr>
          <w:ilvl w:val="0"/>
          <w:numId w:val="33"/>
        </w:numPr>
        <w:rPr>
          <w:rFonts w:ascii="Arial" w:hAnsi="Arial" w:cs="Arial"/>
        </w:rPr>
      </w:pPr>
      <w:r>
        <w:rPr>
          <w:rFonts w:ascii="Arial" w:hAnsi="Arial" w:cs="Arial"/>
        </w:rPr>
        <w:t>The CWD has not processed the IEVS data match t</w:t>
      </w:r>
      <w:r w:rsidR="0093228A">
        <w:rPr>
          <w:rFonts w:ascii="Arial" w:hAnsi="Arial" w:cs="Arial"/>
        </w:rPr>
        <w:t>i</w:t>
      </w:r>
      <w:r>
        <w:rPr>
          <w:rFonts w:ascii="Arial" w:hAnsi="Arial" w:cs="Arial"/>
        </w:rPr>
        <w:t>mely: and/or</w:t>
      </w:r>
    </w:p>
    <w:p w14:paraId="3DF185ED" w14:textId="77777777" w:rsidR="005C327B" w:rsidRPr="005C327B" w:rsidRDefault="005C327B" w:rsidP="005C327B">
      <w:pPr>
        <w:pStyle w:val="ListParagraph"/>
        <w:numPr>
          <w:ilvl w:val="0"/>
          <w:numId w:val="33"/>
        </w:numPr>
        <w:rPr>
          <w:rFonts w:ascii="Arial" w:hAnsi="Arial" w:cs="Arial"/>
        </w:rPr>
      </w:pPr>
      <w:r>
        <w:rPr>
          <w:rFonts w:ascii="Arial" w:hAnsi="Arial" w:cs="Arial"/>
        </w:rPr>
        <w:t xml:space="preserve">Has not provided </w:t>
      </w:r>
      <w:r w:rsidR="00AC4C9C">
        <w:rPr>
          <w:rFonts w:ascii="Arial" w:hAnsi="Arial" w:cs="Arial"/>
        </w:rPr>
        <w:t xml:space="preserve">a timely and adequate notice of action for the collection of the </w:t>
      </w:r>
      <w:r w:rsidR="0093228A">
        <w:rPr>
          <w:rFonts w:ascii="Arial" w:hAnsi="Arial" w:cs="Arial"/>
        </w:rPr>
        <w:t>OP/OI.</w:t>
      </w:r>
    </w:p>
    <w:p w14:paraId="75ABA262" w14:textId="77777777" w:rsidR="000D61A4" w:rsidRDefault="000D61A4">
      <w:pPr>
        <w:rPr>
          <w:rFonts w:ascii="Arial" w:hAnsi="Arial" w:cs="Arial"/>
        </w:rPr>
      </w:pPr>
    </w:p>
    <w:p w14:paraId="5481847C" w14:textId="77777777" w:rsidR="0093228A" w:rsidRDefault="0093228A">
      <w:pPr>
        <w:rPr>
          <w:rFonts w:ascii="Arial" w:hAnsi="Arial" w:cs="Arial"/>
        </w:rPr>
      </w:pPr>
      <w:r>
        <w:rPr>
          <w:rFonts w:ascii="Arial" w:hAnsi="Arial" w:cs="Arial"/>
        </w:rPr>
        <w:t>SB 360 prohibits criminal prosecution for the portion of the OP/OI which accrued due to untimely processing of IEVS and/or inadequate notice.  This includes subsequent IEVS data matches showing the same unreported income.  The criminal prosecution timeframes will apply to the first IEVS data match received in the CWD.</w:t>
      </w:r>
    </w:p>
    <w:p w14:paraId="07C45EB2" w14:textId="77777777" w:rsidR="0093228A" w:rsidRDefault="0093228A">
      <w:pPr>
        <w:rPr>
          <w:rFonts w:ascii="Arial" w:hAnsi="Arial" w:cs="Arial"/>
        </w:rPr>
      </w:pPr>
    </w:p>
    <w:p w14:paraId="13717762" w14:textId="77777777" w:rsidR="0093228A" w:rsidRDefault="0093228A">
      <w:pPr>
        <w:rPr>
          <w:rFonts w:ascii="Arial" w:hAnsi="Arial" w:cs="Arial"/>
        </w:rPr>
      </w:pPr>
      <w:r>
        <w:rPr>
          <w:rFonts w:ascii="Arial" w:hAnsi="Arial" w:cs="Arial"/>
        </w:rPr>
        <w:t>See Examples:</w:t>
      </w:r>
    </w:p>
    <w:p w14:paraId="02FD9E3B" w14:textId="77777777" w:rsidR="000D61A4" w:rsidRDefault="000D61A4">
      <w:pPr>
        <w:rPr>
          <w:rFonts w:ascii="Arial" w:hAnsi="Arial" w:cs="Arial"/>
        </w:rPr>
      </w:pPr>
      <w:r>
        <w:rPr>
          <w:rFonts w:ascii="Arial" w:hAnsi="Arial" w:cs="Arial"/>
        </w:rPr>
        <w:br w:type="page"/>
      </w:r>
    </w:p>
    <w:p w14:paraId="56ABF6AE" w14:textId="77777777" w:rsidR="000D61A4" w:rsidRPr="000D61A4" w:rsidRDefault="000D61A4">
      <w:pPr>
        <w:rPr>
          <w:rFonts w:ascii="Arial" w:hAnsi="Arial" w:cs="Arial"/>
        </w:rPr>
      </w:pPr>
    </w:p>
    <w:p w14:paraId="1E23425D" w14:textId="77777777" w:rsidR="003E448E" w:rsidRPr="00F50A65" w:rsidRDefault="003E448E" w:rsidP="003E448E">
      <w:pPr>
        <w:pStyle w:val="Heading2"/>
        <w:rPr>
          <w:rFonts w:ascii="Arial" w:hAnsi="Arial" w:cs="Arial"/>
          <w:i w:val="0"/>
        </w:rPr>
      </w:pPr>
      <w:r w:rsidRPr="00F50A65">
        <w:rPr>
          <w:rFonts w:ascii="Arial" w:hAnsi="Arial" w:cs="Arial"/>
          <w:i w:val="0"/>
        </w:rPr>
        <w:t xml:space="preserve">Overpayments and Overissuances </w:t>
      </w:r>
    </w:p>
    <w:p w14:paraId="49B5A966" w14:textId="77777777" w:rsidR="003E448E" w:rsidRPr="00F50A65" w:rsidRDefault="003E448E" w:rsidP="003E448E">
      <w:pPr>
        <w:rPr>
          <w:rFonts w:ascii="Arial" w:hAnsi="Arial" w:cs="Arial"/>
        </w:rPr>
      </w:pPr>
    </w:p>
    <w:p w14:paraId="5930900F" w14:textId="77777777" w:rsidR="0093228A" w:rsidRDefault="0093228A" w:rsidP="003E448E">
      <w:pPr>
        <w:textAlignment w:val="top"/>
        <w:rPr>
          <w:rFonts w:ascii="Arial" w:hAnsi="Arial" w:cs="Arial"/>
          <w:color w:val="303030"/>
        </w:rPr>
      </w:pPr>
      <w:r>
        <w:rPr>
          <w:rFonts w:ascii="Arial" w:hAnsi="Arial" w:cs="Arial"/>
          <w:color w:val="303030"/>
        </w:rPr>
        <w:t xml:space="preserve">The computation of an OP/OI is based on that individuals reporting requirements. </w:t>
      </w:r>
      <w:r w:rsidR="0063515A">
        <w:rPr>
          <w:rFonts w:ascii="Arial" w:hAnsi="Arial" w:cs="Arial"/>
          <w:color w:val="303030"/>
        </w:rPr>
        <w:t xml:space="preserve">This impacts when the OP/OI will start.  </w:t>
      </w:r>
      <w:r w:rsidR="00484DFB">
        <w:rPr>
          <w:rFonts w:ascii="Arial" w:hAnsi="Arial" w:cs="Arial"/>
          <w:color w:val="303030"/>
        </w:rPr>
        <w:t xml:space="preserve">The computation is based on the Mandatory Reporting requirements the client falls under. </w:t>
      </w:r>
      <w:r>
        <w:rPr>
          <w:rFonts w:ascii="Arial" w:hAnsi="Arial" w:cs="Arial"/>
          <w:color w:val="303030"/>
        </w:rPr>
        <w:t>There are 3 different reporting requirements within the CW/CF programs:</w:t>
      </w:r>
    </w:p>
    <w:p w14:paraId="37137FC5" w14:textId="77777777" w:rsidR="0093228A" w:rsidRDefault="0093228A" w:rsidP="003E448E">
      <w:pPr>
        <w:textAlignment w:val="top"/>
        <w:rPr>
          <w:rFonts w:ascii="Arial" w:hAnsi="Arial" w:cs="Arial"/>
          <w:color w:val="303030"/>
        </w:rPr>
      </w:pPr>
    </w:p>
    <w:p w14:paraId="021966C3" w14:textId="77777777" w:rsidR="0063515A" w:rsidRPr="00381A2A" w:rsidRDefault="0063515A" w:rsidP="003E448E">
      <w:pPr>
        <w:textAlignment w:val="top"/>
        <w:rPr>
          <w:rFonts w:ascii="Arial" w:hAnsi="Arial" w:cs="Arial"/>
          <w:b/>
          <w:color w:val="303030"/>
        </w:rPr>
      </w:pPr>
      <w:r w:rsidRPr="0063515A">
        <w:rPr>
          <w:rFonts w:ascii="Arial" w:hAnsi="Arial" w:cs="Arial"/>
          <w:b/>
          <w:color w:val="303030"/>
        </w:rPr>
        <w:t>Semi Annual Reporting (SAR)</w:t>
      </w:r>
    </w:p>
    <w:p w14:paraId="2387F12D" w14:textId="77777777" w:rsidR="0063515A" w:rsidRDefault="0063515A" w:rsidP="003E448E">
      <w:pPr>
        <w:textAlignment w:val="top"/>
        <w:rPr>
          <w:rFonts w:ascii="Arial" w:hAnsi="Arial" w:cs="Arial"/>
          <w:color w:val="303030"/>
        </w:rPr>
      </w:pPr>
      <w:r>
        <w:rPr>
          <w:rFonts w:ascii="Arial" w:hAnsi="Arial" w:cs="Arial"/>
          <w:color w:val="303030"/>
        </w:rPr>
        <w:t xml:space="preserve">Clients are assigned to a SAR cycle are based on the beginning date of aid. </w:t>
      </w:r>
    </w:p>
    <w:p w14:paraId="313C16E1" w14:textId="77777777" w:rsidR="0063515A" w:rsidRPr="00484DFB" w:rsidRDefault="0063515A" w:rsidP="00484DFB">
      <w:pPr>
        <w:pStyle w:val="ListParagraph"/>
        <w:numPr>
          <w:ilvl w:val="0"/>
          <w:numId w:val="34"/>
        </w:numPr>
        <w:textAlignment w:val="top"/>
        <w:rPr>
          <w:rFonts w:ascii="Arial" w:hAnsi="Arial" w:cs="Arial"/>
          <w:color w:val="303030"/>
        </w:rPr>
      </w:pPr>
      <w:r w:rsidRPr="00484DFB">
        <w:rPr>
          <w:rFonts w:ascii="Arial" w:hAnsi="Arial" w:cs="Arial"/>
          <w:color w:val="303030"/>
        </w:rPr>
        <w:t xml:space="preserve">Cases will be assigned to one of the six SAR cycles. </w:t>
      </w:r>
    </w:p>
    <w:p w14:paraId="694683D0" w14:textId="77777777" w:rsidR="0063515A" w:rsidRPr="00484DFB" w:rsidRDefault="0063515A" w:rsidP="00484DFB">
      <w:pPr>
        <w:pStyle w:val="ListParagraph"/>
        <w:numPr>
          <w:ilvl w:val="0"/>
          <w:numId w:val="34"/>
        </w:numPr>
        <w:textAlignment w:val="top"/>
        <w:rPr>
          <w:rFonts w:ascii="Arial" w:hAnsi="Arial" w:cs="Arial"/>
          <w:color w:val="303030"/>
        </w:rPr>
      </w:pPr>
      <w:r w:rsidRPr="00484DFB">
        <w:rPr>
          <w:rFonts w:ascii="Arial" w:hAnsi="Arial" w:cs="Arial"/>
          <w:color w:val="303030"/>
        </w:rPr>
        <w:t>Each cycle consists of two Payment Periods.</w:t>
      </w:r>
    </w:p>
    <w:p w14:paraId="513BA6BE" w14:textId="77777777" w:rsidR="0063515A" w:rsidRPr="00484DFB" w:rsidRDefault="0063515A" w:rsidP="00484DFB">
      <w:pPr>
        <w:pStyle w:val="ListParagraph"/>
        <w:numPr>
          <w:ilvl w:val="0"/>
          <w:numId w:val="34"/>
        </w:numPr>
        <w:textAlignment w:val="top"/>
        <w:rPr>
          <w:rFonts w:ascii="Arial" w:hAnsi="Arial" w:cs="Arial"/>
          <w:color w:val="303030"/>
        </w:rPr>
      </w:pPr>
      <w:r w:rsidRPr="00484DFB">
        <w:rPr>
          <w:rFonts w:ascii="Arial" w:hAnsi="Arial" w:cs="Arial"/>
          <w:color w:val="303030"/>
        </w:rPr>
        <w:t>In each SAR period, there is</w:t>
      </w:r>
    </w:p>
    <w:p w14:paraId="78789B3D" w14:textId="77777777" w:rsidR="0063515A" w:rsidRPr="00484DFB" w:rsidRDefault="0063515A" w:rsidP="00484DFB">
      <w:pPr>
        <w:pStyle w:val="ListParagraph"/>
        <w:numPr>
          <w:ilvl w:val="1"/>
          <w:numId w:val="34"/>
        </w:numPr>
        <w:textAlignment w:val="top"/>
        <w:rPr>
          <w:rFonts w:ascii="Arial" w:hAnsi="Arial" w:cs="Arial"/>
          <w:color w:val="303030"/>
        </w:rPr>
      </w:pPr>
      <w:r w:rsidRPr="00484DFB">
        <w:rPr>
          <w:rFonts w:ascii="Arial" w:hAnsi="Arial" w:cs="Arial"/>
          <w:color w:val="303030"/>
        </w:rPr>
        <w:t>Data/Report Month</w:t>
      </w:r>
    </w:p>
    <w:p w14:paraId="45E879A8" w14:textId="77777777" w:rsidR="0063515A" w:rsidRPr="00484DFB" w:rsidRDefault="0063515A" w:rsidP="00484DFB">
      <w:pPr>
        <w:pStyle w:val="ListParagraph"/>
        <w:numPr>
          <w:ilvl w:val="1"/>
          <w:numId w:val="34"/>
        </w:numPr>
        <w:textAlignment w:val="top"/>
        <w:rPr>
          <w:rFonts w:ascii="Arial" w:hAnsi="Arial" w:cs="Arial"/>
          <w:color w:val="303030"/>
        </w:rPr>
      </w:pPr>
      <w:r w:rsidRPr="00484DFB">
        <w:rPr>
          <w:rFonts w:ascii="Arial" w:hAnsi="Arial" w:cs="Arial"/>
          <w:color w:val="303030"/>
        </w:rPr>
        <w:t>Submit Month</w:t>
      </w:r>
    </w:p>
    <w:p w14:paraId="028FFDAC" w14:textId="77777777" w:rsidR="0063515A" w:rsidRPr="00484DFB" w:rsidRDefault="00484DFB" w:rsidP="00484DFB">
      <w:pPr>
        <w:pStyle w:val="ListParagraph"/>
        <w:numPr>
          <w:ilvl w:val="1"/>
          <w:numId w:val="34"/>
        </w:numPr>
        <w:textAlignment w:val="top"/>
        <w:rPr>
          <w:rFonts w:ascii="Arial" w:hAnsi="Arial" w:cs="Arial"/>
          <w:color w:val="303030"/>
        </w:rPr>
      </w:pPr>
      <w:r w:rsidRPr="00484DFB">
        <w:rPr>
          <w:rFonts w:ascii="Arial" w:hAnsi="Arial" w:cs="Arial"/>
          <w:color w:val="303030"/>
        </w:rPr>
        <w:t>Payment Period</w:t>
      </w:r>
    </w:p>
    <w:p w14:paraId="69036894" w14:textId="77777777" w:rsidR="0063515A" w:rsidRDefault="0063515A" w:rsidP="003E448E">
      <w:pPr>
        <w:textAlignment w:val="top"/>
        <w:rPr>
          <w:rFonts w:ascii="Arial" w:hAnsi="Arial" w:cs="Arial"/>
          <w:color w:val="303030"/>
        </w:rPr>
      </w:pPr>
    </w:p>
    <w:p w14:paraId="42CFDF58" w14:textId="77777777" w:rsidR="00FD7DE7" w:rsidRDefault="00484DFB" w:rsidP="003E448E">
      <w:pPr>
        <w:textAlignment w:val="top"/>
        <w:rPr>
          <w:rFonts w:ascii="Arial" w:hAnsi="Arial" w:cs="Arial"/>
          <w:b/>
          <w:color w:val="303030"/>
        </w:rPr>
      </w:pPr>
      <w:r w:rsidRPr="00484DFB">
        <w:rPr>
          <w:rFonts w:ascii="Arial" w:hAnsi="Arial" w:cs="Arial"/>
          <w:b/>
          <w:color w:val="303030"/>
        </w:rPr>
        <w:t>Mandatory Mid Period Report Requirements</w:t>
      </w:r>
    </w:p>
    <w:p w14:paraId="3BB7FAD3" w14:textId="77777777" w:rsidR="00FD7DE7" w:rsidRDefault="00FD7DE7" w:rsidP="003E448E">
      <w:pPr>
        <w:textAlignment w:val="top"/>
        <w:rPr>
          <w:rFonts w:ascii="Arial" w:hAnsi="Arial" w:cs="Arial"/>
          <w:b/>
          <w:color w:val="303030"/>
        </w:rPr>
      </w:pPr>
    </w:p>
    <w:p w14:paraId="1C1E51E9" w14:textId="77777777" w:rsidR="00484DFB" w:rsidRPr="00484DFB" w:rsidRDefault="00DB44A8" w:rsidP="003E448E">
      <w:pPr>
        <w:textAlignment w:val="top"/>
        <w:rPr>
          <w:rFonts w:ascii="Arial" w:hAnsi="Arial" w:cs="Arial"/>
          <w:b/>
          <w:color w:val="303030"/>
        </w:rPr>
      </w:pPr>
      <w:r>
        <w:rPr>
          <w:rFonts w:ascii="Arial" w:hAnsi="Arial" w:cs="Arial"/>
          <w:b/>
          <w:color w:val="303030"/>
        </w:rPr>
        <w:t>CalWORKs</w:t>
      </w:r>
    </w:p>
    <w:p w14:paraId="523928A4" w14:textId="77777777" w:rsidR="00484DFB" w:rsidRDefault="00484DFB" w:rsidP="003E448E">
      <w:pPr>
        <w:textAlignment w:val="top"/>
        <w:rPr>
          <w:rFonts w:ascii="Arial" w:hAnsi="Arial" w:cs="Arial"/>
          <w:color w:val="303030"/>
        </w:rPr>
      </w:pPr>
      <w:r>
        <w:rPr>
          <w:rFonts w:ascii="Arial" w:hAnsi="Arial" w:cs="Arial"/>
          <w:color w:val="303030"/>
        </w:rPr>
        <w:t>Clients are mandated to report certain changes within 10 days of the date the change becomes known to them. These changes are:</w:t>
      </w:r>
    </w:p>
    <w:p w14:paraId="75D902FA" w14:textId="77777777" w:rsidR="00484DFB" w:rsidRPr="00484DFB" w:rsidRDefault="00484DFB" w:rsidP="00484DFB">
      <w:pPr>
        <w:pStyle w:val="ListParagraph"/>
        <w:numPr>
          <w:ilvl w:val="0"/>
          <w:numId w:val="35"/>
        </w:numPr>
        <w:textAlignment w:val="top"/>
        <w:rPr>
          <w:rFonts w:ascii="Arial" w:hAnsi="Arial" w:cs="Arial"/>
          <w:color w:val="303030"/>
        </w:rPr>
      </w:pPr>
      <w:r w:rsidRPr="00484DFB">
        <w:rPr>
          <w:rFonts w:ascii="Arial" w:hAnsi="Arial" w:cs="Arial"/>
          <w:color w:val="303030"/>
        </w:rPr>
        <w:t>Income exceeds their IRT</w:t>
      </w:r>
    </w:p>
    <w:p w14:paraId="21542423" w14:textId="77777777" w:rsidR="00484DFB" w:rsidRPr="00484DFB" w:rsidRDefault="00484DFB" w:rsidP="00484DFB">
      <w:pPr>
        <w:pStyle w:val="ListParagraph"/>
        <w:numPr>
          <w:ilvl w:val="0"/>
          <w:numId w:val="35"/>
        </w:numPr>
        <w:textAlignment w:val="top"/>
        <w:rPr>
          <w:rFonts w:ascii="Arial" w:hAnsi="Arial" w:cs="Arial"/>
          <w:color w:val="303030"/>
        </w:rPr>
      </w:pPr>
      <w:r w:rsidRPr="00484DFB">
        <w:rPr>
          <w:rFonts w:ascii="Arial" w:hAnsi="Arial" w:cs="Arial"/>
          <w:color w:val="303030"/>
        </w:rPr>
        <w:t>Drug Fel</w:t>
      </w:r>
      <w:r w:rsidR="00111DBE">
        <w:rPr>
          <w:rFonts w:ascii="Arial" w:hAnsi="Arial" w:cs="Arial"/>
          <w:color w:val="303030"/>
        </w:rPr>
        <w:t>o</w:t>
      </w:r>
      <w:r w:rsidRPr="00484DFB">
        <w:rPr>
          <w:rFonts w:ascii="Arial" w:hAnsi="Arial" w:cs="Arial"/>
          <w:color w:val="303030"/>
        </w:rPr>
        <w:t>ny Convictions</w:t>
      </w:r>
    </w:p>
    <w:p w14:paraId="33FB1B2C" w14:textId="77777777" w:rsidR="00484DFB" w:rsidRPr="00484DFB" w:rsidRDefault="00484DFB" w:rsidP="00484DFB">
      <w:pPr>
        <w:pStyle w:val="ListParagraph"/>
        <w:numPr>
          <w:ilvl w:val="0"/>
          <w:numId w:val="35"/>
        </w:numPr>
        <w:textAlignment w:val="top"/>
        <w:rPr>
          <w:rFonts w:ascii="Arial" w:hAnsi="Arial" w:cs="Arial"/>
          <w:color w:val="303030"/>
        </w:rPr>
      </w:pPr>
      <w:r w:rsidRPr="00484DFB">
        <w:rPr>
          <w:rFonts w:ascii="Arial" w:hAnsi="Arial" w:cs="Arial"/>
          <w:color w:val="303030"/>
        </w:rPr>
        <w:t>Fleeing</w:t>
      </w:r>
      <w:r>
        <w:rPr>
          <w:rFonts w:ascii="Arial" w:hAnsi="Arial" w:cs="Arial"/>
          <w:color w:val="303030"/>
        </w:rPr>
        <w:t xml:space="preserve"> </w:t>
      </w:r>
      <w:r w:rsidR="00111DBE">
        <w:rPr>
          <w:rFonts w:ascii="Arial" w:hAnsi="Arial" w:cs="Arial"/>
          <w:color w:val="303030"/>
        </w:rPr>
        <w:t>F</w:t>
      </w:r>
      <w:r w:rsidRPr="00484DFB">
        <w:rPr>
          <w:rFonts w:ascii="Arial" w:hAnsi="Arial" w:cs="Arial"/>
          <w:color w:val="303030"/>
        </w:rPr>
        <w:t>elon Status</w:t>
      </w:r>
    </w:p>
    <w:p w14:paraId="434E3343" w14:textId="77777777" w:rsidR="00484DFB" w:rsidRPr="00484DFB" w:rsidRDefault="00484DFB" w:rsidP="00484DFB">
      <w:pPr>
        <w:pStyle w:val="ListParagraph"/>
        <w:numPr>
          <w:ilvl w:val="0"/>
          <w:numId w:val="35"/>
        </w:numPr>
        <w:textAlignment w:val="top"/>
        <w:rPr>
          <w:rFonts w:ascii="Arial" w:hAnsi="Arial" w:cs="Arial"/>
          <w:color w:val="303030"/>
        </w:rPr>
      </w:pPr>
      <w:r w:rsidRPr="00484DFB">
        <w:rPr>
          <w:rFonts w:ascii="Arial" w:hAnsi="Arial" w:cs="Arial"/>
          <w:color w:val="303030"/>
        </w:rPr>
        <w:t>Parole/Probation Violations</w:t>
      </w:r>
    </w:p>
    <w:p w14:paraId="2A1167BC" w14:textId="77777777" w:rsidR="00484DFB" w:rsidRPr="00484DFB" w:rsidRDefault="00484DFB" w:rsidP="00484DFB">
      <w:pPr>
        <w:pStyle w:val="ListParagraph"/>
        <w:numPr>
          <w:ilvl w:val="0"/>
          <w:numId w:val="35"/>
        </w:numPr>
        <w:textAlignment w:val="top"/>
        <w:rPr>
          <w:rFonts w:ascii="Arial" w:hAnsi="Arial" w:cs="Arial"/>
          <w:color w:val="303030"/>
        </w:rPr>
      </w:pPr>
      <w:r w:rsidRPr="00484DFB">
        <w:rPr>
          <w:rFonts w:ascii="Arial" w:hAnsi="Arial" w:cs="Arial"/>
          <w:color w:val="303030"/>
        </w:rPr>
        <w:t>Address Changes</w:t>
      </w:r>
    </w:p>
    <w:p w14:paraId="78C55B54" w14:textId="77777777" w:rsidR="00484DFB" w:rsidRDefault="00484DFB" w:rsidP="003E448E">
      <w:pPr>
        <w:textAlignment w:val="top"/>
        <w:rPr>
          <w:rFonts w:ascii="Arial" w:hAnsi="Arial" w:cs="Arial"/>
          <w:color w:val="303030"/>
        </w:rPr>
      </w:pPr>
    </w:p>
    <w:p w14:paraId="464DA305" w14:textId="77777777" w:rsidR="00DB44A8" w:rsidRPr="00DB44A8" w:rsidRDefault="00DB44A8" w:rsidP="003E448E">
      <w:pPr>
        <w:textAlignment w:val="top"/>
        <w:rPr>
          <w:rFonts w:ascii="Arial" w:hAnsi="Arial" w:cs="Arial"/>
          <w:b/>
          <w:color w:val="303030"/>
        </w:rPr>
      </w:pPr>
      <w:r w:rsidRPr="00DB44A8">
        <w:rPr>
          <w:rFonts w:ascii="Arial" w:hAnsi="Arial" w:cs="Arial"/>
          <w:b/>
          <w:color w:val="303030"/>
        </w:rPr>
        <w:t>CalFresh</w:t>
      </w:r>
    </w:p>
    <w:p w14:paraId="2B73DA3F" w14:textId="77777777" w:rsidR="00DB44A8" w:rsidRPr="00484DFB" w:rsidRDefault="00DB44A8" w:rsidP="00DB44A8">
      <w:pPr>
        <w:pStyle w:val="ListParagraph"/>
        <w:numPr>
          <w:ilvl w:val="0"/>
          <w:numId w:val="35"/>
        </w:numPr>
        <w:textAlignment w:val="top"/>
        <w:rPr>
          <w:rFonts w:ascii="Arial" w:hAnsi="Arial" w:cs="Arial"/>
          <w:color w:val="303030"/>
        </w:rPr>
      </w:pPr>
      <w:r w:rsidRPr="00484DFB">
        <w:rPr>
          <w:rFonts w:ascii="Arial" w:hAnsi="Arial" w:cs="Arial"/>
          <w:color w:val="303030"/>
        </w:rPr>
        <w:t>Income exceeds their IRT</w:t>
      </w:r>
    </w:p>
    <w:p w14:paraId="16887E27" w14:textId="77777777" w:rsidR="00484DFB" w:rsidRDefault="00484DFB" w:rsidP="003E448E">
      <w:pPr>
        <w:textAlignment w:val="top"/>
        <w:rPr>
          <w:rFonts w:ascii="Arial" w:hAnsi="Arial" w:cs="Arial"/>
          <w:color w:val="303030"/>
        </w:rPr>
      </w:pPr>
    </w:p>
    <w:p w14:paraId="0D5C5ACA" w14:textId="77777777" w:rsidR="000A1383" w:rsidRDefault="000A1383" w:rsidP="003E448E">
      <w:pPr>
        <w:textAlignment w:val="top"/>
        <w:rPr>
          <w:rFonts w:ascii="Arial" w:hAnsi="Arial" w:cs="Arial"/>
          <w:b/>
          <w:color w:val="303030"/>
        </w:rPr>
      </w:pPr>
    </w:p>
    <w:p w14:paraId="2B13A8D6" w14:textId="77777777" w:rsidR="0063515A" w:rsidRPr="00484DFB" w:rsidRDefault="0063515A" w:rsidP="003E448E">
      <w:pPr>
        <w:textAlignment w:val="top"/>
        <w:rPr>
          <w:rFonts w:ascii="Arial" w:hAnsi="Arial" w:cs="Arial"/>
          <w:b/>
          <w:color w:val="303030"/>
        </w:rPr>
      </w:pPr>
      <w:r w:rsidRPr="00484DFB">
        <w:rPr>
          <w:rFonts w:ascii="Arial" w:hAnsi="Arial" w:cs="Arial"/>
          <w:b/>
          <w:color w:val="303030"/>
        </w:rPr>
        <w:t>Annual Reporting for a Child Only (AR/CO)</w:t>
      </w:r>
    </w:p>
    <w:p w14:paraId="2C40EF16" w14:textId="77777777" w:rsidR="00111DBE" w:rsidRDefault="00DB44A8" w:rsidP="003E448E">
      <w:pPr>
        <w:textAlignment w:val="top"/>
        <w:rPr>
          <w:rFonts w:ascii="Arial" w:hAnsi="Arial" w:cs="Arial"/>
          <w:color w:val="303030"/>
        </w:rPr>
      </w:pPr>
      <w:r>
        <w:rPr>
          <w:rFonts w:ascii="Arial" w:hAnsi="Arial" w:cs="Arial"/>
          <w:color w:val="303030"/>
        </w:rPr>
        <w:t>An ARCO case is a case that has no eligible adult.  These are child only cases that are only required to complete their annual renewal. Since there is no periodic report requirement, the Mid period reporting requirements have 1 additional requirement:</w:t>
      </w:r>
    </w:p>
    <w:p w14:paraId="5220F48F" w14:textId="77777777" w:rsidR="00111DBE" w:rsidRDefault="00111DBE" w:rsidP="003E448E">
      <w:pPr>
        <w:textAlignment w:val="top"/>
        <w:rPr>
          <w:rFonts w:ascii="Arial" w:hAnsi="Arial" w:cs="Arial"/>
          <w:color w:val="303030"/>
        </w:rPr>
      </w:pPr>
    </w:p>
    <w:p w14:paraId="5552FC6C" w14:textId="77777777" w:rsidR="00111DBE" w:rsidRDefault="00111DBE" w:rsidP="00111DBE">
      <w:pPr>
        <w:textAlignment w:val="top"/>
        <w:rPr>
          <w:rFonts w:ascii="Arial" w:hAnsi="Arial" w:cs="Arial"/>
          <w:b/>
          <w:color w:val="303030"/>
        </w:rPr>
      </w:pPr>
      <w:r w:rsidRPr="00484DFB">
        <w:rPr>
          <w:rFonts w:ascii="Arial" w:hAnsi="Arial" w:cs="Arial"/>
          <w:b/>
          <w:color w:val="303030"/>
        </w:rPr>
        <w:t>Mandatory Mid Period Report Requirements</w:t>
      </w:r>
    </w:p>
    <w:p w14:paraId="6BAA9958" w14:textId="77777777" w:rsidR="00FD7DE7" w:rsidRPr="00484DFB" w:rsidRDefault="00FD7DE7" w:rsidP="00111DBE">
      <w:pPr>
        <w:textAlignment w:val="top"/>
        <w:rPr>
          <w:rFonts w:ascii="Arial" w:hAnsi="Arial" w:cs="Arial"/>
          <w:b/>
          <w:color w:val="303030"/>
        </w:rPr>
      </w:pPr>
      <w:r>
        <w:rPr>
          <w:rFonts w:ascii="Arial" w:hAnsi="Arial" w:cs="Arial"/>
          <w:b/>
          <w:color w:val="303030"/>
        </w:rPr>
        <w:t>AR/CO</w:t>
      </w:r>
    </w:p>
    <w:p w14:paraId="0AC9A435" w14:textId="77777777" w:rsidR="00111DBE" w:rsidRDefault="00111DBE" w:rsidP="00111DBE">
      <w:pPr>
        <w:textAlignment w:val="top"/>
        <w:rPr>
          <w:rFonts w:ascii="Arial" w:hAnsi="Arial" w:cs="Arial"/>
          <w:color w:val="303030"/>
        </w:rPr>
      </w:pPr>
      <w:r>
        <w:rPr>
          <w:rFonts w:ascii="Arial" w:hAnsi="Arial" w:cs="Arial"/>
          <w:color w:val="303030"/>
        </w:rPr>
        <w:t>Clients are mandated to report certain changes within 10 days of the date the change becomes known to them. These changes are:</w:t>
      </w:r>
    </w:p>
    <w:p w14:paraId="74AD33A2" w14:textId="77777777" w:rsidR="00111DBE" w:rsidRPr="00484DFB" w:rsidRDefault="00111DBE" w:rsidP="00111DBE">
      <w:pPr>
        <w:pStyle w:val="ListParagraph"/>
        <w:numPr>
          <w:ilvl w:val="0"/>
          <w:numId w:val="35"/>
        </w:numPr>
        <w:textAlignment w:val="top"/>
        <w:rPr>
          <w:rFonts w:ascii="Arial" w:hAnsi="Arial" w:cs="Arial"/>
          <w:color w:val="303030"/>
        </w:rPr>
      </w:pPr>
      <w:r w:rsidRPr="00484DFB">
        <w:rPr>
          <w:rFonts w:ascii="Arial" w:hAnsi="Arial" w:cs="Arial"/>
          <w:color w:val="303030"/>
        </w:rPr>
        <w:t>Income exceeds their IRT</w:t>
      </w:r>
    </w:p>
    <w:p w14:paraId="33A2B867" w14:textId="77777777" w:rsidR="00111DBE" w:rsidRPr="00484DFB" w:rsidRDefault="00111DBE" w:rsidP="00111DBE">
      <w:pPr>
        <w:pStyle w:val="ListParagraph"/>
        <w:numPr>
          <w:ilvl w:val="0"/>
          <w:numId w:val="35"/>
        </w:numPr>
        <w:textAlignment w:val="top"/>
        <w:rPr>
          <w:rFonts w:ascii="Arial" w:hAnsi="Arial" w:cs="Arial"/>
          <w:color w:val="303030"/>
        </w:rPr>
      </w:pPr>
      <w:r w:rsidRPr="00484DFB">
        <w:rPr>
          <w:rFonts w:ascii="Arial" w:hAnsi="Arial" w:cs="Arial"/>
          <w:color w:val="303030"/>
        </w:rPr>
        <w:t>Drug Fel</w:t>
      </w:r>
      <w:r>
        <w:rPr>
          <w:rFonts w:ascii="Arial" w:hAnsi="Arial" w:cs="Arial"/>
          <w:color w:val="303030"/>
        </w:rPr>
        <w:t>o</w:t>
      </w:r>
      <w:r w:rsidRPr="00484DFB">
        <w:rPr>
          <w:rFonts w:ascii="Arial" w:hAnsi="Arial" w:cs="Arial"/>
          <w:color w:val="303030"/>
        </w:rPr>
        <w:t>ny Convictions</w:t>
      </w:r>
    </w:p>
    <w:p w14:paraId="04890649" w14:textId="77777777" w:rsidR="00111DBE" w:rsidRPr="00484DFB" w:rsidRDefault="00111DBE" w:rsidP="00111DBE">
      <w:pPr>
        <w:pStyle w:val="ListParagraph"/>
        <w:numPr>
          <w:ilvl w:val="0"/>
          <w:numId w:val="35"/>
        </w:numPr>
        <w:textAlignment w:val="top"/>
        <w:rPr>
          <w:rFonts w:ascii="Arial" w:hAnsi="Arial" w:cs="Arial"/>
          <w:color w:val="303030"/>
        </w:rPr>
      </w:pPr>
      <w:r w:rsidRPr="00484DFB">
        <w:rPr>
          <w:rFonts w:ascii="Arial" w:hAnsi="Arial" w:cs="Arial"/>
          <w:color w:val="303030"/>
        </w:rPr>
        <w:t>Fleeing</w:t>
      </w:r>
      <w:r>
        <w:rPr>
          <w:rFonts w:ascii="Arial" w:hAnsi="Arial" w:cs="Arial"/>
          <w:color w:val="303030"/>
        </w:rPr>
        <w:t xml:space="preserve"> F</w:t>
      </w:r>
      <w:r w:rsidRPr="00484DFB">
        <w:rPr>
          <w:rFonts w:ascii="Arial" w:hAnsi="Arial" w:cs="Arial"/>
          <w:color w:val="303030"/>
        </w:rPr>
        <w:t>elon Status</w:t>
      </w:r>
    </w:p>
    <w:p w14:paraId="17C2E135" w14:textId="77777777" w:rsidR="00111DBE" w:rsidRDefault="00111DBE" w:rsidP="00111DBE">
      <w:pPr>
        <w:pStyle w:val="ListParagraph"/>
        <w:numPr>
          <w:ilvl w:val="0"/>
          <w:numId w:val="35"/>
        </w:numPr>
        <w:textAlignment w:val="top"/>
        <w:rPr>
          <w:rFonts w:ascii="Arial" w:hAnsi="Arial" w:cs="Arial"/>
          <w:color w:val="303030"/>
        </w:rPr>
      </w:pPr>
      <w:r w:rsidRPr="00484DFB">
        <w:rPr>
          <w:rFonts w:ascii="Arial" w:hAnsi="Arial" w:cs="Arial"/>
          <w:color w:val="303030"/>
        </w:rPr>
        <w:t>Parole/Probation Violations</w:t>
      </w:r>
    </w:p>
    <w:p w14:paraId="2A467B0F" w14:textId="77777777" w:rsidR="00111DBE" w:rsidRPr="00484DFB" w:rsidRDefault="00111DBE" w:rsidP="00111DBE">
      <w:pPr>
        <w:pStyle w:val="ListParagraph"/>
        <w:numPr>
          <w:ilvl w:val="0"/>
          <w:numId w:val="35"/>
        </w:numPr>
        <w:textAlignment w:val="top"/>
        <w:rPr>
          <w:rFonts w:ascii="Arial" w:hAnsi="Arial" w:cs="Arial"/>
          <w:color w:val="303030"/>
        </w:rPr>
      </w:pPr>
      <w:r>
        <w:rPr>
          <w:rFonts w:ascii="Arial" w:hAnsi="Arial" w:cs="Arial"/>
          <w:color w:val="303030"/>
        </w:rPr>
        <w:t xml:space="preserve">Changes in </w:t>
      </w:r>
      <w:r w:rsidR="00DB44A8">
        <w:rPr>
          <w:rFonts w:ascii="Arial" w:hAnsi="Arial" w:cs="Arial"/>
          <w:color w:val="303030"/>
        </w:rPr>
        <w:t>Household Composition</w:t>
      </w:r>
    </w:p>
    <w:p w14:paraId="27BB26BE" w14:textId="6BF81D55" w:rsidR="00111DBE" w:rsidRPr="002471C4" w:rsidRDefault="00111DBE" w:rsidP="003E448E">
      <w:pPr>
        <w:pStyle w:val="ListParagraph"/>
        <w:numPr>
          <w:ilvl w:val="0"/>
          <w:numId w:val="35"/>
        </w:numPr>
        <w:textAlignment w:val="top"/>
        <w:rPr>
          <w:rFonts w:ascii="Arial" w:hAnsi="Arial" w:cs="Arial"/>
          <w:color w:val="303030"/>
        </w:rPr>
      </w:pPr>
      <w:r w:rsidRPr="00484DFB">
        <w:rPr>
          <w:rFonts w:ascii="Arial" w:hAnsi="Arial" w:cs="Arial"/>
          <w:color w:val="303030"/>
        </w:rPr>
        <w:t>Address Changes</w:t>
      </w:r>
    </w:p>
    <w:p w14:paraId="51CA20DD" w14:textId="77777777" w:rsidR="000A1383" w:rsidRDefault="000A1383">
      <w:pPr>
        <w:rPr>
          <w:rFonts w:ascii="Arial" w:hAnsi="Arial" w:cs="Arial"/>
          <w:color w:val="303030"/>
        </w:rPr>
      </w:pPr>
    </w:p>
    <w:p w14:paraId="525B8FF5" w14:textId="77777777" w:rsidR="000A1383" w:rsidRDefault="000A1383" w:rsidP="000A1383">
      <w:pPr>
        <w:rPr>
          <w:rFonts w:ascii="Arial" w:hAnsi="Arial" w:cs="Arial"/>
          <w:color w:val="303030"/>
        </w:rPr>
      </w:pPr>
      <w:r>
        <w:rPr>
          <w:rFonts w:ascii="Arial" w:hAnsi="Arial" w:cs="Arial"/>
          <w:color w:val="303030"/>
        </w:rPr>
        <w:t>*</w:t>
      </w:r>
      <w:r w:rsidRPr="000A1383">
        <w:rPr>
          <w:rFonts w:ascii="Arial" w:hAnsi="Arial" w:cs="Arial"/>
          <w:color w:val="303030"/>
        </w:rPr>
        <w:t>The IRT levels differ between the CalWORKs and CalFresh Programs</w:t>
      </w:r>
      <w:r>
        <w:rPr>
          <w:rFonts w:ascii="Arial" w:hAnsi="Arial" w:cs="Arial"/>
          <w:color w:val="303030"/>
        </w:rPr>
        <w:t>.</w:t>
      </w:r>
    </w:p>
    <w:p w14:paraId="1DAE8365" w14:textId="77777777" w:rsidR="00FD7DE7" w:rsidRDefault="00FD7DE7" w:rsidP="000A1383">
      <w:pPr>
        <w:rPr>
          <w:rFonts w:ascii="Arial" w:hAnsi="Arial" w:cs="Arial"/>
          <w:color w:val="303030"/>
        </w:rPr>
      </w:pPr>
    </w:p>
    <w:p w14:paraId="4AF387EB" w14:textId="77777777" w:rsidR="000A1383" w:rsidRPr="000A1383" w:rsidRDefault="000A1383" w:rsidP="000A1383">
      <w:pPr>
        <w:rPr>
          <w:rFonts w:ascii="Arial" w:hAnsi="Arial" w:cs="Arial"/>
          <w:b/>
          <w:color w:val="303030"/>
        </w:rPr>
      </w:pPr>
      <w:r w:rsidRPr="000A1383">
        <w:rPr>
          <w:rFonts w:ascii="Arial" w:hAnsi="Arial" w:cs="Arial"/>
          <w:b/>
          <w:color w:val="303030"/>
        </w:rPr>
        <w:t>CalWORKs</w:t>
      </w:r>
    </w:p>
    <w:p w14:paraId="7BB20E1F" w14:textId="77777777" w:rsidR="000A1383" w:rsidRDefault="000A1383" w:rsidP="000A1383">
      <w:pPr>
        <w:rPr>
          <w:rFonts w:ascii="Arial" w:hAnsi="Arial" w:cs="Arial"/>
          <w:sz w:val="23"/>
          <w:szCs w:val="23"/>
        </w:rPr>
      </w:pPr>
      <w:r w:rsidRPr="000A1383">
        <w:rPr>
          <w:rFonts w:ascii="Arial" w:hAnsi="Arial" w:cs="Arial"/>
          <w:sz w:val="23"/>
          <w:szCs w:val="23"/>
        </w:rPr>
        <w:t xml:space="preserve">The CalWORKs IRT amount for each Assistance Unit (AU) is the lesser of A or B below. </w:t>
      </w:r>
    </w:p>
    <w:p w14:paraId="78D4AD99" w14:textId="77777777" w:rsidR="000A1383" w:rsidRPr="000A1383" w:rsidRDefault="000A1383" w:rsidP="000A1383">
      <w:pPr>
        <w:rPr>
          <w:rFonts w:ascii="Arial" w:hAnsi="Arial" w:cs="Arial"/>
        </w:rPr>
      </w:pPr>
    </w:p>
    <w:p w14:paraId="1214CDFB" w14:textId="77777777" w:rsidR="000A1383" w:rsidRPr="000A1383" w:rsidRDefault="000A1383" w:rsidP="000A1383">
      <w:pPr>
        <w:pStyle w:val="ListParagraph"/>
        <w:numPr>
          <w:ilvl w:val="0"/>
          <w:numId w:val="36"/>
        </w:numPr>
        <w:spacing w:after="200" w:line="276" w:lineRule="auto"/>
        <w:rPr>
          <w:rFonts w:ascii="Arial" w:hAnsi="Arial" w:cs="Arial"/>
        </w:rPr>
      </w:pPr>
      <w:r w:rsidRPr="000A1383">
        <w:rPr>
          <w:rFonts w:ascii="Arial" w:hAnsi="Arial" w:cs="Arial"/>
        </w:rPr>
        <w:t xml:space="preserve">Tier 1: $953 (55% of the Federal Poverty Level (FPL) for a family of three, </w:t>
      </w:r>
      <w:r w:rsidRPr="000A1383">
        <w:rPr>
          <w:rFonts w:ascii="Arial" w:hAnsi="Arial" w:cs="Arial"/>
          <w:b/>
        </w:rPr>
        <w:t>plus the amount of income</w:t>
      </w:r>
      <w:r w:rsidRPr="000A1383">
        <w:rPr>
          <w:rFonts w:ascii="Arial" w:hAnsi="Arial" w:cs="Arial"/>
        </w:rPr>
        <w:t xml:space="preserve"> last used to calculate the recipient’s monthly benefits or; </w:t>
      </w:r>
    </w:p>
    <w:p w14:paraId="432ED25A" w14:textId="77777777" w:rsidR="000A1383" w:rsidRPr="000A1383" w:rsidRDefault="000A1383" w:rsidP="000A1383">
      <w:pPr>
        <w:pStyle w:val="ListParagraph"/>
        <w:numPr>
          <w:ilvl w:val="0"/>
          <w:numId w:val="36"/>
        </w:numPr>
        <w:spacing w:after="200" w:line="276" w:lineRule="auto"/>
        <w:rPr>
          <w:rFonts w:ascii="Arial" w:hAnsi="Arial" w:cs="Arial"/>
        </w:rPr>
      </w:pPr>
      <w:r w:rsidRPr="000A1383">
        <w:rPr>
          <w:rFonts w:ascii="Arial" w:hAnsi="Arial" w:cs="Arial"/>
        </w:rPr>
        <w:t>Tier 2: The amount of income likely to render the AU of that size ineligible, as shown in the charts below.</w:t>
      </w:r>
    </w:p>
    <w:tbl>
      <w:tblPr>
        <w:tblStyle w:val="TableGrid"/>
        <w:tblW w:w="0" w:type="auto"/>
        <w:tblInd w:w="468" w:type="dxa"/>
        <w:tblLook w:val="04A0" w:firstRow="1" w:lastRow="0" w:firstColumn="1" w:lastColumn="0" w:noHBand="0" w:noVBand="1"/>
      </w:tblPr>
      <w:tblGrid>
        <w:gridCol w:w="6338"/>
      </w:tblGrid>
      <w:tr w:rsidR="002471C4" w:rsidRPr="000A1383" w14:paraId="223F7D80" w14:textId="77777777" w:rsidTr="002471C4">
        <w:trPr>
          <w:trHeight w:val="268"/>
        </w:trPr>
        <w:tc>
          <w:tcPr>
            <w:tcW w:w="5136" w:type="dxa"/>
          </w:tcPr>
          <w:p w14:paraId="76489B10" w14:textId="63D3EB19" w:rsidR="002471C4" w:rsidRPr="000A1383" w:rsidRDefault="002471C4" w:rsidP="00FE3B1F">
            <w:pPr>
              <w:jc w:val="center"/>
              <w:rPr>
                <w:rFonts w:ascii="Arial" w:hAnsi="Arial" w:cs="Arial"/>
              </w:rPr>
            </w:pPr>
            <w:r>
              <w:rPr>
                <w:noProof/>
              </w:rPr>
              <w:drawing>
                <wp:inline distT="0" distB="0" distL="0" distR="0" wp14:anchorId="53EF1C7C" wp14:editId="4A8A56FB">
                  <wp:extent cx="3887727" cy="29324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3644" t="14747" r="15486" b="13031"/>
                          <a:stretch/>
                        </pic:blipFill>
                        <pic:spPr bwMode="auto">
                          <a:xfrm>
                            <a:off x="0" y="0"/>
                            <a:ext cx="3899711" cy="2941469"/>
                          </a:xfrm>
                          <a:prstGeom prst="rect">
                            <a:avLst/>
                          </a:prstGeom>
                          <a:ln>
                            <a:noFill/>
                          </a:ln>
                          <a:extLst>
                            <a:ext uri="{53640926-AAD7-44D8-BBD7-CCE9431645EC}">
                              <a14:shadowObscured xmlns:a14="http://schemas.microsoft.com/office/drawing/2010/main"/>
                            </a:ext>
                          </a:extLst>
                        </pic:spPr>
                      </pic:pic>
                    </a:graphicData>
                  </a:graphic>
                </wp:inline>
              </w:drawing>
            </w:r>
          </w:p>
        </w:tc>
      </w:tr>
    </w:tbl>
    <w:p w14:paraId="04992D44" w14:textId="77777777" w:rsidR="000A1383" w:rsidRDefault="000A1383" w:rsidP="000A1383">
      <w:pPr>
        <w:rPr>
          <w:rFonts w:ascii="Arial" w:hAnsi="Arial" w:cs="Arial"/>
          <w:color w:val="303030"/>
        </w:rPr>
      </w:pPr>
    </w:p>
    <w:p w14:paraId="036A4B7F" w14:textId="77777777" w:rsidR="000A1383" w:rsidRPr="000A1383" w:rsidRDefault="000A1383" w:rsidP="000A1383">
      <w:pPr>
        <w:rPr>
          <w:rFonts w:ascii="Arial" w:hAnsi="Arial" w:cs="Arial"/>
          <w:b/>
          <w:color w:val="303030"/>
        </w:rPr>
      </w:pPr>
      <w:r w:rsidRPr="000A1383">
        <w:rPr>
          <w:rFonts w:ascii="Arial" w:hAnsi="Arial" w:cs="Arial"/>
          <w:b/>
          <w:color w:val="303030"/>
        </w:rPr>
        <w:t>CalFresh</w:t>
      </w:r>
    </w:p>
    <w:p w14:paraId="1FDEE6AF" w14:textId="77777777" w:rsidR="000A1383" w:rsidRDefault="000A1383" w:rsidP="000A1383">
      <w:pPr>
        <w:rPr>
          <w:rFonts w:ascii="Arial" w:hAnsi="Arial" w:cs="Arial"/>
          <w:color w:val="303030"/>
        </w:rPr>
      </w:pPr>
      <w:r>
        <w:rPr>
          <w:rFonts w:ascii="Arial" w:hAnsi="Arial" w:cs="Arial"/>
          <w:color w:val="303030"/>
        </w:rPr>
        <w:t>The CF IRT amount is based off the number of people in the House Hold.</w:t>
      </w:r>
    </w:p>
    <w:p w14:paraId="45448D1C" w14:textId="77777777" w:rsidR="000A1383" w:rsidRPr="000A1383" w:rsidRDefault="000A1383" w:rsidP="000A1383">
      <w:pPr>
        <w:rPr>
          <w:rFonts w:ascii="Arial" w:hAnsi="Arial" w:cs="Arial"/>
          <w:color w:val="303030"/>
        </w:rPr>
      </w:pPr>
    </w:p>
    <w:p w14:paraId="3DF64537" w14:textId="0DB6C4ED" w:rsidR="0063515A" w:rsidRPr="000A1383" w:rsidRDefault="002471C4" w:rsidP="000A1383">
      <w:pPr>
        <w:rPr>
          <w:rFonts w:ascii="Arial" w:hAnsi="Arial" w:cs="Arial"/>
          <w:color w:val="303030"/>
        </w:rPr>
      </w:pPr>
      <w:r>
        <w:rPr>
          <w:noProof/>
        </w:rPr>
        <w:drawing>
          <wp:inline distT="0" distB="0" distL="0" distR="0" wp14:anchorId="37AD78D6" wp14:editId="3FE34A0E">
            <wp:extent cx="3771900" cy="2900032"/>
            <wp:effectExtent l="0" t="0" r="0" b="0"/>
            <wp:docPr id="6" name="Picture 5">
              <a:extLst xmlns:a="http://schemas.openxmlformats.org/drawingml/2006/main">
                <a:ext uri="{FF2B5EF4-FFF2-40B4-BE49-F238E27FC236}">
                  <a16:creationId xmlns:a16="http://schemas.microsoft.com/office/drawing/2014/main" id="{76B44CBD-BC94-E1E8-9A39-E68B94CA7C3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76B44CBD-BC94-E1E8-9A39-E68B94CA7C3D}"/>
                        </a:ext>
                      </a:extLst>
                    </pic:cNvPr>
                    <pic:cNvPicPr>
                      <a:picLocks noChangeAspect="1"/>
                    </pic:cNvPicPr>
                  </pic:nvPicPr>
                  <pic:blipFill rotWithShape="1">
                    <a:blip r:embed="rId9"/>
                    <a:srcRect l="33333" t="15490" r="14166" b="15490"/>
                    <a:stretch/>
                  </pic:blipFill>
                  <pic:spPr>
                    <a:xfrm>
                      <a:off x="0" y="0"/>
                      <a:ext cx="3789564" cy="2913613"/>
                    </a:xfrm>
                    <a:prstGeom prst="rect">
                      <a:avLst/>
                    </a:prstGeom>
                  </pic:spPr>
                </pic:pic>
              </a:graphicData>
            </a:graphic>
          </wp:inline>
        </w:drawing>
      </w:r>
    </w:p>
    <w:p w14:paraId="2BCA34A9" w14:textId="77777777" w:rsidR="0063515A" w:rsidRDefault="0063515A" w:rsidP="003E448E">
      <w:pPr>
        <w:textAlignment w:val="top"/>
        <w:rPr>
          <w:rFonts w:ascii="Arial" w:hAnsi="Arial" w:cs="Arial"/>
          <w:color w:val="303030"/>
        </w:rPr>
      </w:pPr>
    </w:p>
    <w:p w14:paraId="0752FD88" w14:textId="77777777" w:rsidR="0093228A" w:rsidRDefault="0093228A" w:rsidP="003E448E">
      <w:pPr>
        <w:textAlignment w:val="top"/>
        <w:rPr>
          <w:rFonts w:ascii="Arial" w:hAnsi="Arial" w:cs="Arial"/>
          <w:color w:val="303030"/>
        </w:rPr>
      </w:pPr>
    </w:p>
    <w:p w14:paraId="15D4FE7C" w14:textId="77777777" w:rsidR="003805E8" w:rsidRDefault="000A1383" w:rsidP="003E448E">
      <w:pPr>
        <w:textAlignment w:val="top"/>
        <w:rPr>
          <w:rFonts w:ascii="Arial" w:hAnsi="Arial" w:cs="Arial"/>
          <w:color w:val="303030"/>
        </w:rPr>
      </w:pPr>
      <w:r>
        <w:rPr>
          <w:rFonts w:ascii="Arial" w:hAnsi="Arial" w:cs="Arial"/>
          <w:color w:val="303030"/>
        </w:rPr>
        <w:t>In a CalWORKS/PA CalFresh Household, the OP/OI will start when the household exceeds the CalWORKs IRT.</w:t>
      </w:r>
      <w:r w:rsidR="003805E8">
        <w:rPr>
          <w:rFonts w:ascii="Arial" w:hAnsi="Arial" w:cs="Arial"/>
          <w:color w:val="303030"/>
        </w:rPr>
        <w:t xml:space="preserve">  </w:t>
      </w:r>
    </w:p>
    <w:p w14:paraId="273397BE" w14:textId="77777777" w:rsidR="003805E8" w:rsidRDefault="003805E8" w:rsidP="003E448E">
      <w:pPr>
        <w:textAlignment w:val="top"/>
        <w:rPr>
          <w:rFonts w:ascii="Arial" w:hAnsi="Arial" w:cs="Arial"/>
          <w:color w:val="303030"/>
        </w:rPr>
      </w:pPr>
    </w:p>
    <w:p w14:paraId="01510C73" w14:textId="77777777" w:rsidR="00BB4A89" w:rsidRPr="00BB4A89" w:rsidRDefault="00BB4A89" w:rsidP="003E448E">
      <w:pPr>
        <w:textAlignment w:val="top"/>
        <w:rPr>
          <w:rFonts w:ascii="Arial" w:hAnsi="Arial" w:cs="Arial"/>
          <w:b/>
          <w:color w:val="303030"/>
          <w:sz w:val="28"/>
          <w:szCs w:val="28"/>
        </w:rPr>
      </w:pPr>
      <w:r w:rsidRPr="00BB4A89">
        <w:rPr>
          <w:rFonts w:ascii="Arial" w:hAnsi="Arial" w:cs="Arial"/>
          <w:b/>
          <w:color w:val="303030"/>
          <w:sz w:val="28"/>
          <w:szCs w:val="28"/>
        </w:rPr>
        <w:t>Start dates</w:t>
      </w:r>
    </w:p>
    <w:p w14:paraId="1D5742A4" w14:textId="77777777" w:rsidR="000A1383" w:rsidRDefault="003805E8" w:rsidP="003E448E">
      <w:pPr>
        <w:textAlignment w:val="top"/>
        <w:rPr>
          <w:rFonts w:ascii="Arial" w:hAnsi="Arial" w:cs="Arial"/>
          <w:color w:val="303030"/>
        </w:rPr>
      </w:pPr>
      <w:r>
        <w:rPr>
          <w:rFonts w:ascii="Arial" w:hAnsi="Arial" w:cs="Arial"/>
          <w:color w:val="303030"/>
        </w:rPr>
        <w:t>The CalWORKs program does not require 10-day notice when a client fails to report exceeding the IRT to establish an OP, whereas the CalFresh Program does when establishing an OI.  Therefore</w:t>
      </w:r>
      <w:r w:rsidR="00BB4A89">
        <w:rPr>
          <w:rFonts w:ascii="Arial" w:hAnsi="Arial" w:cs="Arial"/>
          <w:color w:val="303030"/>
        </w:rPr>
        <w:t>,</w:t>
      </w:r>
      <w:r>
        <w:rPr>
          <w:rFonts w:ascii="Arial" w:hAnsi="Arial" w:cs="Arial"/>
          <w:color w:val="303030"/>
        </w:rPr>
        <w:t xml:space="preserve"> you will see the different OP/OI start dates.</w:t>
      </w:r>
    </w:p>
    <w:p w14:paraId="37A43D29" w14:textId="77777777" w:rsidR="00BB4A89" w:rsidRDefault="00BB4A89" w:rsidP="003E448E">
      <w:pPr>
        <w:textAlignment w:val="top"/>
        <w:rPr>
          <w:rFonts w:ascii="Arial" w:hAnsi="Arial" w:cs="Arial"/>
          <w:color w:val="303030"/>
        </w:rPr>
      </w:pPr>
    </w:p>
    <w:p w14:paraId="32CB19FC" w14:textId="77777777" w:rsidR="000A1383" w:rsidRPr="005D1DD4" w:rsidRDefault="005D1DD4" w:rsidP="003E448E">
      <w:pPr>
        <w:textAlignment w:val="top"/>
        <w:rPr>
          <w:rFonts w:ascii="Arial" w:hAnsi="Arial" w:cs="Arial"/>
          <w:b/>
          <w:color w:val="303030"/>
          <w:sz w:val="28"/>
        </w:rPr>
      </w:pPr>
      <w:r w:rsidRPr="005D1DD4">
        <w:rPr>
          <w:rFonts w:ascii="Arial" w:hAnsi="Arial" w:cs="Arial"/>
          <w:b/>
          <w:color w:val="303030"/>
          <w:sz w:val="28"/>
          <w:highlight w:val="yellow"/>
        </w:rPr>
        <w:t>Self Employed Earnings</w:t>
      </w:r>
    </w:p>
    <w:p w14:paraId="34B0B0AA" w14:textId="77777777" w:rsidR="000A1383" w:rsidRDefault="000A1383" w:rsidP="003E448E">
      <w:pPr>
        <w:textAlignment w:val="top"/>
        <w:rPr>
          <w:rFonts w:ascii="Arial" w:hAnsi="Arial" w:cs="Arial"/>
          <w:color w:val="303030"/>
        </w:rPr>
      </w:pPr>
    </w:p>
    <w:p w14:paraId="7976349C" w14:textId="77777777" w:rsidR="000A1383" w:rsidRDefault="000A1383" w:rsidP="003E448E">
      <w:pPr>
        <w:textAlignment w:val="top"/>
        <w:rPr>
          <w:rFonts w:ascii="Arial" w:hAnsi="Arial" w:cs="Arial"/>
          <w:color w:val="303030"/>
        </w:rPr>
      </w:pPr>
    </w:p>
    <w:p w14:paraId="46CD301E" w14:textId="77777777" w:rsidR="003E448E" w:rsidRPr="00F50A65" w:rsidRDefault="003E448E" w:rsidP="003E448E">
      <w:pPr>
        <w:rPr>
          <w:rFonts w:ascii="Arial" w:hAnsi="Arial" w:cs="Arial"/>
        </w:rPr>
      </w:pPr>
    </w:p>
    <w:p w14:paraId="48BBDB05" w14:textId="77777777" w:rsidR="005B1531" w:rsidRDefault="005B1531">
      <w:pPr>
        <w:rPr>
          <w:rFonts w:ascii="Arial" w:hAnsi="Arial" w:cs="Arial"/>
          <w:b/>
          <w:sz w:val="28"/>
        </w:rPr>
      </w:pPr>
      <w:r w:rsidRPr="005B1531">
        <w:rPr>
          <w:rFonts w:ascii="Arial" w:hAnsi="Arial" w:cs="Arial"/>
          <w:b/>
          <w:sz w:val="28"/>
        </w:rPr>
        <w:t>Budgeting Methodology</w:t>
      </w:r>
    </w:p>
    <w:p w14:paraId="69CE2CC6" w14:textId="77777777" w:rsidR="005B1531" w:rsidRDefault="005B1531">
      <w:pPr>
        <w:rPr>
          <w:rFonts w:ascii="Arial" w:hAnsi="Arial" w:cs="Arial"/>
          <w:b/>
          <w:sz w:val="26"/>
        </w:rPr>
      </w:pPr>
      <w:r w:rsidRPr="005B1531">
        <w:rPr>
          <w:rFonts w:ascii="Arial" w:hAnsi="Arial" w:cs="Arial"/>
          <w:b/>
          <w:sz w:val="26"/>
        </w:rPr>
        <w:t>ACL 15-95</w:t>
      </w:r>
    </w:p>
    <w:p w14:paraId="25989F98" w14:textId="77777777" w:rsidR="005B1531" w:rsidRDefault="005B1531">
      <w:pPr>
        <w:rPr>
          <w:rFonts w:ascii="Arial" w:hAnsi="Arial" w:cs="Arial"/>
          <w:b/>
          <w:sz w:val="26"/>
        </w:rPr>
      </w:pPr>
    </w:p>
    <w:p w14:paraId="6B2F40C4" w14:textId="77777777" w:rsidR="003805E8" w:rsidRDefault="005B1531">
      <w:pPr>
        <w:rPr>
          <w:rFonts w:ascii="Arial" w:hAnsi="Arial" w:cs="Arial"/>
        </w:rPr>
      </w:pPr>
      <w:r w:rsidRPr="005B1531">
        <w:rPr>
          <w:rFonts w:ascii="Arial" w:hAnsi="Arial" w:cs="Arial"/>
        </w:rPr>
        <w:t>ACL 15-95 was issued to implement a policy change in the way that OP’s and OI’s were calculated under the SAR and AR/CO reporting systems in CalWORKs and CalFresh.</w:t>
      </w:r>
      <w:r>
        <w:rPr>
          <w:rFonts w:ascii="Arial" w:hAnsi="Arial" w:cs="Arial"/>
        </w:rPr>
        <w:t xml:space="preserve"> Previously, the computation was based on what income the client was required to report, not taking into consideration any decrease in income.  </w:t>
      </w:r>
      <w:r w:rsidR="003805E8">
        <w:rPr>
          <w:rFonts w:ascii="Arial" w:hAnsi="Arial" w:cs="Arial"/>
        </w:rPr>
        <w:t>With the longer reporting periods, this caused higher amounts of OP/OI’s.  The change required the CWD to take the changes in income into account to more accurately recreate case circumstances.</w:t>
      </w:r>
    </w:p>
    <w:p w14:paraId="0ED48209" w14:textId="77777777" w:rsidR="003805E8" w:rsidRDefault="003805E8">
      <w:pPr>
        <w:rPr>
          <w:rFonts w:ascii="Arial" w:hAnsi="Arial" w:cs="Arial"/>
        </w:rPr>
      </w:pPr>
    </w:p>
    <w:p w14:paraId="098D5D3A" w14:textId="77777777" w:rsidR="005D1DD4" w:rsidRDefault="005D1DD4">
      <w:pPr>
        <w:rPr>
          <w:rFonts w:ascii="Arial" w:hAnsi="Arial" w:cs="Arial"/>
        </w:rPr>
      </w:pPr>
    </w:p>
    <w:p w14:paraId="0F3E3844" w14:textId="77777777" w:rsidR="005D1DD4" w:rsidRPr="005D1DD4" w:rsidRDefault="005D1DD4">
      <w:pPr>
        <w:rPr>
          <w:rFonts w:ascii="Arial" w:hAnsi="Arial" w:cs="Arial"/>
          <w:highlight w:val="yellow"/>
        </w:rPr>
      </w:pPr>
      <w:r w:rsidRPr="005D1DD4">
        <w:rPr>
          <w:rFonts w:ascii="Arial" w:hAnsi="Arial" w:cs="Arial"/>
          <w:highlight w:val="yellow"/>
        </w:rPr>
        <w:t>Need budget examples to show consistent/inconsistent OP/OI</w:t>
      </w:r>
    </w:p>
    <w:p w14:paraId="61013309" w14:textId="77777777" w:rsidR="005D1DD4" w:rsidRDefault="005D1DD4">
      <w:pPr>
        <w:rPr>
          <w:rFonts w:ascii="Arial" w:hAnsi="Arial" w:cs="Arial"/>
        </w:rPr>
      </w:pPr>
      <w:r w:rsidRPr="005D1DD4">
        <w:rPr>
          <w:rFonts w:ascii="Arial" w:hAnsi="Arial" w:cs="Arial"/>
          <w:highlight w:val="yellow"/>
        </w:rPr>
        <w:t>Self Employed income</w:t>
      </w:r>
    </w:p>
    <w:p w14:paraId="060FD22A" w14:textId="77777777" w:rsidR="005B1531" w:rsidRPr="005B1531" w:rsidRDefault="003805E8">
      <w:pPr>
        <w:rPr>
          <w:rFonts w:ascii="Arial" w:hAnsi="Arial" w:cs="Arial"/>
        </w:rPr>
      </w:pPr>
      <w:r>
        <w:rPr>
          <w:rFonts w:ascii="Arial" w:hAnsi="Arial" w:cs="Arial"/>
        </w:rPr>
        <w:t>Examples:</w:t>
      </w:r>
      <w:r w:rsidR="005B1531" w:rsidRPr="005B1531">
        <w:rPr>
          <w:rFonts w:ascii="Arial" w:hAnsi="Arial" w:cs="Arial"/>
        </w:rPr>
        <w:br w:type="page"/>
      </w:r>
    </w:p>
    <w:p w14:paraId="27FE4C55" w14:textId="77777777" w:rsidR="00317057" w:rsidRDefault="00317057" w:rsidP="00317057">
      <w:pPr>
        <w:rPr>
          <w:rFonts w:ascii="Arial" w:hAnsi="Arial" w:cs="Arial"/>
        </w:rPr>
      </w:pPr>
    </w:p>
    <w:p w14:paraId="61C31FC2" w14:textId="77777777" w:rsidR="005B1531" w:rsidRDefault="005B1531" w:rsidP="00317057">
      <w:pPr>
        <w:rPr>
          <w:rFonts w:ascii="Arial" w:hAnsi="Arial" w:cs="Arial"/>
        </w:rPr>
      </w:pPr>
    </w:p>
    <w:p w14:paraId="15A64F3D" w14:textId="77777777" w:rsidR="005B1531" w:rsidRDefault="005B1531" w:rsidP="00317057">
      <w:pPr>
        <w:rPr>
          <w:rFonts w:ascii="Arial" w:hAnsi="Arial" w:cs="Arial"/>
        </w:rPr>
      </w:pPr>
    </w:p>
    <w:p w14:paraId="283A9102" w14:textId="77777777" w:rsidR="005B1531" w:rsidRPr="00F50A65" w:rsidRDefault="005B1531" w:rsidP="00317057">
      <w:pPr>
        <w:rPr>
          <w:rFonts w:ascii="Arial" w:hAnsi="Arial" w:cs="Arial"/>
        </w:rPr>
      </w:pPr>
    </w:p>
    <w:p w14:paraId="69D9B5E4" w14:textId="77777777" w:rsidR="0004754E" w:rsidRPr="00F50A65" w:rsidRDefault="008F3009" w:rsidP="0004754E">
      <w:pPr>
        <w:rPr>
          <w:rFonts w:ascii="Arial" w:hAnsi="Arial" w:cs="Arial"/>
          <w:b/>
          <w:sz w:val="28"/>
          <w:szCs w:val="28"/>
        </w:rPr>
      </w:pPr>
      <w:r w:rsidRPr="00F50A65">
        <w:rPr>
          <w:rFonts w:ascii="Arial" w:hAnsi="Arial" w:cs="Arial"/>
          <w:b/>
          <w:sz w:val="28"/>
          <w:szCs w:val="28"/>
        </w:rPr>
        <w:t>Computing &amp; Establishing Claims</w:t>
      </w:r>
      <w:r w:rsidR="0004754E" w:rsidRPr="00F50A65">
        <w:rPr>
          <w:rFonts w:ascii="Arial" w:hAnsi="Arial" w:cs="Arial"/>
          <w:b/>
          <w:sz w:val="28"/>
          <w:szCs w:val="28"/>
        </w:rPr>
        <w:t xml:space="preserve"> &amp; Notification</w:t>
      </w:r>
    </w:p>
    <w:p w14:paraId="6023E68F" w14:textId="77777777" w:rsidR="00DA6EC5" w:rsidRPr="00F50A65" w:rsidRDefault="00DA6EC5" w:rsidP="00D03DEE">
      <w:pPr>
        <w:rPr>
          <w:rFonts w:ascii="Arial" w:hAnsi="Arial" w:cs="Arial"/>
        </w:rPr>
      </w:pPr>
    </w:p>
    <w:p w14:paraId="5C50EA04" w14:textId="77777777" w:rsidR="00312DEE" w:rsidRPr="00F50A65" w:rsidRDefault="00312DEE" w:rsidP="00D03DEE">
      <w:pPr>
        <w:rPr>
          <w:rFonts w:ascii="Arial" w:hAnsi="Arial" w:cs="Arial"/>
          <w:b/>
        </w:rPr>
      </w:pPr>
      <w:r w:rsidRPr="00F50A65">
        <w:rPr>
          <w:rFonts w:ascii="Arial" w:hAnsi="Arial" w:cs="Arial"/>
          <w:b/>
        </w:rPr>
        <w:t xml:space="preserve">CalFresh </w:t>
      </w:r>
    </w:p>
    <w:p w14:paraId="272E9523" w14:textId="77777777" w:rsidR="00312DEE" w:rsidRPr="00F50A65" w:rsidRDefault="005B1531" w:rsidP="00D03DEE">
      <w:pPr>
        <w:rPr>
          <w:rFonts w:ascii="Arial" w:hAnsi="Arial" w:cs="Arial"/>
        </w:rPr>
      </w:pPr>
      <w:r>
        <w:rPr>
          <w:rFonts w:ascii="Arial" w:hAnsi="Arial" w:cs="Arial"/>
        </w:rPr>
        <w:t>ACL 18-99</w:t>
      </w:r>
    </w:p>
    <w:p w14:paraId="411C38F4" w14:textId="77777777" w:rsidR="00D12F87" w:rsidRPr="00F50A65" w:rsidRDefault="003C7EBF" w:rsidP="005B1531">
      <w:pPr>
        <w:autoSpaceDE w:val="0"/>
        <w:autoSpaceDN w:val="0"/>
        <w:adjustRightInd w:val="0"/>
        <w:rPr>
          <w:rFonts w:ascii="Arial" w:hAnsi="Arial" w:cs="Arial"/>
        </w:rPr>
      </w:pPr>
      <w:r w:rsidRPr="00F50A65">
        <w:rPr>
          <w:rFonts w:ascii="Arial" w:hAnsi="Arial" w:cs="Arial"/>
        </w:rPr>
        <w:t xml:space="preserve">The CWD </w:t>
      </w:r>
      <w:r w:rsidR="005B1531">
        <w:rPr>
          <w:rFonts w:ascii="Arial" w:hAnsi="Arial" w:cs="Arial"/>
        </w:rPr>
        <w:t>will only collect in an Over Issuance up to three years prior to the date of discovery, the same timeframe that determines when an OI claim can be established.</w:t>
      </w:r>
    </w:p>
    <w:p w14:paraId="72C1CF4A" w14:textId="77777777" w:rsidR="00604DB4" w:rsidRPr="00F50A65" w:rsidRDefault="00604DB4" w:rsidP="003C7EBF">
      <w:pPr>
        <w:rPr>
          <w:rFonts w:ascii="Arial" w:hAnsi="Arial" w:cs="Arial"/>
        </w:rPr>
      </w:pPr>
    </w:p>
    <w:p w14:paraId="103A443E" w14:textId="77777777" w:rsidR="00604DB4" w:rsidRPr="00F50A65" w:rsidRDefault="00604DB4" w:rsidP="003C7EBF">
      <w:pPr>
        <w:rPr>
          <w:rFonts w:ascii="Arial" w:hAnsi="Arial" w:cs="Arial"/>
          <w:b/>
        </w:rPr>
      </w:pPr>
      <w:r w:rsidRPr="00F50A65">
        <w:rPr>
          <w:rFonts w:ascii="Arial" w:hAnsi="Arial" w:cs="Arial"/>
          <w:b/>
        </w:rPr>
        <w:t>CalWORKs</w:t>
      </w:r>
    </w:p>
    <w:p w14:paraId="2658C9D4" w14:textId="77777777" w:rsidR="00604DB4" w:rsidRPr="00F50A65" w:rsidRDefault="00604DB4" w:rsidP="003C7EBF">
      <w:pPr>
        <w:rPr>
          <w:rFonts w:ascii="Arial" w:hAnsi="Arial" w:cs="Arial"/>
        </w:rPr>
      </w:pPr>
      <w:r w:rsidRPr="00F50A65">
        <w:rPr>
          <w:rFonts w:ascii="Arial" w:hAnsi="Arial" w:cs="Arial"/>
        </w:rPr>
        <w:t>There are no time limits on computing Over Payments for the CalWORKs program</w:t>
      </w:r>
    </w:p>
    <w:p w14:paraId="3743928C" w14:textId="77777777" w:rsidR="0004754E" w:rsidRPr="00F50A65" w:rsidRDefault="0004754E" w:rsidP="00FB47AF">
      <w:pPr>
        <w:rPr>
          <w:rFonts w:ascii="Arial" w:hAnsi="Arial" w:cs="Arial"/>
        </w:rPr>
      </w:pPr>
    </w:p>
    <w:p w14:paraId="3659D81B" w14:textId="77777777" w:rsidR="00D50576" w:rsidRPr="00F50A65" w:rsidRDefault="00D50576" w:rsidP="00D03DEE">
      <w:pPr>
        <w:rPr>
          <w:rFonts w:ascii="Arial" w:hAnsi="Arial" w:cs="Arial"/>
        </w:rPr>
      </w:pPr>
    </w:p>
    <w:p w14:paraId="2FC45615" w14:textId="77777777" w:rsidR="00D03DEE" w:rsidRPr="00F50A65" w:rsidRDefault="0004754E" w:rsidP="00D03DEE">
      <w:pPr>
        <w:rPr>
          <w:rFonts w:ascii="Arial" w:hAnsi="Arial" w:cs="Arial"/>
          <w:b/>
          <w:sz w:val="28"/>
          <w:szCs w:val="28"/>
        </w:rPr>
      </w:pPr>
      <w:r w:rsidRPr="00F50A65">
        <w:rPr>
          <w:rFonts w:ascii="Arial" w:hAnsi="Arial" w:cs="Arial"/>
          <w:b/>
          <w:sz w:val="28"/>
          <w:szCs w:val="28"/>
        </w:rPr>
        <w:t>Liable Individuals</w:t>
      </w:r>
    </w:p>
    <w:p w14:paraId="1A27280B" w14:textId="77777777" w:rsidR="00D11059" w:rsidRPr="00F50A65" w:rsidRDefault="00D11059" w:rsidP="00D11059">
      <w:pPr>
        <w:spacing w:before="120" w:after="120"/>
        <w:textAlignment w:val="top"/>
        <w:rPr>
          <w:rFonts w:ascii="Arial" w:hAnsi="Arial" w:cs="Arial"/>
          <w:color w:val="303030"/>
        </w:rPr>
      </w:pPr>
      <w:r w:rsidRPr="00F50A65">
        <w:rPr>
          <w:rFonts w:ascii="Arial" w:hAnsi="Arial" w:cs="Arial"/>
          <w:color w:val="303030"/>
        </w:rPr>
        <w:t>The Liable Indivi</w:t>
      </w:r>
      <w:r w:rsidR="009D4737" w:rsidRPr="00F50A65">
        <w:rPr>
          <w:rFonts w:ascii="Arial" w:hAnsi="Arial" w:cs="Arial"/>
          <w:color w:val="303030"/>
        </w:rPr>
        <w:t>d</w:t>
      </w:r>
      <w:r w:rsidRPr="00F50A65">
        <w:rPr>
          <w:rFonts w:ascii="Arial" w:hAnsi="Arial" w:cs="Arial"/>
          <w:color w:val="303030"/>
        </w:rPr>
        <w:t>ual, or, the person or persons that are responsible for the debt differ by program. EAS 44-352.2</w:t>
      </w:r>
    </w:p>
    <w:p w14:paraId="6B37DB40" w14:textId="77777777" w:rsidR="005B1531" w:rsidRPr="005B1531" w:rsidRDefault="00D11059" w:rsidP="005B1531">
      <w:pPr>
        <w:spacing w:before="120"/>
        <w:textAlignment w:val="top"/>
        <w:rPr>
          <w:rFonts w:ascii="Arial" w:hAnsi="Arial" w:cs="Arial"/>
          <w:b/>
          <w:color w:val="303030"/>
        </w:rPr>
      </w:pPr>
      <w:r w:rsidRPr="005B1531">
        <w:rPr>
          <w:rFonts w:ascii="Arial" w:hAnsi="Arial" w:cs="Arial"/>
          <w:b/>
          <w:color w:val="303030"/>
        </w:rPr>
        <w:t>CalWORKs:</w:t>
      </w:r>
    </w:p>
    <w:p w14:paraId="58E31B5D" w14:textId="77777777" w:rsidR="00D11059" w:rsidRPr="00F50A65" w:rsidRDefault="00D11059" w:rsidP="005B1531">
      <w:pPr>
        <w:spacing w:after="120"/>
        <w:textAlignment w:val="top"/>
        <w:rPr>
          <w:rFonts w:ascii="Arial" w:hAnsi="Arial" w:cs="Arial"/>
          <w:color w:val="303030"/>
        </w:rPr>
      </w:pPr>
      <w:r w:rsidRPr="00F50A65">
        <w:rPr>
          <w:rFonts w:ascii="Arial" w:hAnsi="Arial" w:cs="Arial"/>
          <w:color w:val="303030"/>
        </w:rPr>
        <w:t>A member of the AU as an adult or emancipated minor at the time an OP occurred. In a two parent AU, both parents are responsible parties</w:t>
      </w:r>
    </w:p>
    <w:p w14:paraId="1B9D9508" w14:textId="77777777" w:rsidR="005B1531" w:rsidRPr="005B1531" w:rsidRDefault="00D11059" w:rsidP="005B1531">
      <w:pPr>
        <w:spacing w:before="120"/>
        <w:textAlignment w:val="top"/>
        <w:rPr>
          <w:rFonts w:ascii="Arial" w:hAnsi="Arial" w:cs="Arial"/>
          <w:b/>
          <w:color w:val="303030"/>
        </w:rPr>
      </w:pPr>
      <w:r w:rsidRPr="005B1531">
        <w:rPr>
          <w:rFonts w:ascii="Arial" w:hAnsi="Arial" w:cs="Arial"/>
          <w:b/>
          <w:color w:val="303030"/>
        </w:rPr>
        <w:t>CalFresh:</w:t>
      </w:r>
    </w:p>
    <w:p w14:paraId="076B0A02" w14:textId="77777777" w:rsidR="009D4737" w:rsidRPr="00F50A65" w:rsidRDefault="005B1531" w:rsidP="005B1531">
      <w:pPr>
        <w:spacing w:after="120"/>
        <w:textAlignment w:val="top"/>
        <w:rPr>
          <w:rFonts w:ascii="Arial" w:hAnsi="Arial" w:cs="Arial"/>
          <w:color w:val="303030"/>
        </w:rPr>
      </w:pPr>
      <w:r>
        <w:rPr>
          <w:rFonts w:ascii="Arial" w:hAnsi="Arial" w:cs="Arial"/>
          <w:color w:val="303030"/>
        </w:rPr>
        <w:t>A</w:t>
      </w:r>
      <w:r w:rsidR="00D11059" w:rsidRPr="00F50A65">
        <w:rPr>
          <w:rFonts w:ascii="Arial" w:hAnsi="Arial" w:cs="Arial"/>
          <w:color w:val="303030"/>
        </w:rPr>
        <w:t>ll adults over the age of 18, and Sponsors at the time of the OI are responsible parties.</w:t>
      </w:r>
      <w:r w:rsidR="009D4737" w:rsidRPr="00F50A65">
        <w:rPr>
          <w:rFonts w:ascii="Arial" w:hAnsi="Arial" w:cs="Arial"/>
        </w:rPr>
        <w:br w:type="page"/>
      </w:r>
    </w:p>
    <w:p w14:paraId="306BA7C0" w14:textId="77777777" w:rsidR="00976E4F" w:rsidRPr="00F50A65" w:rsidRDefault="00976E4F">
      <w:pPr>
        <w:rPr>
          <w:rFonts w:ascii="Arial" w:hAnsi="Arial" w:cs="Arial"/>
          <w:sz w:val="2"/>
        </w:rPr>
      </w:pPr>
    </w:p>
    <w:sectPr w:rsidR="00976E4F" w:rsidRPr="00F50A65" w:rsidSect="003805E8">
      <w:footerReference w:type="default" r:id="rId10"/>
      <w:pgSz w:w="12240" w:h="15840" w:code="1"/>
      <w:pgMar w:top="1008" w:right="1296" w:bottom="1008" w:left="1296" w:header="720" w:footer="720" w:gutter="0"/>
      <w:pgBorders w:display="firstPage" w:offsetFrom="page">
        <w:top w:val="thinThickSmallGap" w:sz="24" w:space="24" w:color="auto"/>
        <w:left w:val="thinThickSmallGap" w:sz="24" w:space="24" w:color="auto"/>
        <w:bottom w:val="thinThickSmallGap" w:sz="24" w:space="24" w:color="auto"/>
        <w:right w:val="thinThickSmallGap" w:sz="24" w:space="24" w:color="auto"/>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004F4" w14:textId="77777777" w:rsidR="008604BF" w:rsidRDefault="008604BF" w:rsidP="006648E3">
      <w:r>
        <w:separator/>
      </w:r>
    </w:p>
  </w:endnote>
  <w:endnote w:type="continuationSeparator" w:id="0">
    <w:p w14:paraId="56ECE992" w14:textId="77777777" w:rsidR="008604BF" w:rsidRDefault="008604BF" w:rsidP="00664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1435265"/>
      <w:docPartObj>
        <w:docPartGallery w:val="Page Numbers (Bottom of Page)"/>
        <w:docPartUnique/>
      </w:docPartObj>
    </w:sdtPr>
    <w:sdtEndPr>
      <w:rPr>
        <w:noProof/>
      </w:rPr>
    </w:sdtEndPr>
    <w:sdtContent>
      <w:p w14:paraId="52615A9D" w14:textId="77777777" w:rsidR="006648E3" w:rsidRDefault="00881FD7">
        <w:pPr>
          <w:pStyle w:val="Footer"/>
          <w:jc w:val="right"/>
        </w:pPr>
        <w:r>
          <w:t>CWFIA October 2020</w:t>
        </w:r>
      </w:p>
    </w:sdtContent>
  </w:sdt>
  <w:p w14:paraId="7BDE2B99" w14:textId="77777777" w:rsidR="006648E3" w:rsidRDefault="006648E3" w:rsidP="006648E3">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9301203"/>
      <w:docPartObj>
        <w:docPartGallery w:val="Page Numbers (Bottom of Page)"/>
        <w:docPartUnique/>
      </w:docPartObj>
    </w:sdtPr>
    <w:sdtEndPr>
      <w:rPr>
        <w:noProof/>
      </w:rPr>
    </w:sdtEndPr>
    <w:sdtContent>
      <w:p w14:paraId="27053EAB" w14:textId="77777777" w:rsidR="006648E3" w:rsidRDefault="006648E3">
        <w:pPr>
          <w:pStyle w:val="Footer"/>
          <w:jc w:val="right"/>
        </w:pPr>
        <w:r>
          <w:fldChar w:fldCharType="begin"/>
        </w:r>
        <w:r>
          <w:instrText xml:space="preserve"> PAGE   \* MERGEFORMAT </w:instrText>
        </w:r>
        <w:r>
          <w:fldChar w:fldCharType="separate"/>
        </w:r>
        <w:r w:rsidR="00F21300">
          <w:rPr>
            <w:noProof/>
          </w:rPr>
          <w:t>23</w:t>
        </w:r>
        <w:r>
          <w:rPr>
            <w:noProof/>
          </w:rPr>
          <w:fldChar w:fldCharType="end"/>
        </w:r>
      </w:p>
    </w:sdtContent>
  </w:sdt>
  <w:p w14:paraId="0F41FCE4" w14:textId="77777777" w:rsidR="006648E3" w:rsidRDefault="006648E3" w:rsidP="006648E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731CF" w14:textId="77777777" w:rsidR="008604BF" w:rsidRDefault="008604BF" w:rsidP="006648E3">
      <w:r>
        <w:separator/>
      </w:r>
    </w:p>
  </w:footnote>
  <w:footnote w:type="continuationSeparator" w:id="0">
    <w:p w14:paraId="55328F1D" w14:textId="77777777" w:rsidR="008604BF" w:rsidRDefault="008604BF" w:rsidP="006648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73A31E2"/>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34B220F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0"/>
    <w:lvl w:ilvl="0">
      <w:start w:val="1"/>
      <w:numFmt w:val="upperRoman"/>
      <w:pStyle w:val="Level1"/>
      <w:lvlText w:val="%1."/>
      <w:lvlJc w:val="left"/>
      <w:pPr>
        <w:tabs>
          <w:tab w:val="num" w:pos="720"/>
        </w:tabs>
        <w:ind w:left="720" w:hanging="720"/>
      </w:pPr>
      <w:rPr>
        <w:rFonts w:ascii="Times New Roman" w:hAnsi="Times New Roman"/>
        <w:sz w:val="26"/>
      </w:rPr>
    </w:lvl>
    <w:lvl w:ilvl="1">
      <w:start w:val="1"/>
      <w:numFmt w:val="upperLetter"/>
      <w:pStyle w:val="Level2"/>
      <w:lvlText w:val="%2."/>
      <w:lvlJc w:val="left"/>
      <w:pPr>
        <w:tabs>
          <w:tab w:val="num" w:pos="1350"/>
        </w:tabs>
        <w:ind w:left="1350" w:hanging="630"/>
      </w:pPr>
    </w:lvl>
    <w:lvl w:ilvl="2">
      <w:start w:val="1"/>
      <w:numFmt w:val="decimal"/>
      <w:pStyle w:val="Level3"/>
      <w:lvlText w:val="%3."/>
      <w:lvlJc w:val="left"/>
      <w:pPr>
        <w:tabs>
          <w:tab w:val="num" w:pos="1800"/>
        </w:tabs>
        <w:ind w:left="1800" w:hanging="450"/>
      </w:pPr>
    </w:lvl>
    <w:lvl w:ilvl="3">
      <w:start w:val="1"/>
      <w:numFmt w:val="lowerLetter"/>
      <w:pStyle w:val="Level4"/>
      <w:lvlText w:val="%4."/>
      <w:lvlJc w:val="left"/>
      <w:pPr>
        <w:tabs>
          <w:tab w:val="num" w:pos="2250"/>
        </w:tabs>
        <w:ind w:left="2250" w:hanging="450"/>
      </w:pPr>
    </w:lvl>
    <w:lvl w:ilvl="4">
      <w:start w:val="1"/>
      <w:numFmt w:val="decimal"/>
      <w:pStyle w:val="Level5"/>
      <w:lvlText w:val="(%5)"/>
      <w:lvlJc w:val="left"/>
      <w:pPr>
        <w:tabs>
          <w:tab w:val="num" w:pos="2790"/>
        </w:tabs>
        <w:ind w:left="2790" w:hanging="540"/>
      </w:pPr>
    </w:lvl>
    <w:lvl w:ilvl="5">
      <w:start w:val="1"/>
      <w:numFmt w:val="lowerLetter"/>
      <w:pStyle w:val="Level6"/>
      <w:lvlText w:val="(%6)"/>
      <w:lvlJc w:val="left"/>
      <w:pPr>
        <w:tabs>
          <w:tab w:val="num" w:pos="3330"/>
        </w:tabs>
        <w:ind w:left="3330" w:hanging="540"/>
      </w:pPr>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3" w15:restartNumberingAfterBreak="0">
    <w:nsid w:val="054131D6"/>
    <w:multiLevelType w:val="hybridMultilevel"/>
    <w:tmpl w:val="248EB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CA3E72"/>
    <w:multiLevelType w:val="hybridMultilevel"/>
    <w:tmpl w:val="C9A20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F41922"/>
    <w:multiLevelType w:val="hybridMultilevel"/>
    <w:tmpl w:val="CC520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DF46A1"/>
    <w:multiLevelType w:val="hybridMultilevel"/>
    <w:tmpl w:val="B95A6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EC5884"/>
    <w:multiLevelType w:val="multilevel"/>
    <w:tmpl w:val="241EDD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E521D6C"/>
    <w:multiLevelType w:val="hybridMultilevel"/>
    <w:tmpl w:val="FB8836E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0E731510"/>
    <w:multiLevelType w:val="hybridMultilevel"/>
    <w:tmpl w:val="A2C26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2F5BCA"/>
    <w:multiLevelType w:val="hybridMultilevel"/>
    <w:tmpl w:val="5FB06F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A9487C"/>
    <w:multiLevelType w:val="hybridMultilevel"/>
    <w:tmpl w:val="0EB8FEA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8C168D2"/>
    <w:multiLevelType w:val="hybridMultilevel"/>
    <w:tmpl w:val="42B47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740E74"/>
    <w:multiLevelType w:val="multilevel"/>
    <w:tmpl w:val="684A575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1803D1"/>
    <w:multiLevelType w:val="multilevel"/>
    <w:tmpl w:val="20B65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B9115F2"/>
    <w:multiLevelType w:val="hybridMultilevel"/>
    <w:tmpl w:val="31B8C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4B7437"/>
    <w:multiLevelType w:val="hybridMultilevel"/>
    <w:tmpl w:val="C450A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D7081F"/>
    <w:multiLevelType w:val="hybridMultilevel"/>
    <w:tmpl w:val="8AA8DB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282DFA"/>
    <w:multiLevelType w:val="hybridMultilevel"/>
    <w:tmpl w:val="1E366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346A23"/>
    <w:multiLevelType w:val="hybridMultilevel"/>
    <w:tmpl w:val="2F82E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344204"/>
    <w:multiLevelType w:val="hybridMultilevel"/>
    <w:tmpl w:val="88C42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C20A43"/>
    <w:multiLevelType w:val="multilevel"/>
    <w:tmpl w:val="A96AC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71E6EC2"/>
    <w:multiLevelType w:val="hybridMultilevel"/>
    <w:tmpl w:val="8FA88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E440F7"/>
    <w:multiLevelType w:val="hybridMultilevel"/>
    <w:tmpl w:val="ECB2063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CF01FF9"/>
    <w:multiLevelType w:val="hybridMultilevel"/>
    <w:tmpl w:val="790AD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490A05"/>
    <w:multiLevelType w:val="hybridMultilevel"/>
    <w:tmpl w:val="DB5AC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D3795F"/>
    <w:multiLevelType w:val="hybridMultilevel"/>
    <w:tmpl w:val="7CD42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C448A6"/>
    <w:multiLevelType w:val="hybridMultilevel"/>
    <w:tmpl w:val="8D9E71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036DAB"/>
    <w:multiLevelType w:val="hybridMultilevel"/>
    <w:tmpl w:val="F26E0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6F7A74"/>
    <w:multiLevelType w:val="hybridMultilevel"/>
    <w:tmpl w:val="B532C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602AF3"/>
    <w:multiLevelType w:val="hybridMultilevel"/>
    <w:tmpl w:val="D55E0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096172"/>
    <w:multiLevelType w:val="hybridMultilevel"/>
    <w:tmpl w:val="DB365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531257"/>
    <w:multiLevelType w:val="hybridMultilevel"/>
    <w:tmpl w:val="ABCE7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1A5283"/>
    <w:multiLevelType w:val="hybridMultilevel"/>
    <w:tmpl w:val="661A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546153"/>
    <w:multiLevelType w:val="hybridMultilevel"/>
    <w:tmpl w:val="E30AB9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ED6A55"/>
    <w:multiLevelType w:val="hybridMultilevel"/>
    <w:tmpl w:val="09149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992124">
    <w:abstractNumId w:val="2"/>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950505968">
    <w:abstractNumId w:val="1"/>
  </w:num>
  <w:num w:numId="3" w16cid:durableId="530458759">
    <w:abstractNumId w:val="0"/>
  </w:num>
  <w:num w:numId="4" w16cid:durableId="1889100529">
    <w:abstractNumId w:val="14"/>
  </w:num>
  <w:num w:numId="5" w16cid:durableId="523980366">
    <w:abstractNumId w:val="21"/>
  </w:num>
  <w:num w:numId="6" w16cid:durableId="479812840">
    <w:abstractNumId w:val="3"/>
  </w:num>
  <w:num w:numId="7" w16cid:durableId="1880781475">
    <w:abstractNumId w:val="6"/>
  </w:num>
  <w:num w:numId="8" w16cid:durableId="2109037652">
    <w:abstractNumId w:val="11"/>
  </w:num>
  <w:num w:numId="9" w16cid:durableId="148449920">
    <w:abstractNumId w:val="27"/>
  </w:num>
  <w:num w:numId="10" w16cid:durableId="1765220255">
    <w:abstractNumId w:val="24"/>
  </w:num>
  <w:num w:numId="11" w16cid:durableId="1239317606">
    <w:abstractNumId w:val="9"/>
  </w:num>
  <w:num w:numId="12" w16cid:durableId="54738698">
    <w:abstractNumId w:val="33"/>
  </w:num>
  <w:num w:numId="13" w16cid:durableId="2133590297">
    <w:abstractNumId w:val="26"/>
  </w:num>
  <w:num w:numId="14" w16cid:durableId="1452940962">
    <w:abstractNumId w:val="17"/>
  </w:num>
  <w:num w:numId="15" w16cid:durableId="1739671104">
    <w:abstractNumId w:val="28"/>
  </w:num>
  <w:num w:numId="16" w16cid:durableId="1771966461">
    <w:abstractNumId w:val="31"/>
  </w:num>
  <w:num w:numId="17" w16cid:durableId="2082823473">
    <w:abstractNumId w:val="35"/>
  </w:num>
  <w:num w:numId="18" w16cid:durableId="1621450148">
    <w:abstractNumId w:val="12"/>
  </w:num>
  <w:num w:numId="19" w16cid:durableId="482550495">
    <w:abstractNumId w:val="19"/>
  </w:num>
  <w:num w:numId="20" w16cid:durableId="403836327">
    <w:abstractNumId w:val="29"/>
  </w:num>
  <w:num w:numId="21" w16cid:durableId="444035069">
    <w:abstractNumId w:val="20"/>
  </w:num>
  <w:num w:numId="22" w16cid:durableId="1970624828">
    <w:abstractNumId w:val="15"/>
  </w:num>
  <w:num w:numId="23" w16cid:durableId="930048200">
    <w:abstractNumId w:val="7"/>
  </w:num>
  <w:num w:numId="24" w16cid:durableId="649478083">
    <w:abstractNumId w:val="13"/>
  </w:num>
  <w:num w:numId="25" w16cid:durableId="1173373035">
    <w:abstractNumId w:val="5"/>
  </w:num>
  <w:num w:numId="26" w16cid:durableId="599067942">
    <w:abstractNumId w:val="23"/>
  </w:num>
  <w:num w:numId="27" w16cid:durableId="100927966">
    <w:abstractNumId w:val="30"/>
  </w:num>
  <w:num w:numId="28" w16cid:durableId="469903724">
    <w:abstractNumId w:val="18"/>
  </w:num>
  <w:num w:numId="29" w16cid:durableId="1604997508">
    <w:abstractNumId w:val="10"/>
  </w:num>
  <w:num w:numId="30" w16cid:durableId="1227718286">
    <w:abstractNumId w:val="16"/>
  </w:num>
  <w:num w:numId="31" w16cid:durableId="1585914537">
    <w:abstractNumId w:val="8"/>
  </w:num>
  <w:num w:numId="32" w16cid:durableId="828908757">
    <w:abstractNumId w:val="32"/>
  </w:num>
  <w:num w:numId="33" w16cid:durableId="47344224">
    <w:abstractNumId w:val="22"/>
  </w:num>
  <w:num w:numId="34" w16cid:durableId="941186724">
    <w:abstractNumId w:val="25"/>
  </w:num>
  <w:num w:numId="35" w16cid:durableId="1333220706">
    <w:abstractNumId w:val="4"/>
  </w:num>
  <w:num w:numId="36" w16cid:durableId="12156573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030"/>
    <w:rsid w:val="000377DB"/>
    <w:rsid w:val="0004754E"/>
    <w:rsid w:val="00052DFB"/>
    <w:rsid w:val="00071B76"/>
    <w:rsid w:val="0009453F"/>
    <w:rsid w:val="000A1383"/>
    <w:rsid w:val="000A149D"/>
    <w:rsid w:val="000C4C22"/>
    <w:rsid w:val="000D0488"/>
    <w:rsid w:val="000D61A4"/>
    <w:rsid w:val="000E0C3E"/>
    <w:rsid w:val="00111DBE"/>
    <w:rsid w:val="00125034"/>
    <w:rsid w:val="00177A24"/>
    <w:rsid w:val="001865E2"/>
    <w:rsid w:val="00190F28"/>
    <w:rsid w:val="00201E60"/>
    <w:rsid w:val="00207018"/>
    <w:rsid w:val="002273E5"/>
    <w:rsid w:val="0023213C"/>
    <w:rsid w:val="00243609"/>
    <w:rsid w:val="002449C2"/>
    <w:rsid w:val="002471C4"/>
    <w:rsid w:val="002544BB"/>
    <w:rsid w:val="00292AB8"/>
    <w:rsid w:val="002E7404"/>
    <w:rsid w:val="00312DEE"/>
    <w:rsid w:val="00317057"/>
    <w:rsid w:val="00346FA9"/>
    <w:rsid w:val="003805E8"/>
    <w:rsid w:val="00381A2A"/>
    <w:rsid w:val="00385EB3"/>
    <w:rsid w:val="0039349E"/>
    <w:rsid w:val="003A42E9"/>
    <w:rsid w:val="003A6246"/>
    <w:rsid w:val="003C7EBF"/>
    <w:rsid w:val="003D0C9B"/>
    <w:rsid w:val="003D4A3D"/>
    <w:rsid w:val="003E448E"/>
    <w:rsid w:val="003E4FBB"/>
    <w:rsid w:val="003E7A37"/>
    <w:rsid w:val="00420735"/>
    <w:rsid w:val="00434625"/>
    <w:rsid w:val="0043664A"/>
    <w:rsid w:val="00484DFB"/>
    <w:rsid w:val="004C2EE9"/>
    <w:rsid w:val="004E1936"/>
    <w:rsid w:val="00526B92"/>
    <w:rsid w:val="0053158C"/>
    <w:rsid w:val="00536332"/>
    <w:rsid w:val="005B1531"/>
    <w:rsid w:val="005C327B"/>
    <w:rsid w:val="005C7B98"/>
    <w:rsid w:val="005D1DD4"/>
    <w:rsid w:val="005D28F9"/>
    <w:rsid w:val="005F7AFF"/>
    <w:rsid w:val="00604DB4"/>
    <w:rsid w:val="0062423B"/>
    <w:rsid w:val="0063515A"/>
    <w:rsid w:val="00645699"/>
    <w:rsid w:val="006648E3"/>
    <w:rsid w:val="006657AD"/>
    <w:rsid w:val="006E4C82"/>
    <w:rsid w:val="00707AEB"/>
    <w:rsid w:val="00757131"/>
    <w:rsid w:val="007A4403"/>
    <w:rsid w:val="007B4769"/>
    <w:rsid w:val="007E784D"/>
    <w:rsid w:val="00812122"/>
    <w:rsid w:val="008167FB"/>
    <w:rsid w:val="008426FF"/>
    <w:rsid w:val="008465EF"/>
    <w:rsid w:val="008530C7"/>
    <w:rsid w:val="008604BF"/>
    <w:rsid w:val="00881FD7"/>
    <w:rsid w:val="008A45E7"/>
    <w:rsid w:val="008F3009"/>
    <w:rsid w:val="008F7BE9"/>
    <w:rsid w:val="00920D2C"/>
    <w:rsid w:val="00923859"/>
    <w:rsid w:val="0093228A"/>
    <w:rsid w:val="009535DF"/>
    <w:rsid w:val="00976E4F"/>
    <w:rsid w:val="009965A3"/>
    <w:rsid w:val="009A5FAF"/>
    <w:rsid w:val="009B4362"/>
    <w:rsid w:val="009D3FEA"/>
    <w:rsid w:val="009D4737"/>
    <w:rsid w:val="009E637B"/>
    <w:rsid w:val="00A1087F"/>
    <w:rsid w:val="00A1614F"/>
    <w:rsid w:val="00A718FA"/>
    <w:rsid w:val="00A83063"/>
    <w:rsid w:val="00AC4C9C"/>
    <w:rsid w:val="00B015FB"/>
    <w:rsid w:val="00B1322C"/>
    <w:rsid w:val="00B31995"/>
    <w:rsid w:val="00B33F5C"/>
    <w:rsid w:val="00B52269"/>
    <w:rsid w:val="00B63227"/>
    <w:rsid w:val="00B73EDD"/>
    <w:rsid w:val="00B753D2"/>
    <w:rsid w:val="00B80D9A"/>
    <w:rsid w:val="00B9320E"/>
    <w:rsid w:val="00B97E8F"/>
    <w:rsid w:val="00BA05A6"/>
    <w:rsid w:val="00BB4A89"/>
    <w:rsid w:val="00BE5EEC"/>
    <w:rsid w:val="00C7224B"/>
    <w:rsid w:val="00C91030"/>
    <w:rsid w:val="00CB7B06"/>
    <w:rsid w:val="00CC7E2B"/>
    <w:rsid w:val="00CE3D4B"/>
    <w:rsid w:val="00CE5785"/>
    <w:rsid w:val="00D03DEE"/>
    <w:rsid w:val="00D064EC"/>
    <w:rsid w:val="00D11059"/>
    <w:rsid w:val="00D12F87"/>
    <w:rsid w:val="00D2612F"/>
    <w:rsid w:val="00D50576"/>
    <w:rsid w:val="00D63191"/>
    <w:rsid w:val="00D635B9"/>
    <w:rsid w:val="00D6473F"/>
    <w:rsid w:val="00D82EB3"/>
    <w:rsid w:val="00D83D95"/>
    <w:rsid w:val="00DA1116"/>
    <w:rsid w:val="00DA6EC5"/>
    <w:rsid w:val="00DA6F80"/>
    <w:rsid w:val="00DB44A8"/>
    <w:rsid w:val="00DB60FD"/>
    <w:rsid w:val="00DC5A6E"/>
    <w:rsid w:val="00DF1FB2"/>
    <w:rsid w:val="00E01C43"/>
    <w:rsid w:val="00E11FE1"/>
    <w:rsid w:val="00E40371"/>
    <w:rsid w:val="00E5409D"/>
    <w:rsid w:val="00EB4345"/>
    <w:rsid w:val="00EC4C84"/>
    <w:rsid w:val="00EC5FCC"/>
    <w:rsid w:val="00F02B2A"/>
    <w:rsid w:val="00F21300"/>
    <w:rsid w:val="00F50A65"/>
    <w:rsid w:val="00F638A9"/>
    <w:rsid w:val="00F8410A"/>
    <w:rsid w:val="00FB3601"/>
    <w:rsid w:val="00FB47AF"/>
    <w:rsid w:val="00FD7DE7"/>
    <w:rsid w:val="00FE5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2FC268"/>
  <w15:docId w15:val="{85EDD995-879E-4F1A-A1F6-AFA9130C7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99"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qFormat/>
    <w:rsid w:val="003E448E"/>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3E448E"/>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645699"/>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02B2A"/>
    <w:pPr>
      <w:autoSpaceDE w:val="0"/>
      <w:autoSpaceDN w:val="0"/>
      <w:adjustRightInd w:val="0"/>
    </w:pPr>
    <w:rPr>
      <w:rFonts w:ascii="Arial" w:hAnsi="Arial" w:cs="Arial"/>
      <w:color w:val="000000"/>
      <w:sz w:val="24"/>
      <w:szCs w:val="24"/>
    </w:rPr>
  </w:style>
  <w:style w:type="character" w:customStyle="1" w:styleId="Heading2Char">
    <w:name w:val="Heading 2 Char"/>
    <w:basedOn w:val="DefaultParagraphFont"/>
    <w:link w:val="Heading2"/>
    <w:rsid w:val="003E448E"/>
    <w:rPr>
      <w:rFonts w:ascii="Cambria" w:hAnsi="Cambria"/>
      <w:b/>
      <w:bCs/>
      <w:i/>
      <w:iCs/>
      <w:sz w:val="28"/>
      <w:szCs w:val="28"/>
    </w:rPr>
  </w:style>
  <w:style w:type="character" w:customStyle="1" w:styleId="Heading3Char">
    <w:name w:val="Heading 3 Char"/>
    <w:basedOn w:val="DefaultParagraphFont"/>
    <w:link w:val="Heading3"/>
    <w:semiHidden/>
    <w:rsid w:val="003E448E"/>
    <w:rPr>
      <w:rFonts w:ascii="Cambria" w:hAnsi="Cambria"/>
      <w:b/>
      <w:bCs/>
      <w:sz w:val="26"/>
      <w:szCs w:val="26"/>
    </w:rPr>
  </w:style>
  <w:style w:type="paragraph" w:customStyle="1" w:styleId="Level1">
    <w:name w:val="Level 1"/>
    <w:basedOn w:val="Normal"/>
    <w:rsid w:val="003E448E"/>
    <w:pPr>
      <w:widowControl w:val="0"/>
      <w:numPr>
        <w:numId w:val="1"/>
      </w:numPr>
      <w:ind w:left="720" w:hanging="720"/>
      <w:outlineLvl w:val="0"/>
    </w:pPr>
    <w:rPr>
      <w:snapToGrid w:val="0"/>
      <w:szCs w:val="20"/>
    </w:rPr>
  </w:style>
  <w:style w:type="paragraph" w:customStyle="1" w:styleId="Level2">
    <w:name w:val="Level 2"/>
    <w:basedOn w:val="Normal"/>
    <w:rsid w:val="003E448E"/>
    <w:pPr>
      <w:widowControl w:val="0"/>
      <w:numPr>
        <w:ilvl w:val="1"/>
        <w:numId w:val="1"/>
      </w:numPr>
      <w:ind w:left="1350" w:hanging="630"/>
      <w:outlineLvl w:val="1"/>
    </w:pPr>
    <w:rPr>
      <w:snapToGrid w:val="0"/>
      <w:szCs w:val="20"/>
    </w:rPr>
  </w:style>
  <w:style w:type="paragraph" w:customStyle="1" w:styleId="Level3">
    <w:name w:val="Level 3"/>
    <w:basedOn w:val="Normal"/>
    <w:rsid w:val="003E448E"/>
    <w:pPr>
      <w:widowControl w:val="0"/>
      <w:numPr>
        <w:ilvl w:val="2"/>
        <w:numId w:val="1"/>
      </w:numPr>
      <w:ind w:left="1800" w:hanging="450"/>
      <w:outlineLvl w:val="2"/>
    </w:pPr>
    <w:rPr>
      <w:snapToGrid w:val="0"/>
      <w:szCs w:val="20"/>
    </w:rPr>
  </w:style>
  <w:style w:type="paragraph" w:customStyle="1" w:styleId="Level4">
    <w:name w:val="Level 4"/>
    <w:basedOn w:val="Normal"/>
    <w:rsid w:val="003E448E"/>
    <w:pPr>
      <w:widowControl w:val="0"/>
      <w:numPr>
        <w:ilvl w:val="3"/>
        <w:numId w:val="1"/>
      </w:numPr>
      <w:ind w:left="2250" w:hanging="450"/>
      <w:outlineLvl w:val="3"/>
    </w:pPr>
    <w:rPr>
      <w:snapToGrid w:val="0"/>
      <w:szCs w:val="20"/>
    </w:rPr>
  </w:style>
  <w:style w:type="paragraph" w:customStyle="1" w:styleId="Level5">
    <w:name w:val="Level 5"/>
    <w:basedOn w:val="Normal"/>
    <w:rsid w:val="003E448E"/>
    <w:pPr>
      <w:widowControl w:val="0"/>
      <w:numPr>
        <w:ilvl w:val="4"/>
        <w:numId w:val="1"/>
      </w:numPr>
      <w:ind w:left="2790" w:hanging="540"/>
      <w:outlineLvl w:val="4"/>
    </w:pPr>
    <w:rPr>
      <w:snapToGrid w:val="0"/>
      <w:szCs w:val="20"/>
    </w:rPr>
  </w:style>
  <w:style w:type="paragraph" w:customStyle="1" w:styleId="Level6">
    <w:name w:val="Level 6"/>
    <w:basedOn w:val="Normal"/>
    <w:rsid w:val="003E448E"/>
    <w:pPr>
      <w:widowControl w:val="0"/>
      <w:numPr>
        <w:ilvl w:val="5"/>
        <w:numId w:val="1"/>
      </w:numPr>
      <w:ind w:left="3330" w:hanging="540"/>
      <w:outlineLvl w:val="5"/>
    </w:pPr>
    <w:rPr>
      <w:snapToGrid w:val="0"/>
      <w:szCs w:val="20"/>
    </w:rPr>
  </w:style>
  <w:style w:type="paragraph" w:styleId="ListBullet2">
    <w:name w:val="List Bullet 2"/>
    <w:basedOn w:val="Normal"/>
    <w:rsid w:val="003E448E"/>
    <w:pPr>
      <w:numPr>
        <w:numId w:val="3"/>
      </w:numPr>
      <w:spacing w:before="60" w:after="120"/>
    </w:pPr>
    <w:rPr>
      <w:rFonts w:ascii="Arial" w:hAnsi="Arial"/>
      <w:sz w:val="22"/>
      <w:szCs w:val="20"/>
    </w:rPr>
  </w:style>
  <w:style w:type="paragraph" w:styleId="ListBullet">
    <w:name w:val="List Bullet"/>
    <w:basedOn w:val="Normal"/>
    <w:uiPriority w:val="99"/>
    <w:qFormat/>
    <w:rsid w:val="003E448E"/>
    <w:pPr>
      <w:numPr>
        <w:numId w:val="2"/>
      </w:numPr>
      <w:spacing w:before="60" w:after="120"/>
    </w:pPr>
    <w:rPr>
      <w:rFonts w:ascii="Arial" w:hAnsi="Arial"/>
      <w:sz w:val="22"/>
      <w:szCs w:val="20"/>
    </w:rPr>
  </w:style>
  <w:style w:type="paragraph" w:styleId="NormalWeb">
    <w:name w:val="Normal (Web)"/>
    <w:basedOn w:val="Normal"/>
    <w:uiPriority w:val="99"/>
    <w:unhideWhenUsed/>
    <w:rsid w:val="00385EB3"/>
    <w:pPr>
      <w:spacing w:before="100" w:beforeAutospacing="1" w:after="100" w:afterAutospacing="1"/>
    </w:pPr>
  </w:style>
  <w:style w:type="paragraph" w:styleId="BalloonText">
    <w:name w:val="Balloon Text"/>
    <w:basedOn w:val="Normal"/>
    <w:link w:val="BalloonTextChar"/>
    <w:rsid w:val="005F7AFF"/>
    <w:rPr>
      <w:rFonts w:ascii="Tahoma" w:hAnsi="Tahoma" w:cs="Tahoma"/>
      <w:sz w:val="16"/>
      <w:szCs w:val="16"/>
    </w:rPr>
  </w:style>
  <w:style w:type="character" w:customStyle="1" w:styleId="BalloonTextChar">
    <w:name w:val="Balloon Text Char"/>
    <w:basedOn w:val="DefaultParagraphFont"/>
    <w:link w:val="BalloonText"/>
    <w:rsid w:val="005F7AFF"/>
    <w:rPr>
      <w:rFonts w:ascii="Tahoma" w:hAnsi="Tahoma" w:cs="Tahoma"/>
      <w:sz w:val="16"/>
      <w:szCs w:val="16"/>
    </w:rPr>
  </w:style>
  <w:style w:type="paragraph" w:styleId="ListParagraph">
    <w:name w:val="List Paragraph"/>
    <w:basedOn w:val="Normal"/>
    <w:uiPriority w:val="34"/>
    <w:qFormat/>
    <w:rsid w:val="00FE5013"/>
    <w:pPr>
      <w:ind w:left="720"/>
      <w:contextualSpacing/>
    </w:pPr>
  </w:style>
  <w:style w:type="paragraph" w:styleId="BodyText">
    <w:name w:val="Body Text"/>
    <w:basedOn w:val="Normal"/>
    <w:link w:val="BodyTextChar"/>
    <w:uiPriority w:val="1"/>
    <w:qFormat/>
    <w:rsid w:val="00FB3601"/>
    <w:pPr>
      <w:spacing w:before="120" w:after="120"/>
    </w:pPr>
    <w:rPr>
      <w:rFonts w:ascii="Arial" w:eastAsia="Arial" w:hAnsi="Arial"/>
      <w:sz w:val="22"/>
    </w:rPr>
  </w:style>
  <w:style w:type="character" w:customStyle="1" w:styleId="BodyTextChar">
    <w:name w:val="Body Text Char"/>
    <w:basedOn w:val="DefaultParagraphFont"/>
    <w:link w:val="BodyText"/>
    <w:uiPriority w:val="1"/>
    <w:rsid w:val="00FB3601"/>
    <w:rPr>
      <w:rFonts w:ascii="Arial" w:eastAsia="Arial" w:hAnsi="Arial"/>
      <w:sz w:val="22"/>
      <w:szCs w:val="24"/>
    </w:rPr>
  </w:style>
  <w:style w:type="character" w:customStyle="1" w:styleId="Heading4Char">
    <w:name w:val="Heading 4 Char"/>
    <w:basedOn w:val="DefaultParagraphFont"/>
    <w:link w:val="Heading4"/>
    <w:rsid w:val="00645699"/>
    <w:rPr>
      <w:b/>
      <w:bCs/>
      <w:sz w:val="28"/>
      <w:szCs w:val="28"/>
    </w:rPr>
  </w:style>
  <w:style w:type="paragraph" w:styleId="BodyTextIndent">
    <w:name w:val="Body Text Indent"/>
    <w:basedOn w:val="Normal"/>
    <w:link w:val="BodyTextIndentChar"/>
    <w:rsid w:val="00645699"/>
    <w:pPr>
      <w:spacing w:after="120"/>
      <w:ind w:left="360"/>
    </w:pPr>
  </w:style>
  <w:style w:type="character" w:customStyle="1" w:styleId="BodyTextIndentChar">
    <w:name w:val="Body Text Indent Char"/>
    <w:basedOn w:val="DefaultParagraphFont"/>
    <w:link w:val="BodyTextIndent"/>
    <w:rsid w:val="00645699"/>
    <w:rPr>
      <w:sz w:val="24"/>
      <w:szCs w:val="24"/>
    </w:rPr>
  </w:style>
  <w:style w:type="paragraph" w:styleId="Header">
    <w:name w:val="header"/>
    <w:basedOn w:val="Normal"/>
    <w:link w:val="HeaderChar"/>
    <w:rsid w:val="006648E3"/>
    <w:pPr>
      <w:tabs>
        <w:tab w:val="center" w:pos="4680"/>
        <w:tab w:val="right" w:pos="9360"/>
      </w:tabs>
    </w:pPr>
  </w:style>
  <w:style w:type="character" w:customStyle="1" w:styleId="HeaderChar">
    <w:name w:val="Header Char"/>
    <w:basedOn w:val="DefaultParagraphFont"/>
    <w:link w:val="Header"/>
    <w:rsid w:val="006648E3"/>
    <w:rPr>
      <w:sz w:val="24"/>
      <w:szCs w:val="24"/>
    </w:rPr>
  </w:style>
  <w:style w:type="paragraph" w:styleId="Footer">
    <w:name w:val="footer"/>
    <w:basedOn w:val="Normal"/>
    <w:link w:val="FooterChar"/>
    <w:uiPriority w:val="99"/>
    <w:rsid w:val="006648E3"/>
    <w:pPr>
      <w:tabs>
        <w:tab w:val="center" w:pos="4680"/>
        <w:tab w:val="right" w:pos="9360"/>
      </w:tabs>
    </w:pPr>
  </w:style>
  <w:style w:type="character" w:customStyle="1" w:styleId="FooterChar">
    <w:name w:val="Footer Char"/>
    <w:basedOn w:val="DefaultParagraphFont"/>
    <w:link w:val="Footer"/>
    <w:uiPriority w:val="99"/>
    <w:rsid w:val="006648E3"/>
    <w:rPr>
      <w:sz w:val="24"/>
      <w:szCs w:val="24"/>
    </w:rPr>
  </w:style>
  <w:style w:type="table" w:styleId="TableGrid">
    <w:name w:val="Table Grid"/>
    <w:basedOn w:val="TableNormal"/>
    <w:uiPriority w:val="59"/>
    <w:rsid w:val="00177A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931451">
      <w:bodyDiv w:val="1"/>
      <w:marLeft w:val="0"/>
      <w:marRight w:val="0"/>
      <w:marTop w:val="0"/>
      <w:marBottom w:val="0"/>
      <w:divBdr>
        <w:top w:val="none" w:sz="0" w:space="0" w:color="auto"/>
        <w:left w:val="none" w:sz="0" w:space="0" w:color="auto"/>
        <w:bottom w:val="none" w:sz="0" w:space="0" w:color="auto"/>
        <w:right w:val="none" w:sz="0" w:space="0" w:color="auto"/>
      </w:divBdr>
    </w:div>
    <w:div w:id="1216283075">
      <w:bodyDiv w:val="1"/>
      <w:marLeft w:val="0"/>
      <w:marRight w:val="0"/>
      <w:marTop w:val="0"/>
      <w:marBottom w:val="0"/>
      <w:divBdr>
        <w:top w:val="none" w:sz="0" w:space="0" w:color="auto"/>
        <w:left w:val="none" w:sz="0" w:space="0" w:color="auto"/>
        <w:bottom w:val="none" w:sz="0" w:space="0" w:color="auto"/>
        <w:right w:val="none" w:sz="0" w:space="0" w:color="auto"/>
      </w:divBdr>
    </w:div>
    <w:div w:id="1526597256">
      <w:bodyDiv w:val="1"/>
      <w:marLeft w:val="0"/>
      <w:marRight w:val="0"/>
      <w:marTop w:val="0"/>
      <w:marBottom w:val="0"/>
      <w:divBdr>
        <w:top w:val="none" w:sz="0" w:space="0" w:color="auto"/>
        <w:left w:val="none" w:sz="0" w:space="0" w:color="auto"/>
        <w:bottom w:val="none" w:sz="0" w:space="0" w:color="auto"/>
        <w:right w:val="none" w:sz="0" w:space="0" w:color="auto"/>
      </w:divBdr>
    </w:div>
    <w:div w:id="1666009633">
      <w:bodyDiv w:val="1"/>
      <w:marLeft w:val="0"/>
      <w:marRight w:val="0"/>
      <w:marTop w:val="0"/>
      <w:marBottom w:val="0"/>
      <w:divBdr>
        <w:top w:val="none" w:sz="0" w:space="0" w:color="auto"/>
        <w:left w:val="none" w:sz="0" w:space="0" w:color="auto"/>
        <w:bottom w:val="none" w:sz="0" w:space="0" w:color="auto"/>
        <w:right w:val="none" w:sz="0" w:space="0" w:color="auto"/>
      </w:divBdr>
    </w:div>
    <w:div w:id="1750736183">
      <w:bodyDiv w:val="1"/>
      <w:marLeft w:val="0"/>
      <w:marRight w:val="0"/>
      <w:marTop w:val="0"/>
      <w:marBottom w:val="0"/>
      <w:divBdr>
        <w:top w:val="none" w:sz="0" w:space="0" w:color="auto"/>
        <w:left w:val="none" w:sz="0" w:space="0" w:color="auto"/>
        <w:bottom w:val="none" w:sz="0" w:space="0" w:color="auto"/>
        <w:right w:val="none" w:sz="0" w:space="0" w:color="auto"/>
      </w:divBdr>
    </w:div>
    <w:div w:id="1800149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806C26689ED3F47936053D429BDF58C" ma:contentTypeVersion="9" ma:contentTypeDescription="Create a new document." ma:contentTypeScope="" ma:versionID="66ecbbe427636473f978a03321d118df">
  <xsd:schema xmlns:xsd="http://www.w3.org/2001/XMLSchema" xmlns:xs="http://www.w3.org/2001/XMLSchema" xmlns:p="http://schemas.microsoft.com/office/2006/metadata/properties" xmlns:ns2="bdda19d9-f9ba-46b3-a6de-8cd7cd5343b5" xmlns:ns3="b480663d-7f8b-472d-9c70-e03b8f8cc4c6" targetNamespace="http://schemas.microsoft.com/office/2006/metadata/properties" ma:root="true" ma:fieldsID="81672e0168d4235f3e1b1a331d259dae" ns2:_="" ns3:_="">
    <xsd:import namespace="bdda19d9-f9ba-46b3-a6de-8cd7cd5343b5"/>
    <xsd:import namespace="b480663d-7f8b-472d-9c70-e03b8f8cc4c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a19d9-f9ba-46b3-a6de-8cd7cd5343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ed8703d-a7c8-4a51-8730-763bd45d72e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80663d-7f8b-472d-9c70-e03b8f8cc4c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0cfcc9c-6109-48d3-8202-d2de5a44e771}" ma:internalName="TaxCatchAll" ma:showField="CatchAllData" ma:web="b480663d-7f8b-472d-9c70-e03b8f8cc4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C1C443-63D3-43F6-9D97-EF522B593A5C}">
  <ds:schemaRefs>
    <ds:schemaRef ds:uri="http://schemas.openxmlformats.org/officeDocument/2006/bibliography"/>
  </ds:schemaRefs>
</ds:datastoreItem>
</file>

<file path=customXml/itemProps2.xml><?xml version="1.0" encoding="utf-8"?>
<ds:datastoreItem xmlns:ds="http://schemas.openxmlformats.org/officeDocument/2006/customXml" ds:itemID="{4F548F61-2B6E-43E5-A381-4AC08C0B8715}"/>
</file>

<file path=customXml/itemProps3.xml><?xml version="1.0" encoding="utf-8"?>
<ds:datastoreItem xmlns:ds="http://schemas.openxmlformats.org/officeDocument/2006/customXml" ds:itemID="{476BBE33-CF15-4E79-B7F0-3BA85F29CB4B}"/>
</file>

<file path=docProps/app.xml><?xml version="1.0" encoding="utf-8"?>
<Properties xmlns="http://schemas.openxmlformats.org/officeDocument/2006/extended-properties" xmlns:vt="http://schemas.openxmlformats.org/officeDocument/2006/docPropsVTypes">
  <Template>Normal</Template>
  <TotalTime>26</TotalTime>
  <Pages>11</Pages>
  <Words>1821</Words>
  <Characters>10381</Characters>
  <Application>Microsoft Office Word</Application>
  <DocSecurity>0</DocSecurity>
  <Lines>86</Lines>
  <Paragraphs>24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Overpayments and Overissuances </vt:lpstr>
    </vt:vector>
  </TitlesOfParts>
  <Company>County of Fresno</Company>
  <LinksUpToDate>false</LinksUpToDate>
  <CharactersWithSpaces>12178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Haga, Renee</dc:creator>
  <cp:lastModifiedBy>Sally Renee Haga</cp:lastModifiedBy>
  <cp:revision>3</cp:revision>
  <cp:lastPrinted>2016-06-14T20:24:00Z</cp:lastPrinted>
  <dcterms:created xsi:type="dcterms:W3CDTF">2022-10-13T23:53:00Z</dcterms:created>
  <dcterms:modified xsi:type="dcterms:W3CDTF">2022-10-14T00:12:00Z</dcterms:modified>
</cp:coreProperties>
</file>