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1CEF" w14:textId="77777777" w:rsidR="00FE0F64" w:rsidRPr="00FE0F64" w:rsidRDefault="00FE0F64" w:rsidP="00FE0F64">
      <w:pPr>
        <w:pBdr>
          <w:top w:val="single" w:sz="2" w:space="0" w:color="auto"/>
          <w:left w:val="single" w:sz="2" w:space="0" w:color="auto"/>
          <w:bottom w:val="single" w:sz="2" w:space="0" w:color="auto"/>
          <w:right w:val="single" w:sz="2" w:space="0" w:color="auto"/>
        </w:pBdr>
        <w:spacing w:before="365" w:after="365" w:line="240" w:lineRule="auto"/>
        <w:jc w:val="center"/>
        <w:outlineLvl w:val="0"/>
        <w:rPr>
          <w:rFonts w:ascii="Georgia" w:eastAsia="Times New Roman" w:hAnsi="Georgia" w:cs="Times New Roman"/>
          <w:color w:val="094656"/>
          <w:kern w:val="36"/>
          <w:sz w:val="48"/>
          <w:szCs w:val="48"/>
          <w:lang w:eastAsia="en-GB"/>
          <w14:ligatures w14:val="none"/>
        </w:rPr>
      </w:pPr>
      <w:r w:rsidRPr="00FE0F64">
        <w:rPr>
          <w:rFonts w:ascii="Georgia" w:eastAsia="Times New Roman" w:hAnsi="Georgia" w:cs="Times New Roman"/>
          <w:color w:val="094656"/>
          <w:kern w:val="36"/>
          <w:sz w:val="48"/>
          <w:szCs w:val="48"/>
          <w:lang w:eastAsia="en-GB"/>
          <w14:ligatures w14:val="none"/>
        </w:rPr>
        <w:t>Southern Research, Pathogenus create global partnership</w:t>
      </w:r>
    </w:p>
    <w:p w14:paraId="5EF5E20D" w14:textId="77777777" w:rsidR="00FE0F64" w:rsidRPr="00FE0F64" w:rsidRDefault="00FE0F64" w:rsidP="00FE0F64">
      <w:pPr>
        <w:pBdr>
          <w:top w:val="single" w:sz="2" w:space="0" w:color="auto"/>
          <w:left w:val="single" w:sz="2" w:space="0" w:color="auto"/>
          <w:bottom w:val="single" w:sz="2" w:space="0" w:color="auto"/>
          <w:right w:val="single" w:sz="2" w:space="0" w:color="auto"/>
        </w:pBdr>
        <w:spacing w:before="365" w:after="0" w:line="240" w:lineRule="auto"/>
        <w:jc w:val="center"/>
        <w:rPr>
          <w:rFonts w:ascii="Times New Roman" w:eastAsia="Times New Roman" w:hAnsi="Times New Roman" w:cs="Times New Roman"/>
          <w:color w:val="707070"/>
          <w:kern w:val="0"/>
          <w:lang w:eastAsia="en-GB"/>
          <w14:ligatures w14:val="none"/>
        </w:rPr>
      </w:pPr>
      <w:r w:rsidRPr="00FE0F64">
        <w:rPr>
          <w:rFonts w:ascii="Times New Roman" w:eastAsia="Times New Roman" w:hAnsi="Times New Roman" w:cs="Times New Roman"/>
          <w:color w:val="707070"/>
          <w:kern w:val="0"/>
          <w:lang w:eastAsia="en-GB"/>
          <w14:ligatures w14:val="none"/>
        </w:rPr>
        <w:t>February 2, 2026</w:t>
      </w:r>
    </w:p>
    <w:p w14:paraId="19EDF5C6" w14:textId="77777777" w:rsidR="00FE0F64" w:rsidRPr="00FE0F64" w:rsidRDefault="00FE0F64" w:rsidP="00FE0F64">
      <w:pPr>
        <w:pBdr>
          <w:top w:val="single" w:sz="2" w:space="0" w:color="auto"/>
          <w:left w:val="single" w:sz="2" w:space="0" w:color="auto"/>
          <w:bottom w:val="single" w:sz="2" w:space="0" w:color="auto"/>
          <w:right w:val="single" w:sz="2" w:space="0" w:color="auto"/>
        </w:pBdr>
        <w:shd w:val="clear" w:color="auto" w:fill="F8F8F8"/>
        <w:spacing w:before="365" w:after="365" w:line="240" w:lineRule="auto"/>
        <w:rPr>
          <w:rFonts w:ascii="Nunito Sans" w:eastAsia="Times New Roman" w:hAnsi="Nunito Sans" w:cs="Times New Roman"/>
          <w:color w:val="707070"/>
          <w:kern w:val="0"/>
          <w:sz w:val="26"/>
          <w:szCs w:val="26"/>
          <w:lang w:eastAsia="en-GB"/>
          <w14:ligatures w14:val="none"/>
        </w:rPr>
      </w:pPr>
      <w:r w:rsidRPr="00FE0F64">
        <w:rPr>
          <w:rFonts w:ascii="Nunito Sans" w:eastAsia="Times New Roman" w:hAnsi="Nunito Sans" w:cs="Times New Roman"/>
          <w:b/>
          <w:bCs/>
          <w:color w:val="707070"/>
          <w:kern w:val="0"/>
          <w:sz w:val="26"/>
          <w:szCs w:val="26"/>
          <w:bdr w:val="single" w:sz="2" w:space="0" w:color="auto" w:frame="1"/>
          <w:lang w:eastAsia="en-GB"/>
          <w14:ligatures w14:val="none"/>
        </w:rPr>
        <w:t>Birmingham, Ala. – </w:t>
      </w:r>
      <w:r w:rsidRPr="00FE0F64">
        <w:rPr>
          <w:rFonts w:ascii="Nunito Sans" w:eastAsia="Times New Roman" w:hAnsi="Nunito Sans" w:cs="Times New Roman"/>
          <w:color w:val="707070"/>
          <w:kern w:val="0"/>
          <w:sz w:val="26"/>
          <w:szCs w:val="26"/>
          <w:lang w:eastAsia="en-GB"/>
          <w14:ligatures w14:val="none"/>
        </w:rPr>
        <w:t>Southern Research and London-based </w:t>
      </w:r>
      <w:hyperlink r:id="rId4" w:history="1">
        <w:r w:rsidRPr="00FE0F64">
          <w:rPr>
            <w:rFonts w:ascii="Nunito Sans" w:eastAsia="Times New Roman" w:hAnsi="Nunito Sans" w:cs="Times New Roman"/>
            <w:color w:val="707070"/>
            <w:kern w:val="0"/>
            <w:sz w:val="26"/>
            <w:szCs w:val="26"/>
            <w:u w:val="single"/>
            <w:bdr w:val="single" w:sz="2" w:space="0" w:color="auto" w:frame="1"/>
            <w:lang w:eastAsia="en-GB"/>
            <w14:ligatures w14:val="none"/>
          </w:rPr>
          <w:t>Pathogenus Consulting</w:t>
        </w:r>
      </w:hyperlink>
      <w:r w:rsidRPr="00FE0F64">
        <w:rPr>
          <w:rFonts w:ascii="Nunito Sans" w:eastAsia="Times New Roman" w:hAnsi="Nunito Sans" w:cs="Times New Roman"/>
          <w:color w:val="707070"/>
          <w:kern w:val="0"/>
          <w:sz w:val="26"/>
          <w:szCs w:val="26"/>
          <w:lang w:eastAsia="en-GB"/>
          <w14:ligatures w14:val="none"/>
        </w:rPr>
        <w:t> have signed a three-year partnership that will allow both organizations to capitalize on growing research opportunities around the world.</w:t>
      </w:r>
    </w:p>
    <w:p w14:paraId="58FA79BB" w14:textId="77777777" w:rsidR="00FE0F64" w:rsidRPr="00FE0F64" w:rsidRDefault="00FE0F64" w:rsidP="00FE0F64">
      <w:pPr>
        <w:pBdr>
          <w:top w:val="single" w:sz="2" w:space="0" w:color="auto"/>
          <w:left w:val="single" w:sz="2" w:space="0" w:color="auto"/>
          <w:bottom w:val="single" w:sz="2" w:space="0" w:color="auto"/>
          <w:right w:val="single" w:sz="2" w:space="0" w:color="auto"/>
        </w:pBdr>
        <w:shd w:val="clear" w:color="auto" w:fill="F8F8F8"/>
        <w:spacing w:before="365" w:after="365" w:line="240" w:lineRule="auto"/>
        <w:rPr>
          <w:rFonts w:ascii="Nunito Sans" w:eastAsia="Times New Roman" w:hAnsi="Nunito Sans" w:cs="Times New Roman"/>
          <w:color w:val="707070"/>
          <w:kern w:val="0"/>
          <w:sz w:val="26"/>
          <w:szCs w:val="26"/>
          <w:lang w:eastAsia="en-GB"/>
          <w14:ligatures w14:val="none"/>
        </w:rPr>
      </w:pPr>
      <w:r w:rsidRPr="00FE0F64">
        <w:rPr>
          <w:rFonts w:ascii="Nunito Sans" w:eastAsia="Times New Roman" w:hAnsi="Nunito Sans" w:cs="Times New Roman"/>
          <w:color w:val="707070"/>
          <w:kern w:val="0"/>
          <w:sz w:val="26"/>
          <w:szCs w:val="26"/>
          <w:lang w:eastAsia="en-GB"/>
          <w14:ligatures w14:val="none"/>
        </w:rPr>
        <w:t>“We’ve seen clear momentum in our work with partners outside the United States, especially with Japan and European pharmaceutical companies, and the opportunity to broaden that footprint is both exciting and timely,” said </w:t>
      </w:r>
      <w:hyperlink r:id="rId5" w:history="1">
        <w:r w:rsidRPr="00FE0F64">
          <w:rPr>
            <w:rFonts w:ascii="Nunito Sans" w:eastAsia="Times New Roman" w:hAnsi="Nunito Sans" w:cs="Times New Roman"/>
            <w:color w:val="707070"/>
            <w:kern w:val="0"/>
            <w:sz w:val="26"/>
            <w:szCs w:val="26"/>
            <w:u w:val="single"/>
            <w:bdr w:val="single" w:sz="2" w:space="0" w:color="auto" w:frame="1"/>
            <w:lang w:eastAsia="en-GB"/>
            <w14:ligatures w14:val="none"/>
          </w:rPr>
          <w:t>Fusataka Koide,</w:t>
        </w:r>
      </w:hyperlink>
      <w:r w:rsidRPr="00FE0F64">
        <w:rPr>
          <w:rFonts w:ascii="Nunito Sans" w:eastAsia="Times New Roman" w:hAnsi="Nunito Sans" w:cs="Times New Roman"/>
          <w:color w:val="707070"/>
          <w:kern w:val="0"/>
          <w:sz w:val="26"/>
          <w:szCs w:val="26"/>
          <w:lang w:eastAsia="en-GB"/>
          <w14:ligatures w14:val="none"/>
        </w:rPr>
        <w:t> senior director of global client engagement for Southern Research. “As global investment in research accelerates, this collaboration ensures we remain at the forefront of innovation that can improve health worldwide in the fight against emerging and re-emerging diseases.”</w:t>
      </w:r>
    </w:p>
    <w:p w14:paraId="1C1CDBBE" w14:textId="77777777" w:rsidR="00FE0F64" w:rsidRPr="00FE0F64" w:rsidRDefault="00FE0F64" w:rsidP="00FE0F64">
      <w:pPr>
        <w:pBdr>
          <w:top w:val="single" w:sz="2" w:space="0" w:color="auto"/>
          <w:left w:val="single" w:sz="2" w:space="0" w:color="auto"/>
          <w:bottom w:val="single" w:sz="2" w:space="0" w:color="auto"/>
          <w:right w:val="single" w:sz="2" w:space="0" w:color="auto"/>
        </w:pBdr>
        <w:shd w:val="clear" w:color="auto" w:fill="F8F8F8"/>
        <w:spacing w:before="365" w:after="365" w:line="240" w:lineRule="auto"/>
        <w:rPr>
          <w:rFonts w:ascii="Nunito Sans" w:eastAsia="Times New Roman" w:hAnsi="Nunito Sans" w:cs="Times New Roman"/>
          <w:color w:val="707070"/>
          <w:kern w:val="0"/>
          <w:sz w:val="26"/>
          <w:szCs w:val="26"/>
          <w:lang w:eastAsia="en-GB"/>
          <w14:ligatures w14:val="none"/>
        </w:rPr>
      </w:pPr>
      <w:r w:rsidRPr="00FE0F64">
        <w:rPr>
          <w:rFonts w:ascii="Nunito Sans" w:eastAsia="Times New Roman" w:hAnsi="Nunito Sans" w:cs="Times New Roman"/>
          <w:color w:val="707070"/>
          <w:kern w:val="0"/>
          <w:sz w:val="26"/>
          <w:szCs w:val="26"/>
          <w:lang w:eastAsia="en-GB"/>
          <w14:ligatures w14:val="none"/>
        </w:rPr>
        <w:t>Pathogenus maintains a strong scientific network in the U.K. and Ireland and also operates in Belgium, Switzerland and the Netherlands. Its network will benefit from Southern Research’s expertise and scientific infrastructure, including its </w:t>
      </w:r>
      <w:hyperlink r:id="rId6" w:history="1">
        <w:r w:rsidRPr="00FE0F64">
          <w:rPr>
            <w:rFonts w:ascii="Nunito Sans" w:eastAsia="Times New Roman" w:hAnsi="Nunito Sans" w:cs="Times New Roman"/>
            <w:color w:val="707070"/>
            <w:kern w:val="0"/>
            <w:sz w:val="26"/>
            <w:szCs w:val="26"/>
            <w:u w:val="single"/>
            <w:bdr w:val="single" w:sz="2" w:space="0" w:color="auto" w:frame="1"/>
            <w:lang w:eastAsia="en-GB"/>
            <w14:ligatures w14:val="none"/>
          </w:rPr>
          <w:t>Biosafety Level 2 and 3 labs</w:t>
        </w:r>
      </w:hyperlink>
      <w:r w:rsidRPr="00FE0F64">
        <w:rPr>
          <w:rFonts w:ascii="Nunito Sans" w:eastAsia="Times New Roman" w:hAnsi="Nunito Sans" w:cs="Times New Roman"/>
          <w:color w:val="707070"/>
          <w:kern w:val="0"/>
          <w:sz w:val="26"/>
          <w:szCs w:val="26"/>
          <w:lang w:eastAsia="en-GB"/>
          <w14:ligatures w14:val="none"/>
        </w:rPr>
        <w:t> at its headquarters in Birmingham, Ala.</w:t>
      </w:r>
    </w:p>
    <w:p w14:paraId="1A26D594" w14:textId="77777777" w:rsidR="00FE0F64" w:rsidRPr="00FE0F64" w:rsidRDefault="00FE0F64" w:rsidP="00FE0F64">
      <w:pPr>
        <w:pBdr>
          <w:top w:val="single" w:sz="2" w:space="0" w:color="auto"/>
          <w:left w:val="single" w:sz="2" w:space="0" w:color="auto"/>
          <w:bottom w:val="single" w:sz="2" w:space="0" w:color="auto"/>
          <w:right w:val="single" w:sz="2" w:space="0" w:color="auto"/>
        </w:pBdr>
        <w:shd w:val="clear" w:color="auto" w:fill="F8F8F8"/>
        <w:spacing w:before="365" w:after="365" w:line="240" w:lineRule="auto"/>
        <w:rPr>
          <w:rFonts w:ascii="Nunito Sans" w:eastAsia="Times New Roman" w:hAnsi="Nunito Sans" w:cs="Times New Roman"/>
          <w:color w:val="707070"/>
          <w:kern w:val="0"/>
          <w:sz w:val="26"/>
          <w:szCs w:val="26"/>
          <w:lang w:eastAsia="en-GB"/>
          <w14:ligatures w14:val="none"/>
        </w:rPr>
      </w:pPr>
      <w:r w:rsidRPr="00FE0F64">
        <w:rPr>
          <w:rFonts w:ascii="Nunito Sans" w:eastAsia="Times New Roman" w:hAnsi="Nunito Sans" w:cs="Times New Roman"/>
          <w:color w:val="707070"/>
          <w:kern w:val="0"/>
          <w:sz w:val="26"/>
          <w:szCs w:val="26"/>
          <w:lang w:eastAsia="en-GB"/>
          <w14:ligatures w14:val="none"/>
        </w:rPr>
        <w:t>“Pathogenus Consulting Limited is delighted to have this opportunity to work with an established and well-respected provider of preclinical models and assays,” said Adrian Wildfire, CEO of Pathogenus. “Southern Research has invested to excel in early-phase safety and efficacy testing with capabilities and capacity to match.  Pathogenus offers expert business development skills and marketing know-how to help Southern Research bring its models directly to clients and to grow its market-share. We look forward to a fruitful collaboration for both parties.”</w:t>
      </w:r>
    </w:p>
    <w:p w14:paraId="5EDC422A" w14:textId="77777777" w:rsidR="00FE0F64" w:rsidRPr="00FE0F64" w:rsidRDefault="00FE0F64" w:rsidP="00FE0F64">
      <w:pPr>
        <w:pBdr>
          <w:top w:val="single" w:sz="2" w:space="0" w:color="auto"/>
          <w:left w:val="single" w:sz="2" w:space="0" w:color="auto"/>
          <w:bottom w:val="single" w:sz="2" w:space="0" w:color="auto"/>
          <w:right w:val="single" w:sz="2" w:space="0" w:color="auto"/>
        </w:pBdr>
        <w:shd w:val="clear" w:color="auto" w:fill="F8F8F8"/>
        <w:spacing w:before="365" w:after="365" w:line="240" w:lineRule="auto"/>
        <w:rPr>
          <w:rFonts w:ascii="Nunito Sans" w:eastAsia="Times New Roman" w:hAnsi="Nunito Sans" w:cs="Times New Roman"/>
          <w:color w:val="707070"/>
          <w:kern w:val="0"/>
          <w:sz w:val="26"/>
          <w:szCs w:val="26"/>
          <w:lang w:eastAsia="en-GB"/>
          <w14:ligatures w14:val="none"/>
        </w:rPr>
      </w:pPr>
      <w:r w:rsidRPr="00FE0F64">
        <w:rPr>
          <w:rFonts w:ascii="Nunito Sans" w:eastAsia="Times New Roman" w:hAnsi="Nunito Sans" w:cs="Times New Roman"/>
          <w:color w:val="707070"/>
          <w:kern w:val="0"/>
          <w:sz w:val="26"/>
          <w:szCs w:val="26"/>
          <w:lang w:eastAsia="en-GB"/>
          <w14:ligatures w14:val="none"/>
        </w:rPr>
        <w:t>Much of the emphasis of the collaboration will focus on respiratory viruses including </w:t>
      </w:r>
      <w:hyperlink r:id="rId7" w:history="1">
        <w:r w:rsidRPr="00FE0F64">
          <w:rPr>
            <w:rFonts w:ascii="Nunito Sans" w:eastAsia="Times New Roman" w:hAnsi="Nunito Sans" w:cs="Times New Roman"/>
            <w:color w:val="707070"/>
            <w:kern w:val="0"/>
            <w:sz w:val="26"/>
            <w:szCs w:val="26"/>
            <w:u w:val="single"/>
            <w:bdr w:val="single" w:sz="2" w:space="0" w:color="auto" w:frame="1"/>
            <w:lang w:eastAsia="en-GB"/>
            <w14:ligatures w14:val="none"/>
          </w:rPr>
          <w:t>influenza</w:t>
        </w:r>
      </w:hyperlink>
      <w:r w:rsidRPr="00FE0F64">
        <w:rPr>
          <w:rFonts w:ascii="Nunito Sans" w:eastAsia="Times New Roman" w:hAnsi="Nunito Sans" w:cs="Times New Roman"/>
          <w:color w:val="707070"/>
          <w:kern w:val="0"/>
          <w:sz w:val="26"/>
          <w:szCs w:val="26"/>
          <w:lang w:eastAsia="en-GB"/>
          <w14:ligatures w14:val="none"/>
        </w:rPr>
        <w:t>, </w:t>
      </w:r>
      <w:hyperlink r:id="rId8" w:history="1">
        <w:r w:rsidRPr="00FE0F64">
          <w:rPr>
            <w:rFonts w:ascii="Nunito Sans" w:eastAsia="Times New Roman" w:hAnsi="Nunito Sans" w:cs="Times New Roman"/>
            <w:color w:val="707070"/>
            <w:kern w:val="0"/>
            <w:sz w:val="26"/>
            <w:szCs w:val="26"/>
            <w:u w:val="single"/>
            <w:bdr w:val="single" w:sz="2" w:space="0" w:color="auto" w:frame="1"/>
            <w:lang w:eastAsia="en-GB"/>
            <w14:ligatures w14:val="none"/>
          </w:rPr>
          <w:t>RSV</w:t>
        </w:r>
      </w:hyperlink>
      <w:r w:rsidRPr="00FE0F64">
        <w:rPr>
          <w:rFonts w:ascii="Nunito Sans" w:eastAsia="Times New Roman" w:hAnsi="Nunito Sans" w:cs="Times New Roman"/>
          <w:color w:val="707070"/>
          <w:kern w:val="0"/>
          <w:sz w:val="26"/>
          <w:szCs w:val="26"/>
          <w:lang w:eastAsia="en-GB"/>
          <w14:ligatures w14:val="none"/>
        </w:rPr>
        <w:t>, and </w:t>
      </w:r>
      <w:hyperlink r:id="rId9" w:history="1">
        <w:r w:rsidRPr="00FE0F64">
          <w:rPr>
            <w:rFonts w:ascii="Nunito Sans" w:eastAsia="Times New Roman" w:hAnsi="Nunito Sans" w:cs="Times New Roman"/>
            <w:color w:val="707070"/>
            <w:kern w:val="0"/>
            <w:sz w:val="26"/>
            <w:szCs w:val="26"/>
            <w:u w:val="single"/>
            <w:bdr w:val="single" w:sz="2" w:space="0" w:color="auto" w:frame="1"/>
            <w:lang w:eastAsia="en-GB"/>
            <w14:ligatures w14:val="none"/>
          </w:rPr>
          <w:t>COVID-19</w:t>
        </w:r>
      </w:hyperlink>
      <w:r w:rsidRPr="00FE0F64">
        <w:rPr>
          <w:rFonts w:ascii="Nunito Sans" w:eastAsia="Times New Roman" w:hAnsi="Nunito Sans" w:cs="Times New Roman"/>
          <w:color w:val="707070"/>
          <w:kern w:val="0"/>
          <w:sz w:val="26"/>
          <w:szCs w:val="26"/>
          <w:lang w:eastAsia="en-GB"/>
          <w14:ligatures w14:val="none"/>
        </w:rPr>
        <w:t>, as well as viral diseases such as </w:t>
      </w:r>
      <w:hyperlink r:id="rId10" w:history="1">
        <w:r w:rsidRPr="00FE0F64">
          <w:rPr>
            <w:rFonts w:ascii="Nunito Sans" w:eastAsia="Times New Roman" w:hAnsi="Nunito Sans" w:cs="Times New Roman"/>
            <w:color w:val="707070"/>
            <w:kern w:val="0"/>
            <w:sz w:val="26"/>
            <w:szCs w:val="26"/>
            <w:u w:val="single"/>
            <w:bdr w:val="single" w:sz="2" w:space="0" w:color="auto" w:frame="1"/>
            <w:lang w:eastAsia="en-GB"/>
            <w14:ligatures w14:val="none"/>
          </w:rPr>
          <w:t>Dengue fever</w:t>
        </w:r>
      </w:hyperlink>
      <w:r w:rsidRPr="00FE0F64">
        <w:rPr>
          <w:rFonts w:ascii="Nunito Sans" w:eastAsia="Times New Roman" w:hAnsi="Nunito Sans" w:cs="Times New Roman"/>
          <w:color w:val="707070"/>
          <w:kern w:val="0"/>
          <w:sz w:val="26"/>
          <w:szCs w:val="26"/>
          <w:lang w:eastAsia="en-GB"/>
          <w14:ligatures w14:val="none"/>
        </w:rPr>
        <w:t xml:space="preserve">. The partnership will assist international biotech companies that are developing treatments for emerging and re-emerging diseases as </w:t>
      </w:r>
      <w:r w:rsidRPr="00FE0F64">
        <w:rPr>
          <w:rFonts w:ascii="Nunito Sans" w:eastAsia="Times New Roman" w:hAnsi="Nunito Sans" w:cs="Times New Roman"/>
          <w:color w:val="707070"/>
          <w:kern w:val="0"/>
          <w:sz w:val="26"/>
          <w:szCs w:val="26"/>
          <w:lang w:eastAsia="en-GB"/>
          <w14:ligatures w14:val="none"/>
        </w:rPr>
        <w:lastRenderedPageBreak/>
        <w:t>well as those involved in other areas of research, including </w:t>
      </w:r>
      <w:hyperlink r:id="rId11" w:history="1">
        <w:r w:rsidRPr="00FE0F64">
          <w:rPr>
            <w:rFonts w:ascii="Nunito Sans" w:eastAsia="Times New Roman" w:hAnsi="Nunito Sans" w:cs="Times New Roman"/>
            <w:color w:val="707070"/>
            <w:kern w:val="0"/>
            <w:sz w:val="26"/>
            <w:szCs w:val="26"/>
            <w:u w:val="single"/>
            <w:bdr w:val="single" w:sz="2" w:space="0" w:color="auto" w:frame="1"/>
            <w:lang w:eastAsia="en-GB"/>
            <w14:ligatures w14:val="none"/>
          </w:rPr>
          <w:t>cancer</w:t>
        </w:r>
      </w:hyperlink>
      <w:r w:rsidRPr="00FE0F64">
        <w:rPr>
          <w:rFonts w:ascii="Nunito Sans" w:eastAsia="Times New Roman" w:hAnsi="Nunito Sans" w:cs="Times New Roman"/>
          <w:color w:val="707070"/>
          <w:kern w:val="0"/>
          <w:sz w:val="26"/>
          <w:szCs w:val="26"/>
          <w:lang w:eastAsia="en-GB"/>
          <w14:ligatures w14:val="none"/>
        </w:rPr>
        <w:t>, a longstanding focus for Southern Research. </w:t>
      </w:r>
    </w:p>
    <w:p w14:paraId="42E33653" w14:textId="77777777" w:rsidR="00FE0F64" w:rsidRPr="00FE0F64" w:rsidRDefault="00FE0F64" w:rsidP="00FE0F64">
      <w:pPr>
        <w:pBdr>
          <w:top w:val="single" w:sz="2" w:space="0" w:color="auto"/>
          <w:left w:val="single" w:sz="2" w:space="0" w:color="auto"/>
          <w:bottom w:val="single" w:sz="2" w:space="0" w:color="auto"/>
          <w:right w:val="single" w:sz="2" w:space="0" w:color="auto"/>
        </w:pBdr>
        <w:shd w:val="clear" w:color="auto" w:fill="F8F8F8"/>
        <w:spacing w:before="365" w:after="365" w:line="240" w:lineRule="auto"/>
        <w:rPr>
          <w:rFonts w:ascii="Nunito Sans" w:eastAsia="Times New Roman" w:hAnsi="Nunito Sans" w:cs="Times New Roman"/>
          <w:color w:val="707070"/>
          <w:kern w:val="0"/>
          <w:sz w:val="26"/>
          <w:szCs w:val="26"/>
          <w:lang w:eastAsia="en-GB"/>
          <w14:ligatures w14:val="none"/>
        </w:rPr>
      </w:pPr>
      <w:r w:rsidRPr="00FE0F64">
        <w:rPr>
          <w:rFonts w:ascii="Nunito Sans" w:eastAsia="Times New Roman" w:hAnsi="Nunito Sans" w:cs="Times New Roman"/>
          <w:color w:val="707070"/>
          <w:kern w:val="0"/>
          <w:sz w:val="26"/>
          <w:szCs w:val="26"/>
          <w:lang w:eastAsia="en-GB"/>
          <w14:ligatures w14:val="none"/>
        </w:rPr>
        <w:t>The partnership kicked off this year in January. While the initial agreement between Southern Research and Pathogenus extends for three years, the partnership may be renewed for a longer period of time.</w:t>
      </w:r>
    </w:p>
    <w:p w14:paraId="21A7EBAA" w14:textId="77777777" w:rsidR="00FE0F64" w:rsidRPr="00FE0F64" w:rsidRDefault="00FE0F64" w:rsidP="00FE0F64">
      <w:pPr>
        <w:pBdr>
          <w:top w:val="single" w:sz="2" w:space="0" w:color="auto"/>
          <w:left w:val="single" w:sz="2" w:space="0" w:color="auto"/>
          <w:bottom w:val="single" w:sz="2" w:space="0" w:color="auto"/>
          <w:right w:val="single" w:sz="2" w:space="0" w:color="auto"/>
        </w:pBdr>
        <w:shd w:val="clear" w:color="auto" w:fill="F8F8F8"/>
        <w:spacing w:before="365" w:after="365" w:line="240" w:lineRule="auto"/>
        <w:rPr>
          <w:rFonts w:ascii="Nunito Sans" w:eastAsia="Times New Roman" w:hAnsi="Nunito Sans" w:cs="Times New Roman"/>
          <w:color w:val="707070"/>
          <w:kern w:val="0"/>
          <w:sz w:val="26"/>
          <w:szCs w:val="26"/>
          <w:lang w:eastAsia="en-GB"/>
          <w14:ligatures w14:val="none"/>
        </w:rPr>
      </w:pPr>
      <w:r w:rsidRPr="00FE0F64">
        <w:rPr>
          <w:rFonts w:ascii="Nunito Sans" w:eastAsia="Times New Roman" w:hAnsi="Nunito Sans" w:cs="Times New Roman"/>
          <w:color w:val="707070"/>
          <w:kern w:val="0"/>
          <w:sz w:val="26"/>
          <w:szCs w:val="26"/>
          <w:lang w:eastAsia="en-GB"/>
          <w14:ligatures w14:val="none"/>
        </w:rPr>
        <w:t>###</w:t>
      </w:r>
    </w:p>
    <w:p w14:paraId="4208A69C" w14:textId="77777777" w:rsidR="00FE0F64" w:rsidRPr="00FE0F64" w:rsidRDefault="00FE0F64" w:rsidP="00FE0F64">
      <w:pPr>
        <w:pBdr>
          <w:top w:val="single" w:sz="2" w:space="0" w:color="auto"/>
          <w:left w:val="single" w:sz="2" w:space="0" w:color="auto"/>
          <w:bottom w:val="single" w:sz="2" w:space="0" w:color="auto"/>
          <w:right w:val="single" w:sz="2" w:space="0" w:color="auto"/>
        </w:pBdr>
        <w:shd w:val="clear" w:color="auto" w:fill="F8F8F8"/>
        <w:spacing w:before="365" w:after="365" w:line="240" w:lineRule="auto"/>
        <w:rPr>
          <w:rFonts w:ascii="Nunito Sans" w:eastAsia="Times New Roman" w:hAnsi="Nunito Sans" w:cs="Times New Roman"/>
          <w:color w:val="707070"/>
          <w:kern w:val="0"/>
          <w:sz w:val="26"/>
          <w:szCs w:val="26"/>
          <w:lang w:eastAsia="en-GB"/>
          <w14:ligatures w14:val="none"/>
        </w:rPr>
      </w:pPr>
      <w:r w:rsidRPr="00FE0F64">
        <w:rPr>
          <w:rFonts w:ascii="Nunito Sans" w:eastAsia="Times New Roman" w:hAnsi="Nunito Sans" w:cs="Times New Roman"/>
          <w:b/>
          <w:bCs/>
          <w:color w:val="707070"/>
          <w:kern w:val="0"/>
          <w:sz w:val="26"/>
          <w:szCs w:val="26"/>
          <w:bdr w:val="single" w:sz="2" w:space="0" w:color="auto" w:frame="1"/>
          <w:lang w:eastAsia="en-GB"/>
          <w14:ligatures w14:val="none"/>
        </w:rPr>
        <w:t>About Southern Research</w:t>
      </w:r>
      <w:r w:rsidRPr="00FE0F64">
        <w:rPr>
          <w:rFonts w:ascii="Nunito Sans" w:eastAsia="Times New Roman" w:hAnsi="Nunito Sans" w:cs="Times New Roman"/>
          <w:color w:val="707070"/>
          <w:kern w:val="0"/>
          <w:sz w:val="26"/>
          <w:szCs w:val="26"/>
          <w:lang w:eastAsia="en-GB"/>
          <w14:ligatures w14:val="none"/>
        </w:rPr>
        <w:t>: Founded in Birmingham in 1941, Southern Research is a nonprofit scientific research organization that employs 200 scientists and professional staff. In its more than 80-year legacy of moving science, Southern Research has been on the forefront of transformative research on cancer, infectious diseases and other illnesses. Visit </w:t>
      </w:r>
      <w:hyperlink r:id="rId12" w:history="1">
        <w:r w:rsidRPr="00FE0F64">
          <w:rPr>
            <w:rFonts w:ascii="Nunito Sans" w:eastAsia="Times New Roman" w:hAnsi="Nunito Sans" w:cs="Times New Roman"/>
            <w:color w:val="707070"/>
            <w:kern w:val="0"/>
            <w:sz w:val="26"/>
            <w:szCs w:val="26"/>
            <w:u w:val="single"/>
            <w:bdr w:val="single" w:sz="2" w:space="0" w:color="auto" w:frame="1"/>
            <w:lang w:eastAsia="en-GB"/>
            <w14:ligatures w14:val="none"/>
          </w:rPr>
          <w:t>southernresearch.org</w:t>
        </w:r>
      </w:hyperlink>
      <w:r w:rsidRPr="00FE0F64">
        <w:rPr>
          <w:rFonts w:ascii="Nunito Sans" w:eastAsia="Times New Roman" w:hAnsi="Nunito Sans" w:cs="Times New Roman"/>
          <w:color w:val="707070"/>
          <w:kern w:val="0"/>
          <w:sz w:val="26"/>
          <w:szCs w:val="26"/>
          <w:lang w:eastAsia="en-GB"/>
          <w14:ligatures w14:val="none"/>
        </w:rPr>
        <w:t> for more information.</w:t>
      </w:r>
    </w:p>
    <w:p w14:paraId="60EC7DF2" w14:textId="77777777" w:rsidR="00FE0F64" w:rsidRPr="00FE0F64" w:rsidRDefault="00FE0F64" w:rsidP="00FE0F64">
      <w:pPr>
        <w:pBdr>
          <w:top w:val="single" w:sz="2" w:space="0" w:color="auto"/>
          <w:left w:val="single" w:sz="2" w:space="0" w:color="auto"/>
          <w:bottom w:val="single" w:sz="2" w:space="0" w:color="auto"/>
          <w:right w:val="single" w:sz="2" w:space="0" w:color="auto"/>
        </w:pBdr>
        <w:shd w:val="clear" w:color="auto" w:fill="F8F8F8"/>
        <w:spacing w:before="365" w:after="731" w:line="240" w:lineRule="auto"/>
        <w:rPr>
          <w:rFonts w:ascii="Nunito Sans" w:eastAsia="Times New Roman" w:hAnsi="Nunito Sans" w:cs="Times New Roman"/>
          <w:color w:val="707070"/>
          <w:kern w:val="0"/>
          <w:sz w:val="26"/>
          <w:szCs w:val="26"/>
          <w:lang w:eastAsia="en-GB"/>
          <w14:ligatures w14:val="none"/>
        </w:rPr>
      </w:pPr>
      <w:r w:rsidRPr="00FE0F64">
        <w:rPr>
          <w:rFonts w:ascii="Nunito Sans" w:eastAsia="Times New Roman" w:hAnsi="Nunito Sans" w:cs="Times New Roman"/>
          <w:b/>
          <w:bCs/>
          <w:color w:val="707070"/>
          <w:kern w:val="0"/>
          <w:sz w:val="26"/>
          <w:szCs w:val="26"/>
          <w:bdr w:val="single" w:sz="2" w:space="0" w:color="auto" w:frame="1"/>
          <w:lang w:eastAsia="en-GB"/>
          <w14:ligatures w14:val="none"/>
        </w:rPr>
        <w:t>About Pathogenus:</w:t>
      </w:r>
      <w:r w:rsidRPr="00FE0F64">
        <w:rPr>
          <w:rFonts w:ascii="Nunito Sans" w:eastAsia="Times New Roman" w:hAnsi="Nunito Sans" w:cs="Times New Roman"/>
          <w:color w:val="707070"/>
          <w:kern w:val="0"/>
          <w:sz w:val="26"/>
          <w:szCs w:val="26"/>
          <w:lang w:eastAsia="en-GB"/>
          <w14:ligatures w14:val="none"/>
        </w:rPr>
        <w:t> Pathogenus is a consultancy formed by a like-minded group of experts drawn from the pharmaceutical industry and contract research organizations.  The Pathogenus team provides solutions for all phases of drug and vaccine development including market penetration and sales. Pathogenus has grown from former iterations born over a decade ago to become a leading provider of clinical asset insights and resources. </w:t>
      </w:r>
      <w:hyperlink r:id="rId13" w:history="1">
        <w:r w:rsidRPr="00FE0F64">
          <w:rPr>
            <w:rFonts w:ascii="Nunito Sans" w:eastAsia="Times New Roman" w:hAnsi="Nunito Sans" w:cs="Times New Roman"/>
            <w:color w:val="707070"/>
            <w:kern w:val="0"/>
            <w:sz w:val="26"/>
            <w:szCs w:val="26"/>
            <w:u w:val="single"/>
            <w:bdr w:val="single" w:sz="2" w:space="0" w:color="auto" w:frame="1"/>
            <w:lang w:eastAsia="en-GB"/>
            <w14:ligatures w14:val="none"/>
          </w:rPr>
          <w:t>www.Pathogenus.com</w:t>
        </w:r>
      </w:hyperlink>
      <w:r w:rsidRPr="00FE0F64">
        <w:rPr>
          <w:rFonts w:ascii="Nunito Sans" w:eastAsia="Times New Roman" w:hAnsi="Nunito Sans" w:cs="Times New Roman"/>
          <w:color w:val="707070"/>
          <w:kern w:val="0"/>
          <w:sz w:val="26"/>
          <w:szCs w:val="26"/>
          <w:lang w:eastAsia="en-GB"/>
          <w14:ligatures w14:val="none"/>
        </w:rPr>
        <w:t>  </w:t>
      </w:r>
    </w:p>
    <w:p w14:paraId="0BAC832D" w14:textId="77777777" w:rsidR="00EE4754" w:rsidRDefault="00EE4754"/>
    <w:sectPr w:rsidR="00EE4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Nunito Sans">
    <w:charset w:val="00"/>
    <w:family w:val="auto"/>
    <w:pitch w:val="variable"/>
    <w:sig w:usb0="A00002FF" w:usb1="5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F64"/>
    <w:rsid w:val="002D6942"/>
    <w:rsid w:val="007B3EBB"/>
    <w:rsid w:val="007C4340"/>
    <w:rsid w:val="00D74271"/>
    <w:rsid w:val="00EE4754"/>
    <w:rsid w:val="00FE0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E69F"/>
  <w15:chartTrackingRefBased/>
  <w15:docId w15:val="{450FD751-068E-4F52-918F-F54B79A2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F64"/>
    <w:rPr>
      <w:rFonts w:eastAsiaTheme="majorEastAsia" w:cstheme="majorBidi"/>
      <w:color w:val="272727" w:themeColor="text1" w:themeTint="D8"/>
    </w:rPr>
  </w:style>
  <w:style w:type="paragraph" w:styleId="Title">
    <w:name w:val="Title"/>
    <w:basedOn w:val="Normal"/>
    <w:next w:val="Normal"/>
    <w:link w:val="TitleChar"/>
    <w:uiPriority w:val="10"/>
    <w:qFormat/>
    <w:rsid w:val="00FE0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F64"/>
    <w:pPr>
      <w:spacing w:before="160"/>
      <w:jc w:val="center"/>
    </w:pPr>
    <w:rPr>
      <w:i/>
      <w:iCs/>
      <w:color w:val="404040" w:themeColor="text1" w:themeTint="BF"/>
    </w:rPr>
  </w:style>
  <w:style w:type="character" w:customStyle="1" w:styleId="QuoteChar">
    <w:name w:val="Quote Char"/>
    <w:basedOn w:val="DefaultParagraphFont"/>
    <w:link w:val="Quote"/>
    <w:uiPriority w:val="29"/>
    <w:rsid w:val="00FE0F64"/>
    <w:rPr>
      <w:i/>
      <w:iCs/>
      <w:color w:val="404040" w:themeColor="text1" w:themeTint="BF"/>
    </w:rPr>
  </w:style>
  <w:style w:type="paragraph" w:styleId="ListParagraph">
    <w:name w:val="List Paragraph"/>
    <w:basedOn w:val="Normal"/>
    <w:uiPriority w:val="34"/>
    <w:qFormat/>
    <w:rsid w:val="00FE0F64"/>
    <w:pPr>
      <w:ind w:left="720"/>
      <w:contextualSpacing/>
    </w:pPr>
  </w:style>
  <w:style w:type="character" w:styleId="IntenseEmphasis">
    <w:name w:val="Intense Emphasis"/>
    <w:basedOn w:val="DefaultParagraphFont"/>
    <w:uiPriority w:val="21"/>
    <w:qFormat/>
    <w:rsid w:val="00FE0F64"/>
    <w:rPr>
      <w:i/>
      <w:iCs/>
      <w:color w:val="0F4761" w:themeColor="accent1" w:themeShade="BF"/>
    </w:rPr>
  </w:style>
  <w:style w:type="paragraph" w:styleId="IntenseQuote">
    <w:name w:val="Intense Quote"/>
    <w:basedOn w:val="Normal"/>
    <w:next w:val="Normal"/>
    <w:link w:val="IntenseQuoteChar"/>
    <w:uiPriority w:val="30"/>
    <w:qFormat/>
    <w:rsid w:val="00FE0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F64"/>
    <w:rPr>
      <w:i/>
      <w:iCs/>
      <w:color w:val="0F4761" w:themeColor="accent1" w:themeShade="BF"/>
    </w:rPr>
  </w:style>
  <w:style w:type="character" w:styleId="IntenseReference">
    <w:name w:val="Intense Reference"/>
    <w:basedOn w:val="DefaultParagraphFont"/>
    <w:uiPriority w:val="32"/>
    <w:qFormat/>
    <w:rsid w:val="00FE0F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ernresearch.org/resource/respiratory-syncytial-virus-rsv-preclinical-models-assays/" TargetMode="External"/><Relationship Id="rId13" Type="http://schemas.openxmlformats.org/officeDocument/2006/relationships/hyperlink" Target="http://www.pathogenus.com/" TargetMode="External"/><Relationship Id="rId3" Type="http://schemas.openxmlformats.org/officeDocument/2006/relationships/webSettings" Target="webSettings.xml"/><Relationship Id="rId7" Type="http://schemas.openxmlformats.org/officeDocument/2006/relationships/hyperlink" Target="https://southernresearch.org/resources/?query=influenza" TargetMode="External"/><Relationship Id="rId12" Type="http://schemas.openxmlformats.org/officeDocument/2006/relationships/hyperlink" Target="https://southernresearc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thernresearch.org/cro-service/bsl-2-3/" TargetMode="External"/><Relationship Id="rId11" Type="http://schemas.openxmlformats.org/officeDocument/2006/relationships/hyperlink" Target="https://southernresearch.org/cro-service/oncology/" TargetMode="External"/><Relationship Id="rId5" Type="http://schemas.openxmlformats.org/officeDocument/2006/relationships/hyperlink" Target="https://southernresearch.org/person/fusataka-koide/" TargetMode="External"/><Relationship Id="rId15" Type="http://schemas.openxmlformats.org/officeDocument/2006/relationships/theme" Target="theme/theme1.xml"/><Relationship Id="rId10" Type="http://schemas.openxmlformats.org/officeDocument/2006/relationships/hyperlink" Target="https://southernresearch.org/resource/dengue-virus-vaccine-and-therapeutic-testing/" TargetMode="External"/><Relationship Id="rId4" Type="http://schemas.openxmlformats.org/officeDocument/2006/relationships/hyperlink" Target="https://pathogenus.com/" TargetMode="External"/><Relationship Id="rId9" Type="http://schemas.openxmlformats.org/officeDocument/2006/relationships/hyperlink" Target="https://southernresearch.org/resource/covid-19-vaccine-and-antiviral-testing-syrian-hamster-mode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Wildfire</dc:creator>
  <cp:keywords/>
  <dc:description/>
  <cp:lastModifiedBy>Adrian Wildfire</cp:lastModifiedBy>
  <cp:revision>2</cp:revision>
  <dcterms:created xsi:type="dcterms:W3CDTF">2026-02-02T18:47:00Z</dcterms:created>
  <dcterms:modified xsi:type="dcterms:W3CDTF">2026-02-02T18:47:00Z</dcterms:modified>
</cp:coreProperties>
</file>