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E883" w14:textId="383AFEE6" w:rsidR="00620678" w:rsidRPr="005962F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n-GB"/>
          <w14:ligatures w14:val="none"/>
        </w:rPr>
      </w:pPr>
      <w:r w:rsidRPr="005962F8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Framework for Developing a Community Headache Service </w:t>
      </w:r>
    </w:p>
    <w:p w14:paraId="77EEAA1A" w14:textId="5DD2C44D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This framework provides a structured template to support the development of a business case or bid to commission a Community Headache Service (CHS)</w:t>
      </w:r>
      <w:r w:rsidR="0083276B">
        <w:rPr>
          <w:rFonts w:eastAsia="Times New Roman" w:cs="Times New Roman"/>
          <w:kern w:val="0"/>
          <w:lang w:eastAsia="en-GB"/>
          <w14:ligatures w14:val="none"/>
        </w:rPr>
        <w:t>.</w:t>
      </w:r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It is adaptable for use by Integrated Care Boards (ICBs), Clinical Commissioning Groups (CCGs), NHS Trusts, GP federations, and other stakeholders aiming to improve headache care delivery.</w:t>
      </w:r>
    </w:p>
    <w:p w14:paraId="1A009059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EDA7E41">
          <v:rect id="_x0000_i1025" style="width:0;height:1.5pt" o:hralign="center" o:hrstd="t" o:hr="t" fillcolor="#a0a0a0" stroked="f"/>
        </w:pict>
      </w:r>
    </w:p>
    <w:p w14:paraId="22AE6533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1. Executive Summary</w:t>
      </w:r>
    </w:p>
    <w:p w14:paraId="176D1837" w14:textId="77777777" w:rsidR="00620678" w:rsidRPr="00620678" w:rsidRDefault="00620678" w:rsidP="0062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Provide a compelling summary of the proposed CHS model.</w:t>
      </w:r>
    </w:p>
    <w:p w14:paraId="4F46C2C8" w14:textId="77777777" w:rsidR="00620678" w:rsidRPr="00620678" w:rsidRDefault="00620678" w:rsidP="0062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Summarise the case for change: high burden of headache, unmet demand in neurology, cost pressures.</w:t>
      </w:r>
    </w:p>
    <w:p w14:paraId="68AB5376" w14:textId="77777777" w:rsidR="00620678" w:rsidRPr="00620678" w:rsidRDefault="00620678" w:rsidP="0062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Highlight key outcomes:</w:t>
      </w:r>
    </w:p>
    <w:p w14:paraId="0FADC9C9" w14:textId="77777777" w:rsidR="00620678" w:rsidRPr="00620678" w:rsidRDefault="00620678" w:rsidP="006206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40–60% of headache cases diverted from neurology outpatient clinics.</w:t>
      </w:r>
    </w:p>
    <w:p w14:paraId="1922D76C" w14:textId="77777777" w:rsidR="00620678" w:rsidRPr="00620678" w:rsidRDefault="00620678" w:rsidP="006206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Faster access to care, increased patient satisfaction, improved clinical outcomes.</w:t>
      </w:r>
    </w:p>
    <w:p w14:paraId="68AF14F0" w14:textId="77777777" w:rsidR="00620678" w:rsidRPr="00620678" w:rsidRDefault="00620678" w:rsidP="006206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Substantial cost savings through reduced tariff expenditure and efficient imaging use.</w:t>
      </w:r>
    </w:p>
    <w:p w14:paraId="1FC318B3" w14:textId="77777777" w:rsidR="00620678" w:rsidRPr="00620678" w:rsidRDefault="00620678" w:rsidP="0062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Mention pilot results, scalability, and alignment with national NHS strategy.</w:t>
      </w:r>
    </w:p>
    <w:p w14:paraId="1A9758E1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F2A4434">
          <v:rect id="_x0000_i1026" style="width:0;height:1.5pt" o:hralign="center" o:hrstd="t" o:hr="t" fillcolor="#a0a0a0" stroked="f"/>
        </w:pict>
      </w:r>
    </w:p>
    <w:p w14:paraId="3B397F03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2. Case for Change</w:t>
      </w:r>
    </w:p>
    <w:p w14:paraId="27CA76AD" w14:textId="77777777" w:rsidR="00620678" w:rsidRPr="00620678" w:rsidRDefault="00620678" w:rsidP="0062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Headache is a leading reason for neurology referral; 25–40% of referrals are for primary headache disorders.</w:t>
      </w:r>
    </w:p>
    <w:p w14:paraId="1D37837F" w14:textId="77777777" w:rsidR="00620678" w:rsidRPr="00620678" w:rsidRDefault="00620678" w:rsidP="0062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Neurology departments are overburdened, and many patients face long waits for a problem that could be managed in primary care.</w:t>
      </w:r>
    </w:p>
    <w:p w14:paraId="75BC5EE6" w14:textId="77777777" w:rsidR="00620678" w:rsidRPr="00620678" w:rsidRDefault="00620678" w:rsidP="0062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Local and national data show a pattern of over-referral, under-treatment, and misdirected care.</w:t>
      </w:r>
    </w:p>
    <w:p w14:paraId="56918D7F" w14:textId="77777777" w:rsidR="00620678" w:rsidRPr="00620678" w:rsidRDefault="00620678" w:rsidP="0062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Present examples of:</w:t>
      </w:r>
    </w:p>
    <w:p w14:paraId="28EE295D" w14:textId="77777777" w:rsidR="00620678" w:rsidRPr="00620678" w:rsidRDefault="00620678" w:rsidP="006206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A&amp;E use for headache (e.g., £100k+/year in unnecessary attendances)</w:t>
      </w:r>
    </w:p>
    <w:p w14:paraId="53B5A1A9" w14:textId="77777777" w:rsidR="00620678" w:rsidRPr="00620678" w:rsidRDefault="00620678" w:rsidP="006206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MRI overuse due to low-value reassurance scanning</w:t>
      </w:r>
    </w:p>
    <w:p w14:paraId="7A07B82B" w14:textId="77777777" w:rsidR="00620678" w:rsidRPr="00620678" w:rsidRDefault="00620678" w:rsidP="0062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Link to NHS priorities:</w:t>
      </w:r>
    </w:p>
    <w:p w14:paraId="1531396B" w14:textId="77777777" w:rsidR="00620678" w:rsidRPr="00620678" w:rsidRDefault="00620678" w:rsidP="006206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Right care, right place</w:t>
      </w:r>
    </w:p>
    <w:p w14:paraId="1C7471A6" w14:textId="77777777" w:rsidR="00620678" w:rsidRPr="00620678" w:rsidRDefault="00620678" w:rsidP="006206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Preventative care</w:t>
      </w:r>
    </w:p>
    <w:p w14:paraId="3A38B47D" w14:textId="77777777" w:rsidR="00620678" w:rsidRPr="00620678" w:rsidRDefault="00620678" w:rsidP="006206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Workforce transformation</w:t>
      </w:r>
    </w:p>
    <w:p w14:paraId="2C70E851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3874865">
          <v:rect id="_x0000_i1027" style="width:0;height:1.5pt" o:hralign="center" o:hrstd="t" o:hr="t" fillcolor="#a0a0a0" stroked="f"/>
        </w:pict>
      </w:r>
    </w:p>
    <w:p w14:paraId="028D3B27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3. Service Model Description</w:t>
      </w:r>
    </w:p>
    <w:p w14:paraId="7F2304D5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3.1 Core Components</w:t>
      </w:r>
    </w:p>
    <w:p w14:paraId="7D7D4C06" w14:textId="77777777" w:rsidR="00620678" w:rsidRPr="00620678" w:rsidRDefault="00620678" w:rsidP="0062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lastRenderedPageBreak/>
        <w:t>Consultant triage reviews all headache referrals.</w:t>
      </w:r>
    </w:p>
    <w:p w14:paraId="4ADA81A2" w14:textId="77777777" w:rsidR="00620678" w:rsidRPr="00620678" w:rsidRDefault="00620678" w:rsidP="0062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CHC run by trained </w:t>
      </w:r>
      <w:proofErr w:type="spellStart"/>
      <w:proofErr w:type="gramStart"/>
      <w:r w:rsidRPr="00620678">
        <w:rPr>
          <w:rFonts w:eastAsia="Times New Roman" w:cs="Times New Roman"/>
          <w:kern w:val="0"/>
          <w:lang w:eastAsia="en-GB"/>
          <w14:ligatures w14:val="none"/>
        </w:rPr>
        <w:t>GPwSIs</w:t>
      </w:r>
      <w:proofErr w:type="spellEnd"/>
      <w:proofErr w:type="gram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or headache nurse specialists manage </w:t>
      </w:r>
      <w:proofErr w:type="gramStart"/>
      <w:r w:rsidRPr="00620678">
        <w:rPr>
          <w:rFonts w:eastAsia="Times New Roman" w:cs="Times New Roman"/>
          <w:kern w:val="0"/>
          <w:lang w:eastAsia="en-GB"/>
          <w14:ligatures w14:val="none"/>
        </w:rPr>
        <w:t>the majority of</w:t>
      </w:r>
      <w:proofErr w:type="gram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cases (e.g., migraine, tension-type headache).</w:t>
      </w:r>
    </w:p>
    <w:p w14:paraId="3BABFCA4" w14:textId="77777777" w:rsidR="00620678" w:rsidRPr="00620678" w:rsidRDefault="00620678" w:rsidP="0062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Direct imaging route for non-red flag cases with clear criteria (MRI without prior appointment).</w:t>
      </w:r>
    </w:p>
    <w:p w14:paraId="500802C8" w14:textId="77777777" w:rsidR="00620678" w:rsidRPr="00620678" w:rsidRDefault="00620678" w:rsidP="0062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Integrated e-RS advice to reduce inappropriate referrals.</w:t>
      </w:r>
    </w:p>
    <w:p w14:paraId="5E5F9F60" w14:textId="77777777" w:rsidR="00620678" w:rsidRPr="00620678" w:rsidRDefault="00620678" w:rsidP="0062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Flexible care delivered in primary care settings with streamlined onward referral back to neurology when needed.</w:t>
      </w:r>
    </w:p>
    <w:p w14:paraId="15721539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3.2 Clinical Pathway</w:t>
      </w:r>
    </w:p>
    <w:p w14:paraId="54A4DC09" w14:textId="77777777" w:rsidR="00620678" w:rsidRPr="00620678" w:rsidRDefault="00620678" w:rsidP="0062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Use an annotated flowchart to show how referrals are triaged:</w:t>
      </w:r>
    </w:p>
    <w:p w14:paraId="539A252D" w14:textId="77777777" w:rsidR="00620678" w:rsidRPr="00620678" w:rsidRDefault="00620678" w:rsidP="006206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50% to CHC</w:t>
      </w:r>
    </w:p>
    <w:p w14:paraId="5B911C5E" w14:textId="77777777" w:rsidR="00620678" w:rsidRPr="00620678" w:rsidRDefault="00620678" w:rsidP="006206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18% to neurology</w:t>
      </w:r>
    </w:p>
    <w:p w14:paraId="68FA2700" w14:textId="77777777" w:rsidR="00620678" w:rsidRPr="00620678" w:rsidRDefault="00620678" w:rsidP="006206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16% to specialist headache clinic</w:t>
      </w:r>
    </w:p>
    <w:p w14:paraId="5FB71792" w14:textId="77777777" w:rsidR="00620678" w:rsidRPr="00620678" w:rsidRDefault="00620678" w:rsidP="006206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6% to imaging alone</w:t>
      </w:r>
    </w:p>
    <w:p w14:paraId="0E101D73" w14:textId="77777777" w:rsidR="00620678" w:rsidRPr="00620678" w:rsidRDefault="00620678" w:rsidP="0062067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10% advice to GP</w:t>
      </w:r>
    </w:p>
    <w:p w14:paraId="1B467D5A" w14:textId="77777777" w:rsidR="00620678" w:rsidRPr="00620678" w:rsidRDefault="00620678" w:rsidP="0062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Include pre-referral guidance for GPs (e.g., trial of prophylactic medication, headache diary).</w:t>
      </w:r>
    </w:p>
    <w:p w14:paraId="7A439E7D" w14:textId="77777777" w:rsidR="00620678" w:rsidRPr="00620678" w:rsidRDefault="00620678" w:rsidP="0062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Define red flags requiring urgent secondary care (e.g., thunderclap headache, raised ICP signs).</w:t>
      </w:r>
    </w:p>
    <w:p w14:paraId="0F24157A" w14:textId="77777777" w:rsidR="00620678" w:rsidRPr="00620678" w:rsidRDefault="00620678" w:rsidP="0062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Detail patient journey through the CHC including discharge criteria.</w:t>
      </w:r>
    </w:p>
    <w:p w14:paraId="7658AABB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3.3 Workforce Requirements</w:t>
      </w:r>
    </w:p>
    <w:p w14:paraId="429AB7BA" w14:textId="77777777" w:rsidR="00620678" w:rsidRPr="00620678" w:rsidRDefault="00620678" w:rsidP="0062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Recommend 1 CHC per 100,000 population, each seeing 6–8 patients per session.</w:t>
      </w:r>
    </w:p>
    <w:p w14:paraId="448734B6" w14:textId="77777777" w:rsidR="00620678" w:rsidRPr="00620678" w:rsidRDefault="00620678" w:rsidP="0062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Staffing model:</w:t>
      </w:r>
    </w:p>
    <w:p w14:paraId="11FDF14D" w14:textId="77777777" w:rsidR="00620678" w:rsidRPr="00620678" w:rsidRDefault="00620678" w:rsidP="006206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1 </w:t>
      </w:r>
      <w:proofErr w:type="spellStart"/>
      <w:r w:rsidRPr="00620678">
        <w:rPr>
          <w:rFonts w:eastAsia="Times New Roman" w:cs="Times New Roman"/>
          <w:kern w:val="0"/>
          <w:lang w:eastAsia="en-GB"/>
          <w14:ligatures w14:val="none"/>
        </w:rPr>
        <w:t>GPwSI</w:t>
      </w:r>
      <w:proofErr w:type="spell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(0.2–0.4 WTE)</w:t>
      </w:r>
    </w:p>
    <w:p w14:paraId="561EDFE0" w14:textId="77777777" w:rsidR="00620678" w:rsidRPr="00620678" w:rsidRDefault="00620678" w:rsidP="006206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0.1–0.2 WTE consultant neurologist for triage and support</w:t>
      </w:r>
    </w:p>
    <w:p w14:paraId="797F8A75" w14:textId="77777777" w:rsidR="00620678" w:rsidRPr="00620678" w:rsidRDefault="00620678" w:rsidP="006206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Admin support (booking, patient liaison, audit)</w:t>
      </w:r>
    </w:p>
    <w:p w14:paraId="2CEFB4E6" w14:textId="77777777" w:rsidR="00620678" w:rsidRPr="00620678" w:rsidRDefault="00620678" w:rsidP="0062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Training:</w:t>
      </w:r>
    </w:p>
    <w:p w14:paraId="02FBA1EB" w14:textId="77777777" w:rsidR="00620678" w:rsidRPr="00620678" w:rsidRDefault="00620678" w:rsidP="006206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Local supervision, peer review, and access to specialist teaching.</w:t>
      </w:r>
    </w:p>
    <w:p w14:paraId="0A7F56FE" w14:textId="77777777" w:rsidR="00620678" w:rsidRPr="00620678" w:rsidRDefault="00620678" w:rsidP="006206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CPD logs and headache curriculum based on RCGP and ICB guidelines.</w:t>
      </w:r>
    </w:p>
    <w:p w14:paraId="5238FE9B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7F12BCC">
          <v:rect id="_x0000_i1028" style="width:0;height:1.5pt" o:hralign="center" o:hrstd="t" o:hr="t" fillcolor="#a0a0a0" stroked="f"/>
        </w:pict>
      </w:r>
    </w:p>
    <w:p w14:paraId="6F8C50D8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4. Financial Model</w:t>
      </w:r>
    </w:p>
    <w:p w14:paraId="75066980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4.1 Cost Assumptions</w:t>
      </w:r>
    </w:p>
    <w:p w14:paraId="120A373C" w14:textId="77777777" w:rsidR="00620678" w:rsidRPr="00620678" w:rsidRDefault="00620678" w:rsidP="0062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Community appointment: £120–£140 vs £230–£250 in hospital neurology.</w:t>
      </w:r>
    </w:p>
    <w:p w14:paraId="2CF5A348" w14:textId="77777777" w:rsidR="00620678" w:rsidRPr="00620678" w:rsidRDefault="00620678" w:rsidP="0062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Imaging only (MRI brain): £124–£150 vs £238 plus imaging if seen in hospital.</w:t>
      </w:r>
    </w:p>
    <w:p w14:paraId="6685DA9E" w14:textId="77777777" w:rsidR="00620678" w:rsidRPr="00620678" w:rsidRDefault="00620678" w:rsidP="0062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Consultant triage (approx. 2–3 PAs/week): £25,000–£35,000/year.</w:t>
      </w:r>
    </w:p>
    <w:p w14:paraId="3820DAF5" w14:textId="77777777" w:rsidR="00620678" w:rsidRPr="00620678" w:rsidRDefault="00620678" w:rsidP="0062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Setup: IT licenses, room hire, patient materials (~£5,000).</w:t>
      </w:r>
    </w:p>
    <w:p w14:paraId="5F7CB0A2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4.2 Savings Projections</w:t>
      </w:r>
    </w:p>
    <w:p w14:paraId="4D912991" w14:textId="77777777" w:rsidR="00620678" w:rsidRPr="00620678" w:rsidRDefault="00620678" w:rsidP="0062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lastRenderedPageBreak/>
        <w:t>Avoided outpatient referrals: up to 700/year/100k population.</w:t>
      </w:r>
    </w:p>
    <w:p w14:paraId="54F47D09" w14:textId="77777777" w:rsidR="00620678" w:rsidRPr="00620678" w:rsidRDefault="00620678" w:rsidP="0062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Reduced follow-up rates (CHC ~30% vs neurology ~80%).</w:t>
      </w:r>
    </w:p>
    <w:p w14:paraId="426DA88C" w14:textId="77777777" w:rsidR="00620678" w:rsidRPr="00620678" w:rsidRDefault="00620678" w:rsidP="0062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Lower imaging requests from CHC (~20% vs ~50%).</w:t>
      </w:r>
    </w:p>
    <w:p w14:paraId="03E7DA61" w14:textId="77777777" w:rsidR="00620678" w:rsidRPr="00620678" w:rsidRDefault="00620678" w:rsidP="0062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Projected savings: £25k–£50k in Year 1 pilot; £100k+ annually at scale.</w:t>
      </w:r>
    </w:p>
    <w:p w14:paraId="70B174B5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4.3 Budget Requirements</w:t>
      </w:r>
    </w:p>
    <w:p w14:paraId="62D729CE" w14:textId="77777777" w:rsidR="00620678" w:rsidRPr="00620678" w:rsidRDefault="00620678" w:rsidP="0062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Annual service budget:</w:t>
      </w:r>
    </w:p>
    <w:p w14:paraId="736BACF5" w14:textId="77777777" w:rsidR="00620678" w:rsidRPr="00620678" w:rsidRDefault="00620678" w:rsidP="0062067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£100k–£130k depending on clinic frequency and staffing.</w:t>
      </w:r>
    </w:p>
    <w:p w14:paraId="04D72D24" w14:textId="77777777" w:rsidR="00620678" w:rsidRPr="00620678" w:rsidRDefault="00620678" w:rsidP="0062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One-off costs:</w:t>
      </w:r>
    </w:p>
    <w:p w14:paraId="4DEB748D" w14:textId="77777777" w:rsidR="00620678" w:rsidRPr="00620678" w:rsidRDefault="00620678" w:rsidP="0062067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Training, IT integration, admin setup.</w:t>
      </w:r>
    </w:p>
    <w:p w14:paraId="5CE32115" w14:textId="77777777" w:rsidR="00620678" w:rsidRPr="00620678" w:rsidRDefault="00620678" w:rsidP="0062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Cost-neutral by reinvesting released capacity or under block contracts.</w:t>
      </w:r>
    </w:p>
    <w:p w14:paraId="107916FF" w14:textId="77777777" w:rsidR="00620678" w:rsidRPr="00620678" w:rsidRDefault="00620678" w:rsidP="0062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Include scenario analysis: best/worst case models.</w:t>
      </w:r>
    </w:p>
    <w:p w14:paraId="1073EB7D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A2A1A88">
          <v:rect id="_x0000_i1029" style="width:0;height:1.5pt" o:hralign="center" o:hrstd="t" o:hr="t" fillcolor="#a0a0a0" stroked="f"/>
        </w:pict>
      </w:r>
    </w:p>
    <w:p w14:paraId="4A1DCC63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5. Governance and Quality</w:t>
      </w:r>
    </w:p>
    <w:p w14:paraId="7436D1B8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5.1 Clinical Governance</w:t>
      </w:r>
    </w:p>
    <w:p w14:paraId="7618854A" w14:textId="77777777" w:rsidR="00620678" w:rsidRPr="00620678" w:rsidRDefault="00620678" w:rsidP="0062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Consultant-led governance board.</w:t>
      </w:r>
    </w:p>
    <w:p w14:paraId="25BE550E" w14:textId="77777777" w:rsidR="00620678" w:rsidRPr="00620678" w:rsidRDefault="00620678" w:rsidP="0062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Agreed shared care protocol signed off by neurology and primary care.</w:t>
      </w:r>
    </w:p>
    <w:p w14:paraId="11D1C697" w14:textId="77777777" w:rsidR="00620678" w:rsidRPr="00620678" w:rsidRDefault="00620678" w:rsidP="0062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Supervised clinics with joint case reviews and quarterly audit.</w:t>
      </w:r>
    </w:p>
    <w:p w14:paraId="37BC53CA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5.2 Risk Management</w:t>
      </w:r>
    </w:p>
    <w:p w14:paraId="4EE74A6B" w14:textId="77777777" w:rsidR="00620678" w:rsidRPr="00620678" w:rsidRDefault="00620678" w:rsidP="006206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Risks:</w:t>
      </w:r>
    </w:p>
    <w:p w14:paraId="1A1EC324" w14:textId="77777777" w:rsidR="00620678" w:rsidRPr="00620678" w:rsidRDefault="00620678" w:rsidP="006206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Triage failure leading to missed pathology.</w:t>
      </w:r>
    </w:p>
    <w:p w14:paraId="2930EE82" w14:textId="77777777" w:rsidR="00620678" w:rsidRPr="00620678" w:rsidRDefault="00620678" w:rsidP="006206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620678">
        <w:rPr>
          <w:rFonts w:eastAsia="Times New Roman" w:cs="Times New Roman"/>
          <w:kern w:val="0"/>
          <w:lang w:eastAsia="en-GB"/>
          <w14:ligatures w14:val="none"/>
        </w:rPr>
        <w:t>GPwSI</w:t>
      </w:r>
      <w:proofErr w:type="spell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knowledge variation.</w:t>
      </w:r>
    </w:p>
    <w:p w14:paraId="553AAE11" w14:textId="77777777" w:rsidR="00620678" w:rsidRPr="00620678" w:rsidRDefault="00620678" w:rsidP="006206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Mitigations:</w:t>
      </w:r>
    </w:p>
    <w:p w14:paraId="4734AEE6" w14:textId="77777777" w:rsidR="00620678" w:rsidRPr="00620678" w:rsidRDefault="00620678" w:rsidP="006206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Central triage with consultant sign-off.</w:t>
      </w:r>
    </w:p>
    <w:p w14:paraId="4B267689" w14:textId="77777777" w:rsidR="00620678" w:rsidRPr="00620678" w:rsidRDefault="00620678" w:rsidP="006206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Red flag protocols and fast-track routes.</w:t>
      </w:r>
    </w:p>
    <w:p w14:paraId="1D9E3C77" w14:textId="77777777" w:rsidR="00620678" w:rsidRPr="00620678" w:rsidRDefault="00620678" w:rsidP="0062067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Incident reporting, root cause analysis, regular learning reviews.</w:t>
      </w:r>
    </w:p>
    <w:p w14:paraId="5A825AC6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5.3 Performance Metrics</w:t>
      </w:r>
    </w:p>
    <w:p w14:paraId="55E14AF3" w14:textId="77777777" w:rsidR="00620678" w:rsidRPr="00620678" w:rsidRDefault="00620678" w:rsidP="006206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Service KPIs:</w:t>
      </w:r>
    </w:p>
    <w:p w14:paraId="3F053122" w14:textId="77777777" w:rsidR="00620678" w:rsidRPr="00620678" w:rsidRDefault="00620678" w:rsidP="006206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% of referrals managed in CHC</w:t>
      </w:r>
    </w:p>
    <w:p w14:paraId="453AAB8F" w14:textId="77777777" w:rsidR="00620678" w:rsidRPr="00620678" w:rsidRDefault="00620678" w:rsidP="006206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Wait time to assessment (target &lt;3 weeks)</w:t>
      </w:r>
    </w:p>
    <w:p w14:paraId="76D46E5A" w14:textId="77777777" w:rsidR="00620678" w:rsidRPr="00620678" w:rsidRDefault="00620678" w:rsidP="006206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MRI use rates, follow-up ratios</w:t>
      </w:r>
    </w:p>
    <w:p w14:paraId="4E9A77FE" w14:textId="77777777" w:rsidR="00620678" w:rsidRPr="00620678" w:rsidRDefault="00620678" w:rsidP="006206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Patient-reported outcomes:</w:t>
      </w:r>
    </w:p>
    <w:p w14:paraId="16FA2A83" w14:textId="77777777" w:rsidR="00620678" w:rsidRPr="00620678" w:rsidRDefault="00620678" w:rsidP="006206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Experience (PREMs)</w:t>
      </w:r>
    </w:p>
    <w:p w14:paraId="163D91E6" w14:textId="77777777" w:rsidR="00620678" w:rsidRPr="00620678" w:rsidRDefault="00620678" w:rsidP="0062067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Clinical improvement (HIT-6 scores)</w:t>
      </w:r>
    </w:p>
    <w:p w14:paraId="5312E1C5" w14:textId="77777777" w:rsidR="00620678" w:rsidRPr="00620678" w:rsidRDefault="00620678" w:rsidP="006206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Monthly dashboard shared with ICB and Trust partners.</w:t>
      </w:r>
    </w:p>
    <w:p w14:paraId="166C2BC5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C48C30D">
          <v:rect id="_x0000_i1030" style="width:0;height:1.5pt" o:hralign="center" o:hrstd="t" o:hr="t" fillcolor="#a0a0a0" stroked="f"/>
        </w:pict>
      </w:r>
    </w:p>
    <w:p w14:paraId="4ED7D8F1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6. Implementation Plan</w:t>
      </w:r>
    </w:p>
    <w:p w14:paraId="49AA6E1E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6.1 Phased Approach</w:t>
      </w:r>
    </w:p>
    <w:p w14:paraId="2A4F4333" w14:textId="77777777" w:rsidR="00620678" w:rsidRPr="00620678" w:rsidRDefault="00620678" w:rsidP="006206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Phase 1: Feasibility &amp; stakeholder engagement (3 months)</w:t>
      </w:r>
    </w:p>
    <w:p w14:paraId="3DD1CE40" w14:textId="77777777" w:rsidR="00620678" w:rsidRPr="00620678" w:rsidRDefault="00620678" w:rsidP="006206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Phase 2: 6–</w:t>
      </w:r>
      <w:proofErr w:type="gramStart"/>
      <w:r w:rsidRPr="00620678">
        <w:rPr>
          <w:rFonts w:eastAsia="Times New Roman" w:cs="Times New Roman"/>
          <w:kern w:val="0"/>
          <w:lang w:eastAsia="en-GB"/>
          <w14:ligatures w14:val="none"/>
        </w:rPr>
        <w:t>12 month</w:t>
      </w:r>
      <w:proofErr w:type="gram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pilot in one or two PCNs</w:t>
      </w:r>
    </w:p>
    <w:p w14:paraId="34E2351B" w14:textId="77777777" w:rsidR="00620678" w:rsidRPr="00620678" w:rsidRDefault="00620678" w:rsidP="006206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Phase 3: Evaluation &amp; scale-up across locality (Year 2–3)</w:t>
      </w:r>
    </w:p>
    <w:p w14:paraId="651C2E10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6.2 Stakeholder Engagement</w:t>
      </w:r>
    </w:p>
    <w:p w14:paraId="0520132D" w14:textId="77777777" w:rsidR="00620678" w:rsidRPr="00620678" w:rsidRDefault="00620678" w:rsidP="006206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Involve:</w:t>
      </w:r>
    </w:p>
    <w:p w14:paraId="3A8C6663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ICBs, PCNs, CCG/ICS leads</w:t>
      </w:r>
    </w:p>
    <w:p w14:paraId="3740B0EB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Neurology departments and local providers</w:t>
      </w:r>
    </w:p>
    <w:p w14:paraId="47CFEFC0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Patient representatives (e.g., Migraine Trust)</w:t>
      </w:r>
    </w:p>
    <w:p w14:paraId="0F2D846D" w14:textId="77777777" w:rsidR="00620678" w:rsidRPr="00620678" w:rsidRDefault="00620678" w:rsidP="006206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Engagement tools:</w:t>
      </w:r>
    </w:p>
    <w:p w14:paraId="603DFDBF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Online consultation portal</w:t>
      </w:r>
    </w:p>
    <w:p w14:paraId="453C7269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GP webinars and Q&amp;A events</w:t>
      </w:r>
    </w:p>
    <w:p w14:paraId="3AFE00CF" w14:textId="77777777" w:rsidR="00620678" w:rsidRPr="00620678" w:rsidRDefault="00620678" w:rsidP="006206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Patient feedback workshops</w:t>
      </w:r>
    </w:p>
    <w:p w14:paraId="3D71D6CC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6.3 IT and Digital Readiness</w:t>
      </w:r>
    </w:p>
    <w:p w14:paraId="534A2288" w14:textId="77777777" w:rsidR="00620678" w:rsidRPr="00620678" w:rsidRDefault="00620678" w:rsidP="006206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Ensure:</w:t>
      </w:r>
    </w:p>
    <w:p w14:paraId="5E1B8DC0" w14:textId="77777777" w:rsidR="00620678" w:rsidRPr="00620678" w:rsidRDefault="00620678" w:rsidP="006206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EMIS/TPP integration for CHC clinicians</w:t>
      </w:r>
    </w:p>
    <w:p w14:paraId="6219F07D" w14:textId="77777777" w:rsidR="00620678" w:rsidRPr="00620678" w:rsidRDefault="00620678" w:rsidP="006206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Shared triage notes viewable by referrer and provider</w:t>
      </w:r>
    </w:p>
    <w:p w14:paraId="182BE146" w14:textId="77777777" w:rsidR="00620678" w:rsidRPr="00620678" w:rsidRDefault="00620678" w:rsidP="006206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Data capture tools embedded into practice workflows</w:t>
      </w:r>
    </w:p>
    <w:p w14:paraId="666E098D" w14:textId="77777777" w:rsidR="00620678" w:rsidRPr="00620678" w:rsidRDefault="00620678" w:rsidP="006206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Secure imaging and consultant access to PACS and results</w:t>
      </w:r>
    </w:p>
    <w:p w14:paraId="26715F3C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E6F95ED">
          <v:rect id="_x0000_i1031" style="width:0;height:1.5pt" o:hralign="center" o:hrstd="t" o:hr="t" fillcolor="#a0a0a0" stroked="f"/>
        </w:pict>
      </w:r>
    </w:p>
    <w:p w14:paraId="665F41AF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b/>
          <w:bCs/>
          <w:kern w:val="0"/>
          <w:lang w:eastAsia="en-GB"/>
          <w14:ligatures w14:val="none"/>
        </w:rPr>
        <w:t>7. Sustainability and Future Development</w:t>
      </w:r>
    </w:p>
    <w:p w14:paraId="6F67BBF3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Annual refresher training for all CHC clinicians.</w:t>
      </w:r>
    </w:p>
    <w:p w14:paraId="79A25043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Grow </w:t>
      </w:r>
      <w:proofErr w:type="spellStart"/>
      <w:r w:rsidRPr="00620678">
        <w:rPr>
          <w:rFonts w:eastAsia="Times New Roman" w:cs="Times New Roman"/>
          <w:kern w:val="0"/>
          <w:lang w:eastAsia="en-GB"/>
          <w14:ligatures w14:val="none"/>
        </w:rPr>
        <w:t>GPwSI</w:t>
      </w:r>
      <w:proofErr w:type="spellEnd"/>
      <w:r w:rsidRPr="00620678">
        <w:rPr>
          <w:rFonts w:eastAsia="Times New Roman" w:cs="Times New Roman"/>
          <w:kern w:val="0"/>
          <w:lang w:eastAsia="en-GB"/>
          <w14:ligatures w14:val="none"/>
        </w:rPr>
        <w:t xml:space="preserve"> network with new trainees each year.</w:t>
      </w:r>
    </w:p>
    <w:p w14:paraId="62EE0543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Introduce headache specialist nurse model.</w:t>
      </w:r>
    </w:p>
    <w:p w14:paraId="604CBCF8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Add-on services:</w:t>
      </w:r>
    </w:p>
    <w:p w14:paraId="7AFA69EE" w14:textId="77777777" w:rsidR="00620678" w:rsidRPr="00620678" w:rsidRDefault="00620678" w:rsidP="006206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Botox and nerve block clinics</w:t>
      </w:r>
    </w:p>
    <w:p w14:paraId="73BEC89E" w14:textId="77777777" w:rsidR="00620678" w:rsidRPr="00620678" w:rsidRDefault="00620678" w:rsidP="006206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Vertigo, functional disorders</w:t>
      </w:r>
    </w:p>
    <w:p w14:paraId="79234AA8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Tie in with ICB long-term workforce and digital transformation strategies.</w:t>
      </w:r>
    </w:p>
    <w:p w14:paraId="59F41993" w14:textId="77777777" w:rsidR="00620678" w:rsidRPr="00620678" w:rsidRDefault="00620678" w:rsidP="006206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Include plan for annual service review and quality improvement cycle.</w:t>
      </w:r>
    </w:p>
    <w:p w14:paraId="0485F0B3" w14:textId="77777777" w:rsidR="00620678" w:rsidRPr="00620678" w:rsidRDefault="005962F8" w:rsidP="0062067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9D77486">
          <v:rect id="_x0000_i1032" style="width:0;height:1.5pt" o:hralign="center" o:hrstd="t" o:hr="t" fillcolor="#a0a0a0" stroked="f"/>
        </w:pict>
      </w:r>
    </w:p>
    <w:p w14:paraId="640ED494" w14:textId="77777777" w:rsidR="00620678" w:rsidRPr="00620678" w:rsidRDefault="00620678" w:rsidP="0062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0678">
        <w:rPr>
          <w:rFonts w:eastAsia="Times New Roman" w:cs="Times New Roman"/>
          <w:kern w:val="0"/>
          <w:lang w:eastAsia="en-GB"/>
          <w14:ligatures w14:val="none"/>
        </w:rPr>
        <w:t>This framework can be adapted to suit local priorities, population health needs, and provider capacity. It is intended to enable consistent, evidence-based, and financially sound service design for improved headache care delivery across the NHS</w:t>
      </w:r>
      <w:r w:rsidRPr="006206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46D4A1B" w14:textId="77777777" w:rsidR="00620678" w:rsidRDefault="00620678"/>
    <w:sectPr w:rsidR="00620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65F"/>
    <w:multiLevelType w:val="multilevel"/>
    <w:tmpl w:val="C51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51F9"/>
    <w:multiLevelType w:val="multilevel"/>
    <w:tmpl w:val="2E6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20EA0"/>
    <w:multiLevelType w:val="multilevel"/>
    <w:tmpl w:val="EAD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F76F6"/>
    <w:multiLevelType w:val="multilevel"/>
    <w:tmpl w:val="02F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67223"/>
    <w:multiLevelType w:val="multilevel"/>
    <w:tmpl w:val="D7B2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D08AD"/>
    <w:multiLevelType w:val="multilevel"/>
    <w:tmpl w:val="EDD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95C4C"/>
    <w:multiLevelType w:val="multilevel"/>
    <w:tmpl w:val="2682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D29DD"/>
    <w:multiLevelType w:val="multilevel"/>
    <w:tmpl w:val="6F7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076EA"/>
    <w:multiLevelType w:val="multilevel"/>
    <w:tmpl w:val="958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621F8"/>
    <w:multiLevelType w:val="multilevel"/>
    <w:tmpl w:val="B0BC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9263C"/>
    <w:multiLevelType w:val="multilevel"/>
    <w:tmpl w:val="EAC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94A34"/>
    <w:multiLevelType w:val="multilevel"/>
    <w:tmpl w:val="D48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A4BCA"/>
    <w:multiLevelType w:val="multilevel"/>
    <w:tmpl w:val="8BE0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106BD"/>
    <w:multiLevelType w:val="multilevel"/>
    <w:tmpl w:val="5CDE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75530"/>
    <w:multiLevelType w:val="multilevel"/>
    <w:tmpl w:val="CB8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510A9"/>
    <w:multiLevelType w:val="multilevel"/>
    <w:tmpl w:val="D036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33038">
    <w:abstractNumId w:val="2"/>
  </w:num>
  <w:num w:numId="2" w16cid:durableId="1310089174">
    <w:abstractNumId w:val="0"/>
  </w:num>
  <w:num w:numId="3" w16cid:durableId="660348677">
    <w:abstractNumId w:val="8"/>
  </w:num>
  <w:num w:numId="4" w16cid:durableId="610863312">
    <w:abstractNumId w:val="5"/>
  </w:num>
  <w:num w:numId="5" w16cid:durableId="1596745400">
    <w:abstractNumId w:val="7"/>
  </w:num>
  <w:num w:numId="6" w16cid:durableId="1536455518">
    <w:abstractNumId w:val="13"/>
  </w:num>
  <w:num w:numId="7" w16cid:durableId="684015895">
    <w:abstractNumId w:val="6"/>
  </w:num>
  <w:num w:numId="8" w16cid:durableId="658769610">
    <w:abstractNumId w:val="10"/>
  </w:num>
  <w:num w:numId="9" w16cid:durableId="584342035">
    <w:abstractNumId w:val="12"/>
  </w:num>
  <w:num w:numId="10" w16cid:durableId="1683387475">
    <w:abstractNumId w:val="9"/>
  </w:num>
  <w:num w:numId="11" w16cid:durableId="124087297">
    <w:abstractNumId w:val="14"/>
  </w:num>
  <w:num w:numId="12" w16cid:durableId="202715365">
    <w:abstractNumId w:val="3"/>
  </w:num>
  <w:num w:numId="13" w16cid:durableId="968127117">
    <w:abstractNumId w:val="15"/>
  </w:num>
  <w:num w:numId="14" w16cid:durableId="140968563">
    <w:abstractNumId w:val="11"/>
  </w:num>
  <w:num w:numId="15" w16cid:durableId="1454329398">
    <w:abstractNumId w:val="4"/>
  </w:num>
  <w:num w:numId="16" w16cid:durableId="80199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78"/>
    <w:rsid w:val="0007194D"/>
    <w:rsid w:val="005962F8"/>
    <w:rsid w:val="005B56CE"/>
    <w:rsid w:val="00620678"/>
    <w:rsid w:val="007A0882"/>
    <w:rsid w:val="007B3A6A"/>
    <w:rsid w:val="0083276B"/>
    <w:rsid w:val="009341B3"/>
    <w:rsid w:val="00BB0C72"/>
    <w:rsid w:val="00BC1EDB"/>
    <w:rsid w:val="00C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84B2137"/>
  <w15:chartTrackingRefBased/>
  <w15:docId w15:val="{7C8D1293-29B1-419E-9A6F-F4E7BC55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</dc:creator>
  <cp:keywords/>
  <dc:description/>
  <cp:lastModifiedBy>Kernick, David</cp:lastModifiedBy>
  <cp:revision>2</cp:revision>
  <dcterms:created xsi:type="dcterms:W3CDTF">2025-11-14T14:45:00Z</dcterms:created>
  <dcterms:modified xsi:type="dcterms:W3CDTF">2025-11-14T14:45:00Z</dcterms:modified>
</cp:coreProperties>
</file>