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826D" w14:textId="6B13E769" w:rsidR="001066C8" w:rsidRPr="00037912" w:rsidRDefault="001066C8" w:rsidP="00B5683C">
      <w:pPr>
        <w:jc w:val="both"/>
        <w:rPr>
          <w:sz w:val="40"/>
          <w:szCs w:val="40"/>
        </w:rPr>
      </w:pPr>
      <w:r w:rsidRPr="00037912">
        <w:rPr>
          <w:sz w:val="40"/>
          <w:szCs w:val="40"/>
        </w:rPr>
        <w:t>Direct Access of imaging for General Practitioners</w:t>
      </w:r>
    </w:p>
    <w:p w14:paraId="3CC5E3AF" w14:textId="543793D1" w:rsidR="005419EE" w:rsidRPr="005419EE" w:rsidRDefault="005419EE" w:rsidP="00B5683C">
      <w:pPr>
        <w:jc w:val="both"/>
      </w:pPr>
      <w:r w:rsidRPr="005419EE">
        <w:t>These notes are for guidance only</w:t>
      </w:r>
      <w:r>
        <w:t>. Local frameworks should be developed with relevant clinical providers.</w:t>
      </w:r>
      <w:r w:rsidR="008F7ABC">
        <w:t xml:space="preserve">                                                                                   Dr D. Kernick November 2025</w:t>
      </w:r>
    </w:p>
    <w:p w14:paraId="20E43BBE" w14:textId="23C71349" w:rsidR="001066C8" w:rsidRPr="00D011EB" w:rsidRDefault="001066C8" w:rsidP="00B5683C">
      <w:pPr>
        <w:jc w:val="both"/>
        <w:rPr>
          <w:sz w:val="32"/>
          <w:szCs w:val="32"/>
        </w:rPr>
      </w:pPr>
      <w:r w:rsidRPr="00D011EB">
        <w:rPr>
          <w:sz w:val="32"/>
          <w:szCs w:val="32"/>
        </w:rPr>
        <w:t>Background</w:t>
      </w:r>
    </w:p>
    <w:p w14:paraId="002A5A13" w14:textId="322EEF79" w:rsidR="005419EE" w:rsidRDefault="005419EE" w:rsidP="00B5683C">
      <w:pPr>
        <w:jc w:val="both"/>
        <w:rPr>
          <w:color w:val="1B1B1B"/>
          <w:shd w:val="clear" w:color="auto" w:fill="FFFFFF"/>
        </w:rPr>
      </w:pPr>
      <w:r w:rsidRPr="005419EE">
        <w:rPr>
          <w:color w:val="1B1B1B"/>
          <w:shd w:val="clear" w:color="auto" w:fill="FFFFFF"/>
        </w:rPr>
        <w:t>GP direct access to imaging has been defined as a priority within the National Health Service (NHS), with direct access to brain MRI for the diagnosis of brain cancer identified as a specific initiative. (Department of Health Direct access to diagnostic tests for cancer: best practice referral pathways for general practitioners, 2012.)</w:t>
      </w:r>
    </w:p>
    <w:p w14:paraId="45EB1908" w14:textId="141CEE80" w:rsidR="00800674" w:rsidRPr="005419EE" w:rsidRDefault="00800674" w:rsidP="00B5683C">
      <w:pPr>
        <w:jc w:val="both"/>
      </w:pPr>
      <w:r>
        <w:rPr>
          <w:color w:val="1B1B1B"/>
          <w:shd w:val="clear" w:color="auto" w:fill="FFFFFF"/>
        </w:rPr>
        <w:t>The risk of brain tumour when adult patients present with headache is 0.09% in primary care, 0.8% in neurology and 0.17% in A and E. A majority of tumours are diagnosed in A and E, an inappropriate setting for diagnosis of this condition.</w:t>
      </w:r>
    </w:p>
    <w:p w14:paraId="69F0C553" w14:textId="6E82600F" w:rsidR="00D57282" w:rsidRDefault="00B5683C" w:rsidP="00D57282">
      <w:pPr>
        <w:jc w:val="both"/>
      </w:pPr>
      <w:r w:rsidRPr="005419EE">
        <w:t>Evidence suggests that when</w:t>
      </w:r>
      <w:r w:rsidRPr="00B5683C">
        <w:t xml:space="preserve"> GP</w:t>
      </w:r>
      <w:r w:rsidR="00800674">
        <w:t>s</w:t>
      </w:r>
      <w:r w:rsidRPr="00B5683C">
        <w:t xml:space="preserve"> have access to direct brain imaging there is a reduction in </w:t>
      </w:r>
      <w:r>
        <w:t>ne</w:t>
      </w:r>
      <w:r w:rsidRPr="00B5683C">
        <w:t xml:space="preserve">urology referrals and an overall reduction in healthcare costs. </w:t>
      </w:r>
      <w:r w:rsidR="00D57282">
        <w:t>However, most</w:t>
      </w:r>
      <w:r w:rsidR="00D57282" w:rsidRPr="00B5683C">
        <w:t xml:space="preserve"> studies are observational</w:t>
      </w:r>
      <w:r w:rsidR="00D57282">
        <w:t xml:space="preserve"> and can be criticised on methodological grounds.</w:t>
      </w:r>
    </w:p>
    <w:p w14:paraId="76F8AFC3" w14:textId="547B7DD0" w:rsidR="00D57282" w:rsidRDefault="00B5683C" w:rsidP="00B5683C">
      <w:pPr>
        <w:jc w:val="both"/>
      </w:pPr>
      <w:r w:rsidRPr="00B5683C">
        <w:t xml:space="preserve">Estimates </w:t>
      </w:r>
      <w:r w:rsidR="00D57282">
        <w:t xml:space="preserve">of impact </w:t>
      </w:r>
      <w:r w:rsidRPr="00B5683C">
        <w:t>vary</w:t>
      </w:r>
      <w:r w:rsidR="00D57282">
        <w:t>,</w:t>
      </w:r>
      <w:r w:rsidRPr="00B5683C">
        <w:t xml:space="preserve"> depending on the setting</w:t>
      </w:r>
      <w:r w:rsidR="001066C8">
        <w:t>.</w:t>
      </w:r>
      <w:r w:rsidRPr="00B5683C">
        <w:t xml:space="preserve"> </w:t>
      </w:r>
      <w:r w:rsidR="00FA4E7D">
        <w:t xml:space="preserve">Where GPs have direct access to neuroradiological investigation </w:t>
      </w:r>
      <w:r w:rsidR="00D57282">
        <w:t xml:space="preserve">there are a wide range of </w:t>
      </w:r>
      <w:r w:rsidR="00FA4E7D">
        <w:t>reported investigation rates between 1.2-</w:t>
      </w:r>
      <w:r w:rsidR="00D57282">
        <w:t>25</w:t>
      </w:r>
      <w:r w:rsidR="00FA4E7D">
        <w:t xml:space="preserve">% of headache presentations. </w:t>
      </w:r>
      <w:r w:rsidR="002648BB">
        <w:t xml:space="preserve">Overall, rates of positive findings are equivalent to neurologists. </w:t>
      </w:r>
      <w:r w:rsidR="00800674">
        <w:t>GP studies report 0.5</w:t>
      </w:r>
      <w:r w:rsidR="002648BB">
        <w:t xml:space="preserve"> to1.4% positive findings.</w:t>
      </w:r>
    </w:p>
    <w:p w14:paraId="51DC6D55" w14:textId="0B3DA44B" w:rsidR="00D57282" w:rsidRDefault="00092AAC" w:rsidP="00B5683C">
      <w:pPr>
        <w:jc w:val="both"/>
      </w:pPr>
      <w:r>
        <w:t>A wide range of neurology referrals</w:t>
      </w:r>
      <w:r w:rsidR="00800674">
        <w:t xml:space="preserve"> avoided</w:t>
      </w:r>
      <w:r>
        <w:t xml:space="preserve"> have been described from 41</w:t>
      </w:r>
      <w:r w:rsidR="00B5683C" w:rsidRPr="00B5683C">
        <w:t xml:space="preserve"> to 86% and mean cost per patient reduction between direct </w:t>
      </w:r>
      <w:r w:rsidR="00FA4E7D">
        <w:t xml:space="preserve">imaging </w:t>
      </w:r>
      <w:r w:rsidR="00B5683C" w:rsidRPr="00B5683C">
        <w:t xml:space="preserve">access and neurology referral of </w:t>
      </w:r>
      <w:r w:rsidR="00B5683C">
        <w:t>£</w:t>
      </w:r>
      <w:r w:rsidR="00B5683C" w:rsidRPr="00B5683C">
        <w:t xml:space="preserve">245 against </w:t>
      </w:r>
      <w:r w:rsidR="00B5683C">
        <w:t>£</w:t>
      </w:r>
      <w:r w:rsidR="00B5683C" w:rsidRPr="00B5683C">
        <w:t>578</w:t>
      </w:r>
      <w:r w:rsidR="00B5683C">
        <w:t>.</w:t>
      </w:r>
    </w:p>
    <w:p w14:paraId="69875034" w14:textId="23713656" w:rsidR="00D51EEA" w:rsidRPr="00D011EB" w:rsidRDefault="00D51EEA" w:rsidP="00B5683C">
      <w:pPr>
        <w:jc w:val="both"/>
        <w:rPr>
          <w:sz w:val="32"/>
          <w:szCs w:val="32"/>
        </w:rPr>
      </w:pPr>
      <w:r w:rsidRPr="00D011EB">
        <w:rPr>
          <w:sz w:val="32"/>
          <w:szCs w:val="32"/>
        </w:rPr>
        <w:t>Clinical considerations</w:t>
      </w:r>
    </w:p>
    <w:p w14:paraId="1ED52375" w14:textId="6B2948BF" w:rsidR="006A5208" w:rsidRPr="00D011EB" w:rsidRDefault="00D51EEA" w:rsidP="00B5683C">
      <w:pPr>
        <w:jc w:val="both"/>
        <w:rPr>
          <w:sz w:val="28"/>
          <w:szCs w:val="28"/>
        </w:rPr>
      </w:pPr>
      <w:r w:rsidRPr="00D011EB">
        <w:rPr>
          <w:sz w:val="28"/>
          <w:szCs w:val="28"/>
        </w:rPr>
        <w:t xml:space="preserve">1. </w:t>
      </w:r>
      <w:r w:rsidR="006A5208" w:rsidRPr="00D011EB">
        <w:rPr>
          <w:sz w:val="28"/>
          <w:szCs w:val="28"/>
        </w:rPr>
        <w:t>Incidental abnormalities</w:t>
      </w:r>
    </w:p>
    <w:p w14:paraId="79363794" w14:textId="34B46796" w:rsidR="00D51EEA" w:rsidRDefault="00D51EEA" w:rsidP="00B5683C">
      <w:pPr>
        <w:jc w:val="both"/>
      </w:pPr>
      <w:r>
        <w:t>Incidental abnormalities can cause significant anxiety. There are a wide range of estimates but consider counselling</w:t>
      </w:r>
      <w:r w:rsidR="00800674">
        <w:t xml:space="preserve"> patient</w:t>
      </w:r>
      <w:r>
        <w:t xml:space="preserve"> at a rate of 15% for under 50 years of age</w:t>
      </w:r>
      <w:r w:rsidR="00800674">
        <w:t>,</w:t>
      </w:r>
      <w:r>
        <w:t xml:space="preserve"> and “likely” above the age of 50. White matter changes are increasingly common with age (and migraine with aura) and are particularly problematic as their origin is not clear. Figure </w:t>
      </w:r>
      <w:r w:rsidR="00800674">
        <w:t>1</w:t>
      </w:r>
      <w:r>
        <w:t xml:space="preserve"> shows a typical </w:t>
      </w:r>
      <w:r w:rsidR="00D96D8A">
        <w:t>breakdown of abnormalities identified</w:t>
      </w:r>
      <w:r>
        <w:t>.</w:t>
      </w:r>
    </w:p>
    <w:p w14:paraId="21307265" w14:textId="555A4704" w:rsidR="00D51EEA" w:rsidRPr="00D51EEA" w:rsidRDefault="002648BB" w:rsidP="002648BB">
      <w:pPr>
        <w:jc w:val="center"/>
      </w:pPr>
      <w:r>
        <w:rPr>
          <w:noProof/>
        </w:rPr>
        <w:lastRenderedPageBreak/>
        <w:t xml:space="preserve"> </w:t>
      </w:r>
      <w:r w:rsidR="00D51EEA">
        <w:rPr>
          <w:noProof/>
        </w:rPr>
        <w:drawing>
          <wp:inline distT="0" distB="0" distL="0" distR="0" wp14:anchorId="17997009" wp14:editId="72FD0148">
            <wp:extent cx="4825844" cy="2714470"/>
            <wp:effectExtent l="0" t="0" r="0" b="0"/>
            <wp:docPr id="1076609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09120" name=""/>
                    <pic:cNvPicPr/>
                  </pic:nvPicPr>
                  <pic:blipFill>
                    <a:blip r:embed="rId7">
                      <a:extLst>
                        <a:ext uri="{96DAC541-7B7A-43D3-8B79-37D633B846F1}">
                          <asvg:svgBlip xmlns:asvg="http://schemas.microsoft.com/office/drawing/2016/SVG/main" r:embed="rId8"/>
                        </a:ext>
                      </a:extLst>
                    </a:blip>
                    <a:stretch>
                      <a:fillRect/>
                    </a:stretch>
                  </pic:blipFill>
                  <pic:spPr>
                    <a:xfrm>
                      <a:off x="0" y="0"/>
                      <a:ext cx="4843652" cy="2724487"/>
                    </a:xfrm>
                    <a:prstGeom prst="rect">
                      <a:avLst/>
                    </a:prstGeom>
                  </pic:spPr>
                </pic:pic>
              </a:graphicData>
            </a:graphic>
          </wp:inline>
        </w:drawing>
      </w:r>
    </w:p>
    <w:p w14:paraId="746D3D50" w14:textId="08DC67AF" w:rsidR="002648BB" w:rsidRPr="002648BB" w:rsidRDefault="002648BB" w:rsidP="00B5683C">
      <w:pPr>
        <w:jc w:val="both"/>
      </w:pPr>
      <w:r w:rsidRPr="002648BB">
        <w:t xml:space="preserve">Figure </w:t>
      </w:r>
      <w:r w:rsidR="00800674">
        <w:t>1</w:t>
      </w:r>
      <w:r w:rsidRPr="002648BB">
        <w:t xml:space="preserve">. </w:t>
      </w:r>
      <w:r w:rsidR="00D96D8A">
        <w:t>The range of i</w:t>
      </w:r>
      <w:r w:rsidRPr="002648BB">
        <w:t>ncidental abnormalities</w:t>
      </w:r>
      <w:r w:rsidR="00D011EB">
        <w:t>,</w:t>
      </w:r>
      <w:r w:rsidRPr="002648BB">
        <w:t xml:space="preserve"> </w:t>
      </w:r>
      <w:r w:rsidR="00D011EB">
        <w:t>(</w:t>
      </w:r>
      <w:r w:rsidRPr="002648BB">
        <w:t>Zenius 2019</w:t>
      </w:r>
      <w:r w:rsidR="00D011EB">
        <w:t>.)</w:t>
      </w:r>
    </w:p>
    <w:p w14:paraId="3A41EA62" w14:textId="77777777" w:rsidR="00800674" w:rsidRDefault="00800674" w:rsidP="00B5683C">
      <w:pPr>
        <w:jc w:val="both"/>
        <w:rPr>
          <w:sz w:val="28"/>
          <w:szCs w:val="28"/>
        </w:rPr>
      </w:pPr>
    </w:p>
    <w:p w14:paraId="48399AD3" w14:textId="6F8E1ED6" w:rsidR="002648BB" w:rsidRPr="00D011EB" w:rsidRDefault="006A5208" w:rsidP="00B5683C">
      <w:pPr>
        <w:jc w:val="both"/>
        <w:rPr>
          <w:sz w:val="28"/>
          <w:szCs w:val="28"/>
        </w:rPr>
      </w:pPr>
      <w:r w:rsidRPr="00D011EB">
        <w:rPr>
          <w:sz w:val="28"/>
          <w:szCs w:val="28"/>
        </w:rPr>
        <w:t>2. Investigation guidelines</w:t>
      </w:r>
    </w:p>
    <w:p w14:paraId="0CB37E72" w14:textId="74FA4249" w:rsidR="00894A63" w:rsidRDefault="006A5208" w:rsidP="00B5683C">
      <w:pPr>
        <w:jc w:val="both"/>
      </w:pPr>
      <w:r>
        <w:t xml:space="preserve">The evidence base on which to develop guidance is limited. </w:t>
      </w:r>
      <w:r w:rsidR="00800674">
        <w:t>Age is an important</w:t>
      </w:r>
      <w:r w:rsidR="00894A63">
        <w:t xml:space="preserve"> predictive feature of tumour. See figure </w:t>
      </w:r>
      <w:r w:rsidR="00800674">
        <w:t>2</w:t>
      </w:r>
      <w:r w:rsidR="00894A63">
        <w:t>.</w:t>
      </w:r>
    </w:p>
    <w:p w14:paraId="2F985B99" w14:textId="02FEBC46" w:rsidR="00894A63" w:rsidRDefault="00894A63" w:rsidP="00B5683C">
      <w:pPr>
        <w:jc w:val="both"/>
      </w:pPr>
      <w:bookmarkStart w:id="0" w:name="med-9780199232598-figureGroup-3"/>
      <w:bookmarkStart w:id="1" w:name="med-9780199232598-figure-3"/>
      <w:r w:rsidRPr="001D6D5A">
        <w:rPr>
          <w:rFonts w:ascii="Calibri" w:eastAsia="Calibri" w:hAnsi="Calibri" w:cs="Times New Roman"/>
          <w:noProof/>
          <w:color w:val="000000"/>
          <w:lang w:val="en-US"/>
        </w:rPr>
        <w:drawing>
          <wp:inline distT="0" distB="0" distL="0" distR="0" wp14:anchorId="01898C0C" wp14:editId="14CE47D6">
            <wp:extent cx="5359881" cy="2219325"/>
            <wp:effectExtent l="0" t="0" r="0" b="0"/>
            <wp:docPr id="1" name="Picture 1" descr="Fig. 2.1 Age-related rates per 100 000 population for malignant primary tum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3604" cy="2225007"/>
                    </a:xfrm>
                    <a:prstGeom prst="rect">
                      <a:avLst/>
                    </a:prstGeom>
                  </pic:spPr>
                </pic:pic>
              </a:graphicData>
            </a:graphic>
          </wp:inline>
        </w:drawing>
      </w:r>
      <w:bookmarkEnd w:id="0"/>
      <w:bookmarkEnd w:id="1"/>
    </w:p>
    <w:p w14:paraId="102115C4" w14:textId="77777777" w:rsidR="00894A63" w:rsidRDefault="00894A63" w:rsidP="00B5683C">
      <w:pPr>
        <w:jc w:val="both"/>
      </w:pPr>
    </w:p>
    <w:p w14:paraId="494753A6" w14:textId="051EE6AE" w:rsidR="00894A63" w:rsidRPr="001D6D5A" w:rsidRDefault="00894A63" w:rsidP="00894A63">
      <w:pPr>
        <w:rPr>
          <w:lang w:val="en-US"/>
        </w:rPr>
      </w:pPr>
      <w:r>
        <w:t xml:space="preserve">Figure </w:t>
      </w:r>
      <w:r w:rsidR="00800674">
        <w:t>2.</w:t>
      </w:r>
      <w:r>
        <w:t xml:space="preserve"> </w:t>
      </w:r>
      <w:r w:rsidRPr="001D6D5A">
        <w:rPr>
          <w:lang w:val="en-US"/>
        </w:rPr>
        <w:t>Age-related rates per 100 000 population for malignant primary tumours.</w:t>
      </w:r>
    </w:p>
    <w:p w14:paraId="7BEEB0DA" w14:textId="5060F5C0" w:rsidR="00894A63" w:rsidRDefault="00894A63" w:rsidP="00B5683C">
      <w:pPr>
        <w:jc w:val="both"/>
      </w:pPr>
    </w:p>
    <w:p w14:paraId="2B952012" w14:textId="5B1DF418" w:rsidR="006A5208" w:rsidRDefault="006A5208" w:rsidP="00B5683C">
      <w:pPr>
        <w:jc w:val="both"/>
        <w:rPr>
          <w:color w:val="222222"/>
          <w:shd w:val="clear" w:color="auto" w:fill="FFFFFF"/>
        </w:rPr>
      </w:pPr>
      <w:r>
        <w:t xml:space="preserve">Figure </w:t>
      </w:r>
      <w:r w:rsidR="00800674">
        <w:t>3</w:t>
      </w:r>
      <w:r>
        <w:t xml:space="preserve">. shows guidance for GPs based </w:t>
      </w:r>
      <w:r w:rsidR="00A86C2E">
        <w:t>on</w:t>
      </w:r>
      <w:r>
        <w:t xml:space="preserve"> the British Association for the Study of Headache</w:t>
      </w:r>
      <w:r w:rsidR="00A86C2E">
        <w:t xml:space="preserve"> guidelines for primary care</w:t>
      </w:r>
      <w:r>
        <w:t xml:space="preserve">. A retrospective GP study concluded that </w:t>
      </w:r>
      <w:r>
        <w:rPr>
          <w:color w:val="222222"/>
          <w:shd w:val="clear" w:color="auto" w:fill="FFFFFF"/>
        </w:rPr>
        <w:t>t</w:t>
      </w:r>
      <w:r w:rsidRPr="006A5208">
        <w:rPr>
          <w:color w:val="222222"/>
          <w:shd w:val="clear" w:color="auto" w:fill="FFFFFF"/>
        </w:rPr>
        <w:t xml:space="preserve">he non-specificity of many symptoms associated with brain tumours makes it difficult to identify patients to prioritise for brain </w:t>
      </w:r>
      <w:r w:rsidR="00A86C2E" w:rsidRPr="006A5208">
        <w:rPr>
          <w:color w:val="222222"/>
          <w:shd w:val="clear" w:color="auto" w:fill="FFFFFF"/>
        </w:rPr>
        <w:t>imaging,</w:t>
      </w:r>
      <w:r>
        <w:rPr>
          <w:color w:val="222222"/>
          <w:shd w:val="clear" w:color="auto" w:fill="FFFFFF"/>
        </w:rPr>
        <w:t xml:space="preserve"> but this guideline can</w:t>
      </w:r>
      <w:r w:rsidRPr="006A5208">
        <w:rPr>
          <w:color w:val="222222"/>
          <w:shd w:val="clear" w:color="auto" w:fill="FFFFFF"/>
        </w:rPr>
        <w:t xml:space="preserve"> provide assistance to the primary care doctor</w:t>
      </w:r>
      <w:r>
        <w:rPr>
          <w:color w:val="222222"/>
          <w:shd w:val="clear" w:color="auto" w:fill="FFFFFF"/>
        </w:rPr>
        <w:t>. (Zienius 2019).</w:t>
      </w:r>
    </w:p>
    <w:p w14:paraId="4C12548B" w14:textId="77777777" w:rsidR="00894A63" w:rsidRDefault="00894A63" w:rsidP="008958FD">
      <w:pPr>
        <w:pBdr>
          <w:top w:val="single" w:sz="4" w:space="1" w:color="auto"/>
          <w:left w:val="single" w:sz="4" w:space="4" w:color="auto"/>
          <w:bottom w:val="single" w:sz="4" w:space="1" w:color="auto"/>
          <w:right w:val="single" w:sz="4" w:space="4" w:color="auto"/>
        </w:pBdr>
        <w:spacing w:after="0" w:line="276" w:lineRule="auto"/>
        <w:ind w:firstLine="357"/>
        <w:rPr>
          <w:b/>
          <w:bCs/>
        </w:rPr>
      </w:pPr>
    </w:p>
    <w:p w14:paraId="2DF05A0B" w14:textId="557D898A" w:rsidR="008958FD" w:rsidRDefault="008958FD" w:rsidP="008958FD">
      <w:pPr>
        <w:pBdr>
          <w:top w:val="single" w:sz="4" w:space="1" w:color="auto"/>
          <w:left w:val="single" w:sz="4" w:space="4" w:color="auto"/>
          <w:bottom w:val="single" w:sz="4" w:space="1" w:color="auto"/>
          <w:right w:val="single" w:sz="4" w:space="4" w:color="auto"/>
        </w:pBdr>
        <w:spacing w:after="0" w:line="276" w:lineRule="auto"/>
        <w:ind w:firstLine="357"/>
      </w:pPr>
      <w:r w:rsidRPr="00894A63">
        <w:rPr>
          <w:b/>
          <w:bCs/>
        </w:rPr>
        <w:t>Red flags</w:t>
      </w:r>
      <w:r w:rsidRPr="00894A63">
        <w:t xml:space="preserve"> — presentations where the probability of an underlying tumour is likely to be greater than 1%. These warrant urgent investigation.</w:t>
      </w:r>
    </w:p>
    <w:p w14:paraId="593E2B53" w14:textId="77777777"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 Papilloedema </w:t>
      </w:r>
    </w:p>
    <w:p w14:paraId="78BB1E5A" w14:textId="68A5991D"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w:t>
      </w:r>
      <w:r w:rsidR="00A86C2E">
        <w:rPr>
          <w:sz w:val="22"/>
          <w:szCs w:val="22"/>
        </w:rPr>
        <w:t>Headache with s</w:t>
      </w:r>
      <w:r w:rsidRPr="00894A63">
        <w:rPr>
          <w:sz w:val="22"/>
          <w:szCs w:val="22"/>
        </w:rPr>
        <w:t>ignificant alterations in consciousness, memory, confusion, or coordination</w:t>
      </w:r>
      <w:r w:rsidR="00A86C2E">
        <w:rPr>
          <w:sz w:val="22"/>
          <w:szCs w:val="22"/>
        </w:rPr>
        <w:t>.</w:t>
      </w:r>
      <w:r w:rsidRPr="00894A63">
        <w:rPr>
          <w:sz w:val="22"/>
          <w:szCs w:val="22"/>
        </w:rPr>
        <w:t xml:space="preserve"> </w:t>
      </w:r>
    </w:p>
    <w:p w14:paraId="3D88520A" w14:textId="33EFEDF7" w:rsidR="008958FD"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w:t>
      </w:r>
      <w:r w:rsidR="00A86C2E">
        <w:rPr>
          <w:sz w:val="22"/>
          <w:szCs w:val="22"/>
        </w:rPr>
        <w:t xml:space="preserve">Headache with </w:t>
      </w:r>
      <w:r w:rsidR="00A86C2E" w:rsidRPr="00894A63">
        <w:rPr>
          <w:sz w:val="22"/>
          <w:szCs w:val="22"/>
        </w:rPr>
        <w:t>seizure</w:t>
      </w:r>
      <w:r w:rsidR="00A86C2E">
        <w:rPr>
          <w:sz w:val="22"/>
          <w:szCs w:val="22"/>
        </w:rPr>
        <w:t>.</w:t>
      </w:r>
    </w:p>
    <w:p w14:paraId="32AAAFCE" w14:textId="509EBA96"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Headache with a history of cancer</w:t>
      </w:r>
      <w:r w:rsidR="00A86C2E">
        <w:rPr>
          <w:sz w:val="22"/>
          <w:szCs w:val="22"/>
        </w:rPr>
        <w:t>. B</w:t>
      </w:r>
      <w:r w:rsidR="00A86C2E" w:rsidRPr="00894A63">
        <w:rPr>
          <w:sz w:val="22"/>
          <w:szCs w:val="22"/>
        </w:rPr>
        <w:t>reast</w:t>
      </w:r>
      <w:r w:rsidR="00A86C2E">
        <w:rPr>
          <w:sz w:val="22"/>
          <w:szCs w:val="22"/>
        </w:rPr>
        <w:t>, lung and prostate most common.</w:t>
      </w:r>
    </w:p>
    <w:p w14:paraId="59273040" w14:textId="7A918F4F" w:rsidR="008958FD"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 Headache with abnormal findings on neurological examination or other neurological symptoms (although </w:t>
      </w:r>
      <w:r w:rsidR="00A86C2E">
        <w:rPr>
          <w:sz w:val="22"/>
          <w:szCs w:val="22"/>
        </w:rPr>
        <w:t xml:space="preserve">limited </w:t>
      </w:r>
      <w:r w:rsidRPr="00894A63">
        <w:rPr>
          <w:sz w:val="22"/>
          <w:szCs w:val="22"/>
        </w:rPr>
        <w:t>evidence base suggests orange flag)</w:t>
      </w:r>
      <w:r w:rsidR="00A86C2E">
        <w:rPr>
          <w:sz w:val="22"/>
          <w:szCs w:val="22"/>
        </w:rPr>
        <w:t>.</w:t>
      </w:r>
    </w:p>
    <w:p w14:paraId="62BAD92A" w14:textId="352A1BAA" w:rsidR="00A86C2E" w:rsidRDefault="00A86C2E"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Pr>
          <w:sz w:val="22"/>
          <w:szCs w:val="22"/>
        </w:rPr>
        <w:t xml:space="preserve"> </w:t>
      </w:r>
    </w:p>
    <w:p w14:paraId="16E89CCC" w14:textId="77777777" w:rsidR="00A86C2E" w:rsidRDefault="00A86C2E" w:rsidP="00A86C2E">
      <w:pPr>
        <w:pBdr>
          <w:top w:val="single" w:sz="4" w:space="1" w:color="auto"/>
          <w:left w:val="single" w:sz="4" w:space="4" w:color="auto"/>
          <w:bottom w:val="single" w:sz="4" w:space="1" w:color="auto"/>
          <w:right w:val="single" w:sz="4" w:space="4" w:color="auto"/>
        </w:pBdr>
        <w:spacing w:after="0" w:line="276" w:lineRule="auto"/>
        <w:rPr>
          <w:sz w:val="22"/>
          <w:szCs w:val="22"/>
        </w:rPr>
      </w:pPr>
    </w:p>
    <w:p w14:paraId="0A11BFC8" w14:textId="58097CE7" w:rsidR="008958FD" w:rsidRPr="00894A63" w:rsidRDefault="008958FD" w:rsidP="008958FD">
      <w:pPr>
        <w:pBdr>
          <w:top w:val="single" w:sz="4" w:space="1" w:color="auto"/>
          <w:left w:val="single" w:sz="4" w:space="4" w:color="auto"/>
          <w:bottom w:val="single" w:sz="4" w:space="1" w:color="auto"/>
          <w:right w:val="single" w:sz="4" w:space="4" w:color="auto"/>
        </w:pBdr>
        <w:spacing w:after="0" w:line="276" w:lineRule="auto"/>
        <w:ind w:firstLine="357"/>
      </w:pPr>
      <w:r w:rsidRPr="00894A63">
        <w:rPr>
          <w:b/>
          <w:bCs/>
        </w:rPr>
        <w:t>Orange flags</w:t>
      </w:r>
      <w:r w:rsidRPr="00894A63">
        <w:t xml:space="preserve"> — presentations where the probability of an underlying tumour is likely to be between 0.1 and 1%. These need careful monitoring and a low threshold for investigation.</w:t>
      </w:r>
    </w:p>
    <w:p w14:paraId="52B035A7" w14:textId="062D0F10"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 New headache where a diagnostic pattern has not emerged after 8 weeks from presentation</w:t>
      </w:r>
      <w:r w:rsidR="00A86C2E">
        <w:rPr>
          <w:sz w:val="22"/>
          <w:szCs w:val="22"/>
        </w:rPr>
        <w:t>.</w:t>
      </w:r>
      <w:r w:rsidRPr="00894A63">
        <w:rPr>
          <w:sz w:val="22"/>
          <w:szCs w:val="22"/>
        </w:rPr>
        <w:t xml:space="preserve"> </w:t>
      </w:r>
    </w:p>
    <w:p w14:paraId="24D6F2D3" w14:textId="07533143"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Headache aggravated by exertion</w:t>
      </w:r>
      <w:r w:rsidR="00F67775">
        <w:rPr>
          <w:sz w:val="22"/>
          <w:szCs w:val="22"/>
        </w:rPr>
        <w:t xml:space="preserve"> (exercise headache)</w:t>
      </w:r>
      <w:r w:rsidRPr="00894A63">
        <w:rPr>
          <w:sz w:val="22"/>
          <w:szCs w:val="22"/>
        </w:rPr>
        <w:t xml:space="preserve"> or Valsalva-like manoeuvre</w:t>
      </w:r>
      <w:r w:rsidR="00A86C2E">
        <w:rPr>
          <w:sz w:val="22"/>
          <w:szCs w:val="22"/>
        </w:rPr>
        <w:t>.</w:t>
      </w:r>
      <w:r w:rsidRPr="00894A63">
        <w:rPr>
          <w:sz w:val="22"/>
          <w:szCs w:val="22"/>
        </w:rPr>
        <w:t xml:space="preserve"> </w:t>
      </w:r>
      <w:r w:rsidR="00F67775">
        <w:rPr>
          <w:sz w:val="22"/>
          <w:szCs w:val="22"/>
        </w:rPr>
        <w:t>Headache precipitated is a red flag.</w:t>
      </w:r>
    </w:p>
    <w:p w14:paraId="3C12D526" w14:textId="328DDE4B"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Headaches associated with </w:t>
      </w:r>
      <w:r w:rsidR="00A86C2E">
        <w:rPr>
          <w:sz w:val="22"/>
          <w:szCs w:val="22"/>
        </w:rPr>
        <w:t xml:space="preserve">persistent </w:t>
      </w:r>
      <w:r w:rsidRPr="00894A63">
        <w:rPr>
          <w:sz w:val="22"/>
          <w:szCs w:val="22"/>
        </w:rPr>
        <w:t>vomiting</w:t>
      </w:r>
      <w:r w:rsidR="00A86C2E">
        <w:rPr>
          <w:sz w:val="22"/>
          <w:szCs w:val="22"/>
        </w:rPr>
        <w:t>.</w:t>
      </w:r>
      <w:r w:rsidRPr="00894A63">
        <w:rPr>
          <w:sz w:val="22"/>
          <w:szCs w:val="22"/>
        </w:rPr>
        <w:t xml:space="preserve"> </w:t>
      </w:r>
    </w:p>
    <w:p w14:paraId="2E5D69D0" w14:textId="0795C1A9"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Headaches that have been present for some time but have changed significantly, particularly a rapid increase in frequency</w:t>
      </w:r>
      <w:r w:rsidR="00A86C2E">
        <w:rPr>
          <w:sz w:val="22"/>
          <w:szCs w:val="22"/>
        </w:rPr>
        <w:t>.</w:t>
      </w:r>
      <w:r w:rsidRPr="00894A63">
        <w:rPr>
          <w:sz w:val="22"/>
          <w:szCs w:val="22"/>
        </w:rPr>
        <w:t xml:space="preserve"> </w:t>
      </w:r>
    </w:p>
    <w:p w14:paraId="1F307C7B" w14:textId="707DE6B0" w:rsidR="00A86C2E"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New headache in a patient over 50 years</w:t>
      </w:r>
      <w:r w:rsidR="00A86C2E">
        <w:rPr>
          <w:sz w:val="22"/>
          <w:szCs w:val="22"/>
        </w:rPr>
        <w:t>.</w:t>
      </w:r>
      <w:r w:rsidR="00F67775">
        <w:rPr>
          <w:sz w:val="22"/>
          <w:szCs w:val="22"/>
        </w:rPr>
        <w:t xml:space="preserve"> (But always think temporal arteritis).</w:t>
      </w:r>
    </w:p>
    <w:p w14:paraId="7BB771BB" w14:textId="5AD23B8E" w:rsidR="008958FD"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 Headaches that wake from sleep</w:t>
      </w:r>
      <w:r w:rsidR="00A86C2E">
        <w:rPr>
          <w:sz w:val="22"/>
          <w:szCs w:val="22"/>
        </w:rPr>
        <w:t>.</w:t>
      </w:r>
      <w:r w:rsidRPr="00894A63">
        <w:rPr>
          <w:sz w:val="22"/>
          <w:szCs w:val="22"/>
        </w:rPr>
        <w:t xml:space="preserve"> </w:t>
      </w:r>
    </w:p>
    <w:p w14:paraId="37356F19" w14:textId="6835B0D8" w:rsidR="006A5208" w:rsidRPr="00894A63" w:rsidRDefault="008958FD" w:rsidP="00A86C2E">
      <w:pPr>
        <w:pBdr>
          <w:top w:val="single" w:sz="4" w:space="1" w:color="auto"/>
          <w:left w:val="single" w:sz="4" w:space="4" w:color="auto"/>
          <w:bottom w:val="single" w:sz="4" w:space="1" w:color="auto"/>
          <w:right w:val="single" w:sz="4" w:space="4" w:color="auto"/>
        </w:pBdr>
        <w:spacing w:after="0" w:line="276" w:lineRule="auto"/>
        <w:rPr>
          <w:sz w:val="22"/>
          <w:szCs w:val="22"/>
        </w:rPr>
      </w:pPr>
      <w:r w:rsidRPr="00894A63">
        <w:rPr>
          <w:sz w:val="22"/>
          <w:szCs w:val="22"/>
        </w:rPr>
        <w:t xml:space="preserve">• </w:t>
      </w:r>
      <w:r w:rsidR="00A86C2E">
        <w:rPr>
          <w:sz w:val="22"/>
          <w:szCs w:val="22"/>
        </w:rPr>
        <w:t>Headache with memory challenge, personality change.</w:t>
      </w:r>
    </w:p>
    <w:p w14:paraId="60B3FB47" w14:textId="77777777" w:rsidR="008958FD" w:rsidRDefault="008958FD" w:rsidP="008958FD">
      <w:pPr>
        <w:pBdr>
          <w:top w:val="single" w:sz="4" w:space="1" w:color="auto"/>
          <w:left w:val="single" w:sz="4" w:space="4" w:color="auto"/>
          <w:bottom w:val="single" w:sz="4" w:space="1" w:color="auto"/>
          <w:right w:val="single" w:sz="4" w:space="4" w:color="auto"/>
        </w:pBdr>
        <w:spacing w:after="0" w:line="276" w:lineRule="auto"/>
        <w:ind w:firstLine="357"/>
        <w:rPr>
          <w:rFonts w:ascii="Calibri" w:eastAsia="Calibri" w:hAnsi="Calibri" w:cs="Times New Roman"/>
          <w:b/>
          <w:color w:val="000000"/>
          <w:lang w:val="en-US"/>
        </w:rPr>
      </w:pPr>
    </w:p>
    <w:p w14:paraId="0ADCE129" w14:textId="3DDD45AB" w:rsidR="00894A63" w:rsidRPr="00894A63" w:rsidRDefault="00894A63" w:rsidP="006A5208">
      <w:pPr>
        <w:spacing w:before="120" w:after="120" w:line="276" w:lineRule="auto"/>
        <w:rPr>
          <w:rFonts w:eastAsia="Calibri" w:cs="Times New Roman"/>
          <w:bCs/>
          <w:color w:val="000000"/>
          <w:lang w:val="en-US"/>
        </w:rPr>
      </w:pPr>
      <w:bookmarkStart w:id="2" w:name="med-9780199232598-div1-9"/>
      <w:bookmarkStart w:id="3" w:name="page_34"/>
      <w:bookmarkEnd w:id="2"/>
      <w:bookmarkEnd w:id="3"/>
      <w:r w:rsidRPr="00894A63">
        <w:rPr>
          <w:rFonts w:eastAsia="Calibri" w:cs="Times New Roman"/>
          <w:bCs/>
          <w:color w:val="000000"/>
          <w:lang w:val="en-US"/>
        </w:rPr>
        <w:t xml:space="preserve">Figure </w:t>
      </w:r>
      <w:r w:rsidR="00F67775">
        <w:rPr>
          <w:rFonts w:eastAsia="Calibri" w:cs="Times New Roman"/>
          <w:bCs/>
          <w:color w:val="000000"/>
          <w:lang w:val="en-US"/>
        </w:rPr>
        <w:t>3</w:t>
      </w:r>
      <w:r w:rsidRPr="00894A63">
        <w:rPr>
          <w:rFonts w:eastAsia="Calibri" w:cs="Times New Roman"/>
          <w:bCs/>
          <w:color w:val="000000"/>
          <w:lang w:val="en-US"/>
        </w:rPr>
        <w:t>. Guidance for primary care of who to investigate</w:t>
      </w:r>
      <w:r w:rsidR="00D96D8A">
        <w:rPr>
          <w:rFonts w:eastAsia="Calibri" w:cs="Times New Roman"/>
          <w:bCs/>
          <w:color w:val="000000"/>
          <w:lang w:val="en-US"/>
        </w:rPr>
        <w:t xml:space="preserve"> for brain tumour when patients present with headache.</w:t>
      </w:r>
      <w:r w:rsidR="00F165D8">
        <w:rPr>
          <w:rFonts w:eastAsia="Calibri" w:cs="Times New Roman"/>
          <w:bCs/>
          <w:color w:val="000000"/>
          <w:lang w:val="en-US"/>
        </w:rPr>
        <w:t xml:space="preserve"> </w:t>
      </w:r>
      <w:r w:rsidRPr="00894A63">
        <w:rPr>
          <w:rFonts w:eastAsia="Calibri" w:cs="Times New Roman"/>
          <w:bCs/>
          <w:color w:val="000000"/>
          <w:lang w:val="en-US"/>
        </w:rPr>
        <w:t>(Kernick 2008)</w:t>
      </w:r>
      <w:r w:rsidR="00F165D8">
        <w:rPr>
          <w:rFonts w:eastAsia="Calibri" w:cs="Times New Roman"/>
          <w:bCs/>
          <w:color w:val="000000"/>
          <w:lang w:val="en-US"/>
        </w:rPr>
        <w:t>.</w:t>
      </w:r>
    </w:p>
    <w:p w14:paraId="726F2CC6" w14:textId="0419BD41" w:rsidR="006A5208" w:rsidRPr="001D6D5A" w:rsidRDefault="006A5208" w:rsidP="006A5208">
      <w:pPr>
        <w:spacing w:before="120" w:after="120" w:line="276" w:lineRule="auto"/>
        <w:rPr>
          <w:rFonts w:ascii="Calibri" w:eastAsia="Calibri" w:hAnsi="Calibri" w:cs="Times New Roman"/>
          <w:b/>
          <w:color w:val="000000"/>
          <w:lang w:val="en-US"/>
        </w:rPr>
      </w:pPr>
    </w:p>
    <w:tbl>
      <w:tblPr>
        <w:tblStyle w:val="TableGrid"/>
        <w:tblW w:w="5000" w:type="pct"/>
        <w:tblLook w:val="04A0" w:firstRow="1" w:lastRow="0" w:firstColumn="1" w:lastColumn="0" w:noHBand="0" w:noVBand="1"/>
      </w:tblPr>
      <w:tblGrid>
        <w:gridCol w:w="9026"/>
      </w:tblGrid>
      <w:tr w:rsidR="006A5208" w:rsidRPr="001D6D5A" w14:paraId="5F34B22F" w14:textId="77777777" w:rsidTr="001920F6">
        <w:tc>
          <w:tcPr>
            <w:tcW w:w="5000" w:type="pct"/>
            <w:vAlign w:val="center"/>
          </w:tcPr>
          <w:p w14:paraId="70F829FF" w14:textId="77777777" w:rsidR="00894A63" w:rsidRPr="00894A63" w:rsidRDefault="00894A63" w:rsidP="00894A63">
            <w:pPr>
              <w:spacing w:before="60" w:after="60"/>
              <w:ind w:left="357"/>
              <w:rPr>
                <w:rFonts w:asciiTheme="minorHAnsi" w:hAnsiTheme="minorHAnsi"/>
                <w:szCs w:val="22"/>
              </w:rPr>
            </w:pPr>
            <w:bookmarkStart w:id="4" w:name="med-9780199232598-item1-1739"/>
          </w:p>
          <w:p w14:paraId="2E158BCF" w14:textId="7D2AE09F" w:rsidR="006A5208" w:rsidRPr="00894A63" w:rsidRDefault="006A5208" w:rsidP="00894A63">
            <w:pPr>
              <w:spacing w:before="60" w:after="60"/>
              <w:ind w:left="357"/>
              <w:rPr>
                <w:rFonts w:asciiTheme="minorHAnsi" w:hAnsiTheme="minorHAnsi"/>
                <w:b/>
                <w:bCs/>
                <w:sz w:val="24"/>
                <w:szCs w:val="24"/>
              </w:rPr>
            </w:pPr>
            <w:r w:rsidRPr="00894A63">
              <w:rPr>
                <w:b/>
                <w:bCs/>
                <w:sz w:val="24"/>
                <w:szCs w:val="24"/>
              </w:rPr>
              <w:t xml:space="preserve"> </w:t>
            </w:r>
            <w:r w:rsidRPr="00894A63">
              <w:rPr>
                <w:rFonts w:asciiTheme="minorHAnsi" w:hAnsiTheme="minorHAnsi"/>
                <w:b/>
                <w:bCs/>
                <w:sz w:val="24"/>
                <w:szCs w:val="24"/>
              </w:rPr>
              <w:t>At presentation</w:t>
            </w:r>
            <w:bookmarkEnd w:id="4"/>
            <w:r w:rsidRPr="00894A63">
              <w:rPr>
                <w:rFonts w:asciiTheme="minorHAnsi" w:hAnsiTheme="minorHAnsi"/>
                <w:b/>
                <w:bCs/>
                <w:sz w:val="24"/>
                <w:szCs w:val="24"/>
              </w:rPr>
              <w:t>:</w:t>
            </w:r>
          </w:p>
          <w:p w14:paraId="0BA162FD"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Exclude urgent headache (risk &gt;1%).</w:t>
            </w:r>
          </w:p>
          <w:p w14:paraId="495F2EC5"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Check blood pressure, fundoscopy as minimum examination and inflammatory markers if &gt;50 years to exclude temporal arteritis.</w:t>
            </w:r>
          </w:p>
          <w:p w14:paraId="63921182"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If no diagnosis cannot be made tell patient—‘</w:t>
            </w:r>
            <w:r w:rsidRPr="00894A63">
              <w:rPr>
                <w:rFonts w:asciiTheme="minorHAnsi" w:hAnsiTheme="minorHAnsi"/>
                <w:i/>
                <w:szCs w:val="22"/>
              </w:rPr>
              <w:t>There is no evidence of anything serious underlying your headache but I would like to review you in 1 month</w:t>
            </w:r>
            <w:r w:rsidRPr="00894A63">
              <w:rPr>
                <w:rFonts w:asciiTheme="minorHAnsi" w:hAnsiTheme="minorHAnsi"/>
                <w:szCs w:val="22"/>
              </w:rPr>
              <w:t>’.</w:t>
            </w:r>
          </w:p>
          <w:p w14:paraId="75B68F2D"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Ask patient to keep a headache diary.</w:t>
            </w:r>
          </w:p>
          <w:p w14:paraId="32F65F2E" w14:textId="77777777" w:rsidR="00894A63" w:rsidRDefault="00894A63" w:rsidP="00894A63">
            <w:pPr>
              <w:spacing w:before="60" w:after="60"/>
              <w:ind w:left="357"/>
              <w:rPr>
                <w:rFonts w:asciiTheme="minorHAnsi" w:hAnsiTheme="minorHAnsi"/>
                <w:szCs w:val="22"/>
              </w:rPr>
            </w:pPr>
            <w:bookmarkStart w:id="5" w:name="med-9780199232598-item1-1740"/>
          </w:p>
          <w:p w14:paraId="779FA136" w14:textId="08795D21" w:rsidR="006A5208" w:rsidRPr="00894A63" w:rsidRDefault="006A5208" w:rsidP="00894A63">
            <w:pPr>
              <w:spacing w:before="60" w:after="60"/>
              <w:ind w:left="357"/>
              <w:rPr>
                <w:rFonts w:asciiTheme="minorHAnsi" w:hAnsiTheme="minorHAnsi"/>
                <w:b/>
                <w:bCs/>
                <w:sz w:val="24"/>
                <w:szCs w:val="24"/>
              </w:rPr>
            </w:pPr>
            <w:r w:rsidRPr="00894A63">
              <w:rPr>
                <w:rFonts w:asciiTheme="minorHAnsi" w:hAnsiTheme="minorHAnsi"/>
                <w:b/>
                <w:bCs/>
                <w:sz w:val="24"/>
                <w:szCs w:val="24"/>
              </w:rPr>
              <w:t xml:space="preserve"> At 1 month</w:t>
            </w:r>
            <w:bookmarkEnd w:id="5"/>
            <w:r w:rsidRPr="00894A63">
              <w:rPr>
                <w:rFonts w:asciiTheme="minorHAnsi" w:hAnsiTheme="minorHAnsi"/>
                <w:b/>
                <w:bCs/>
                <w:sz w:val="24"/>
                <w:szCs w:val="24"/>
              </w:rPr>
              <w:t>:</w:t>
            </w:r>
          </w:p>
          <w:p w14:paraId="41F89C2A"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Exclude urgent features.</w:t>
            </w:r>
          </w:p>
          <w:p w14:paraId="798BC15C"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Neurological examination, particularly cranial nerves.</w:t>
            </w:r>
          </w:p>
          <w:p w14:paraId="0185D8EB"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Assess memory and cognitive function during interview.</w:t>
            </w:r>
          </w:p>
          <w:p w14:paraId="06DF5178"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Assess for symptoms that would indicate primary lesion elsewhere.</w:t>
            </w:r>
          </w:p>
          <w:p w14:paraId="40450E82"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lastRenderedPageBreak/>
              <w:t xml:space="preserve"> Consider blood screen to exclude systemic illness or evidence of primary tumour elsewhere—FBC, ESR, CRP, LFT, creatinine, electrolytes, glucose, thyroid function.</w:t>
            </w:r>
          </w:p>
          <w:p w14:paraId="344A731F" w14:textId="76E2D4F4"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w:t>
            </w:r>
            <w:r w:rsidR="00D96D8A">
              <w:rPr>
                <w:rFonts w:asciiTheme="minorHAnsi" w:hAnsiTheme="minorHAnsi"/>
                <w:szCs w:val="22"/>
              </w:rPr>
              <w:t xml:space="preserve">Access for a primary headache. </w:t>
            </w:r>
            <w:r w:rsidRPr="00894A63">
              <w:rPr>
                <w:rFonts w:asciiTheme="minorHAnsi" w:hAnsiTheme="minorHAnsi"/>
                <w:szCs w:val="22"/>
              </w:rPr>
              <w:t>If diagnosis is still uncertain tell patient ‘</w:t>
            </w:r>
            <w:r w:rsidRPr="00894A63">
              <w:rPr>
                <w:rFonts w:asciiTheme="minorHAnsi" w:hAnsiTheme="minorHAnsi"/>
                <w:i/>
                <w:szCs w:val="22"/>
              </w:rPr>
              <w:t>There is still no evidence of anything serious but I would like to review you again in another month</w:t>
            </w:r>
            <w:r w:rsidRPr="00894A63">
              <w:rPr>
                <w:rFonts w:asciiTheme="minorHAnsi" w:hAnsiTheme="minorHAnsi"/>
                <w:szCs w:val="22"/>
              </w:rPr>
              <w:t>’.</w:t>
            </w:r>
          </w:p>
          <w:p w14:paraId="300E930B" w14:textId="77777777" w:rsidR="00894A63" w:rsidRDefault="00894A63" w:rsidP="00894A63">
            <w:pPr>
              <w:spacing w:before="60" w:after="60"/>
              <w:ind w:left="357"/>
              <w:rPr>
                <w:rFonts w:asciiTheme="minorHAnsi" w:hAnsiTheme="minorHAnsi"/>
                <w:szCs w:val="22"/>
              </w:rPr>
            </w:pPr>
            <w:bookmarkStart w:id="6" w:name="med-9780199232598-item1-1741"/>
          </w:p>
          <w:p w14:paraId="272F3EFC" w14:textId="38F87E35" w:rsidR="006A5208" w:rsidRPr="00894A63" w:rsidRDefault="006A5208" w:rsidP="00894A63">
            <w:pPr>
              <w:spacing w:before="60" w:after="60"/>
              <w:ind w:left="357"/>
              <w:rPr>
                <w:rFonts w:asciiTheme="minorHAnsi" w:hAnsiTheme="minorHAnsi"/>
                <w:b/>
                <w:bCs/>
                <w:color w:val="000000" w:themeColor="text1"/>
                <w:sz w:val="24"/>
                <w:szCs w:val="24"/>
              </w:rPr>
            </w:pPr>
            <w:r w:rsidRPr="00894A63">
              <w:rPr>
                <w:rFonts w:asciiTheme="minorHAnsi" w:hAnsiTheme="minorHAnsi"/>
                <w:b/>
                <w:bCs/>
                <w:color w:val="000000" w:themeColor="text1"/>
                <w:sz w:val="24"/>
                <w:szCs w:val="24"/>
              </w:rPr>
              <w:t xml:space="preserve"> At 2 months</w:t>
            </w:r>
            <w:bookmarkEnd w:id="6"/>
          </w:p>
          <w:p w14:paraId="5A901167"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Exclude urgent features.</w:t>
            </w:r>
          </w:p>
          <w:p w14:paraId="63F87DAC"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Examination as before.</w:t>
            </w:r>
          </w:p>
          <w:p w14:paraId="4EFA26D8"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 xml:space="preserve"> If diagnosis is still uncertain tell patient ‘</w:t>
            </w:r>
            <w:r w:rsidRPr="00894A63">
              <w:rPr>
                <w:rFonts w:asciiTheme="minorHAnsi" w:hAnsiTheme="minorHAnsi"/>
                <w:i/>
                <w:szCs w:val="22"/>
              </w:rPr>
              <w:t xml:space="preserve">There is still no evidence of anything serious underlying your headache but we need to discuss whether it would be appropriate to have a brain scan. Up to 10 in every 100 people like you will show an incidental finding that may give rise to unnecessary anxiety. This may have implications for future life insurance cover. </w:t>
            </w:r>
          </w:p>
          <w:p w14:paraId="6DB113DE" w14:textId="77777777" w:rsidR="006A5208" w:rsidRPr="00894A63" w:rsidRDefault="006A5208" w:rsidP="006A5208">
            <w:pPr>
              <w:numPr>
                <w:ilvl w:val="1"/>
                <w:numId w:val="1"/>
              </w:numPr>
              <w:spacing w:before="60" w:after="60"/>
              <w:ind w:firstLine="357"/>
              <w:rPr>
                <w:rFonts w:asciiTheme="minorHAnsi" w:hAnsiTheme="minorHAnsi"/>
                <w:szCs w:val="22"/>
              </w:rPr>
            </w:pPr>
            <w:r w:rsidRPr="00894A63">
              <w:rPr>
                <w:rFonts w:asciiTheme="minorHAnsi" w:hAnsiTheme="minorHAnsi"/>
                <w:szCs w:val="22"/>
              </w:rPr>
              <w:t>Order blood investigations as above if not previously taken, in addition to tests dependent on symptoms and history, e.g. VDRL, Lyme, antiphospholipids (see above)</w:t>
            </w:r>
          </w:p>
          <w:p w14:paraId="3D541EF7" w14:textId="77777777" w:rsidR="006A5208" w:rsidRPr="001D6D5A" w:rsidRDefault="006A5208" w:rsidP="006A5208">
            <w:pPr>
              <w:numPr>
                <w:ilvl w:val="0"/>
                <w:numId w:val="1"/>
              </w:numPr>
              <w:spacing w:before="60" w:after="60"/>
              <w:ind w:firstLine="357"/>
            </w:pPr>
            <w:bookmarkStart w:id="7" w:name="med-9780199232598-item1-1742"/>
            <w:r w:rsidRPr="00894A63">
              <w:rPr>
                <w:rFonts w:asciiTheme="minorHAnsi" w:hAnsiTheme="minorHAnsi"/>
                <w:szCs w:val="22"/>
              </w:rPr>
              <w:t xml:space="preserve"> If patient and doctor decide against imaging, review again in 1 month. A normal investigation does not eliminate the need for further review and management of the headache.</w:t>
            </w:r>
            <w:bookmarkEnd w:id="7"/>
          </w:p>
        </w:tc>
      </w:tr>
    </w:tbl>
    <w:p w14:paraId="03A4A7B8" w14:textId="77777777" w:rsidR="006A5208" w:rsidRPr="00832116" w:rsidRDefault="006A5208" w:rsidP="006A5208">
      <w:pPr>
        <w:spacing w:after="0" w:line="276" w:lineRule="auto"/>
        <w:ind w:firstLine="357"/>
        <w:rPr>
          <w:rFonts w:ascii="Calibri" w:eastAsia="Calibri" w:hAnsi="Calibri" w:cs="Times New Roman"/>
          <w:color w:val="000000"/>
          <w:lang w:val="en-US"/>
        </w:rPr>
      </w:pPr>
    </w:p>
    <w:p w14:paraId="0B80606C" w14:textId="0DD01306" w:rsidR="006A5208" w:rsidRPr="00894A63" w:rsidRDefault="00894A63" w:rsidP="00B5683C">
      <w:pPr>
        <w:jc w:val="both"/>
        <w:rPr>
          <w:bCs/>
        </w:rPr>
      </w:pPr>
      <w:r>
        <w:rPr>
          <w:rFonts w:eastAsia="Calibri" w:cs="Times New Roman"/>
          <w:bCs/>
          <w:color w:val="000000"/>
          <w:lang w:val="en-US"/>
        </w:rPr>
        <w:t xml:space="preserve">Figure </w:t>
      </w:r>
      <w:r w:rsidR="00F67775">
        <w:rPr>
          <w:rFonts w:eastAsia="Calibri" w:cs="Times New Roman"/>
          <w:bCs/>
          <w:color w:val="000000"/>
          <w:lang w:val="en-US"/>
        </w:rPr>
        <w:t>4</w:t>
      </w:r>
      <w:r>
        <w:rPr>
          <w:rFonts w:eastAsia="Calibri" w:cs="Times New Roman"/>
          <w:bCs/>
          <w:color w:val="000000"/>
          <w:lang w:val="en-US"/>
        </w:rPr>
        <w:t>. Pragmatic g</w:t>
      </w:r>
      <w:r w:rsidRPr="00894A63">
        <w:rPr>
          <w:rFonts w:eastAsia="Calibri" w:cs="Times New Roman"/>
          <w:bCs/>
          <w:color w:val="000000"/>
          <w:lang w:val="en-US"/>
        </w:rPr>
        <w:t>uidance for headache in primary care where no diagnosis can be made.</w:t>
      </w:r>
      <w:r>
        <w:rPr>
          <w:rFonts w:eastAsia="Calibri" w:cs="Times New Roman"/>
          <w:bCs/>
          <w:color w:val="000000"/>
          <w:lang w:val="en-US"/>
        </w:rPr>
        <w:t xml:space="preserve"> (Kernick 2024).</w:t>
      </w:r>
    </w:p>
    <w:p w14:paraId="2B45F377" w14:textId="56F5E508" w:rsidR="00D011EB" w:rsidRPr="00037912" w:rsidRDefault="00D51EEA" w:rsidP="00B5683C">
      <w:pPr>
        <w:jc w:val="both"/>
        <w:rPr>
          <w:sz w:val="32"/>
          <w:szCs w:val="32"/>
        </w:rPr>
      </w:pPr>
      <w:r w:rsidRPr="00037912">
        <w:rPr>
          <w:sz w:val="32"/>
          <w:szCs w:val="32"/>
        </w:rPr>
        <w:t>Service</w:t>
      </w:r>
      <w:r w:rsidR="001066C8" w:rsidRPr="00037912">
        <w:rPr>
          <w:sz w:val="32"/>
          <w:szCs w:val="32"/>
        </w:rPr>
        <w:t xml:space="preserve"> considerations</w:t>
      </w:r>
    </w:p>
    <w:p w14:paraId="55AE5A9D" w14:textId="3FD8A6AD" w:rsidR="001066C8" w:rsidRDefault="001066C8" w:rsidP="00B5683C">
      <w:pPr>
        <w:jc w:val="both"/>
      </w:pPr>
      <w:r w:rsidRPr="001066C8">
        <w:t>1. Specify a clear referral pathway</w:t>
      </w:r>
      <w:r>
        <w:t>.</w:t>
      </w:r>
      <w:r w:rsidR="00D96D8A">
        <w:t xml:space="preserve"> Emphasise that imaging should not be for reassurance. (NICE CG150).</w:t>
      </w:r>
    </w:p>
    <w:p w14:paraId="3D4F52F2" w14:textId="6E4674B9" w:rsidR="001066C8" w:rsidRDefault="001066C8" w:rsidP="00B5683C">
      <w:pPr>
        <w:jc w:val="both"/>
      </w:pPr>
      <w:r>
        <w:t xml:space="preserve">2. MRI </w:t>
      </w:r>
      <w:r w:rsidRPr="001066C8">
        <w:t xml:space="preserve">Is the preferred </w:t>
      </w:r>
      <w:r w:rsidR="00645B69" w:rsidRPr="001066C8">
        <w:t>modality,</w:t>
      </w:r>
      <w:r w:rsidRPr="001066C8">
        <w:t xml:space="preserve"> but local circumstances may </w:t>
      </w:r>
      <w:r w:rsidR="00645B69">
        <w:t>dictate</w:t>
      </w:r>
      <w:r>
        <w:t xml:space="preserve"> CT.</w:t>
      </w:r>
    </w:p>
    <w:p w14:paraId="26107C02" w14:textId="0C504866" w:rsidR="00D57282" w:rsidRPr="00D57282" w:rsidRDefault="00D57282" w:rsidP="00B5683C">
      <w:pPr>
        <w:jc w:val="both"/>
      </w:pPr>
      <w:r w:rsidRPr="00D57282">
        <w:t>(</w:t>
      </w:r>
      <w:r w:rsidRPr="00D57282">
        <w:rPr>
          <w:shd w:val="clear" w:color="auto" w:fill="FFFFFF"/>
        </w:rPr>
        <w:t>Guidelines from the American Headache Society recommend MRI over CT when neuroimaging is indicated for subacute or chronic headache, based on increased sensitivity and lack of radiation exposure, but this recommendation is not based on direct head-to-head trials.)</w:t>
      </w:r>
    </w:p>
    <w:p w14:paraId="2CE5073C" w14:textId="483F89F1" w:rsidR="001066C8" w:rsidRDefault="001066C8" w:rsidP="00B5683C">
      <w:pPr>
        <w:jc w:val="both"/>
      </w:pPr>
      <w:r>
        <w:t xml:space="preserve">3. </w:t>
      </w:r>
      <w:r w:rsidRPr="001066C8">
        <w:t>Incidental abnormalities are likely to be as high as 15%</w:t>
      </w:r>
      <w:r w:rsidR="00D57282">
        <w:t xml:space="preserve"> and can cause anxiety</w:t>
      </w:r>
      <w:r w:rsidRPr="001066C8">
        <w:t xml:space="preserve">. </w:t>
      </w:r>
      <w:r w:rsidR="00D57282">
        <w:t>E</w:t>
      </w:r>
      <w:r w:rsidRPr="001066C8">
        <w:t>nsure there is a local protocol to manage these and the patient anxiety arising from them.</w:t>
      </w:r>
    </w:p>
    <w:p w14:paraId="6666FC96" w14:textId="4209032C" w:rsidR="001066C8" w:rsidRDefault="001066C8" w:rsidP="00B5683C">
      <w:pPr>
        <w:jc w:val="both"/>
      </w:pPr>
      <w:r>
        <w:t xml:space="preserve">4. </w:t>
      </w:r>
      <w:r w:rsidRPr="001066C8">
        <w:t>Ensure a clear management advice channel with local radiolog</w:t>
      </w:r>
      <w:r>
        <w:t>ists.</w:t>
      </w:r>
    </w:p>
    <w:p w14:paraId="0FE8685D" w14:textId="45D80A3F" w:rsidR="001066C8" w:rsidRDefault="001066C8" w:rsidP="00B5683C">
      <w:pPr>
        <w:jc w:val="both"/>
      </w:pPr>
      <w:r>
        <w:t xml:space="preserve">5. </w:t>
      </w:r>
      <w:r w:rsidRPr="001066C8">
        <w:t>Monitor volumes, positive yields, incidental findings</w:t>
      </w:r>
      <w:r>
        <w:t>.</w:t>
      </w:r>
    </w:p>
    <w:p w14:paraId="7438F873" w14:textId="4FFFE858" w:rsidR="005E2B84" w:rsidRPr="001066C8" w:rsidRDefault="005E2B84" w:rsidP="00B5683C">
      <w:pPr>
        <w:jc w:val="both"/>
      </w:pPr>
      <w:r>
        <w:t>6. Consider educational opportunities for GPs. (See attached video – not completed)</w:t>
      </w:r>
    </w:p>
    <w:p w14:paraId="535D0A11" w14:textId="77777777" w:rsidR="001066C8" w:rsidRDefault="001066C8" w:rsidP="00B5683C">
      <w:pPr>
        <w:shd w:val="clear" w:color="auto" w:fill="FFFFFF"/>
        <w:spacing w:after="0" w:line="240" w:lineRule="auto"/>
        <w:rPr>
          <w:rFonts w:eastAsia="Times New Roman" w:cs="Times New Roman"/>
          <w:color w:val="000000" w:themeColor="text1"/>
          <w:kern w:val="0"/>
          <w:sz w:val="22"/>
          <w:szCs w:val="22"/>
          <w:lang w:eastAsia="en-GB"/>
          <w14:ligatures w14:val="none"/>
        </w:rPr>
      </w:pPr>
    </w:p>
    <w:p w14:paraId="52639CB2" w14:textId="23277575" w:rsidR="001066C8" w:rsidRPr="00037912" w:rsidRDefault="001066C8" w:rsidP="00F67775">
      <w:pPr>
        <w:shd w:val="clear" w:color="auto" w:fill="FFFFFF"/>
        <w:spacing w:after="0" w:line="240" w:lineRule="auto"/>
        <w:rPr>
          <w:rFonts w:eastAsia="Times New Roman" w:cs="Times New Roman"/>
          <w:color w:val="000000" w:themeColor="text1"/>
          <w:kern w:val="0"/>
          <w:sz w:val="32"/>
          <w:szCs w:val="32"/>
          <w:lang w:eastAsia="en-GB"/>
          <w14:ligatures w14:val="none"/>
        </w:rPr>
      </w:pPr>
      <w:r w:rsidRPr="00037912">
        <w:rPr>
          <w:rFonts w:eastAsia="Times New Roman" w:cs="Times New Roman"/>
          <w:color w:val="000000" w:themeColor="text1"/>
          <w:kern w:val="0"/>
          <w:sz w:val="32"/>
          <w:szCs w:val="32"/>
          <w:lang w:eastAsia="en-GB"/>
          <w14:ligatures w14:val="none"/>
        </w:rPr>
        <w:t>References</w:t>
      </w:r>
    </w:p>
    <w:p w14:paraId="746554AC" w14:textId="77777777" w:rsidR="001066C8" w:rsidRDefault="001066C8"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p>
    <w:p w14:paraId="531022C5" w14:textId="1ACD04CF" w:rsidR="00D57282" w:rsidRPr="00F67775" w:rsidRDefault="00F67775" w:rsidP="00F67775">
      <w:pPr>
        <w:shd w:val="clear" w:color="auto" w:fill="FFFFFF"/>
        <w:spacing w:after="60" w:line="240" w:lineRule="auto"/>
        <w:rPr>
          <w:rFonts w:eastAsia="Times New Roman" w:cs="Times New Roman"/>
          <w:color w:val="000000" w:themeColor="text1"/>
          <w:kern w:val="0"/>
          <w:sz w:val="22"/>
          <w:szCs w:val="22"/>
          <w:lang w:eastAsia="en-GB"/>
          <w14:ligatures w14:val="none"/>
        </w:rPr>
      </w:pPr>
      <w:r w:rsidRPr="00F67775">
        <w:rPr>
          <w:rFonts w:eastAsia="Times New Roman" w:cs="Times New Roman"/>
          <w:color w:val="000000" w:themeColor="text1"/>
          <w:kern w:val="0"/>
          <w:sz w:val="22"/>
          <w:szCs w:val="22"/>
          <w:lang w:eastAsia="en-GB"/>
          <w14:ligatures w14:val="none"/>
        </w:rPr>
        <w:t xml:space="preserve">Evans RW, Burch RC, Frishberg BM, et al. </w:t>
      </w:r>
      <w:hyperlink r:id="rId10" w:tgtFrame="_blank" w:history="1">
        <w:r w:rsidR="00D57282" w:rsidRPr="00F67775">
          <w:rPr>
            <w:rFonts w:eastAsia="Times New Roman" w:cs="Times New Roman"/>
            <w:color w:val="000000" w:themeColor="text1"/>
            <w:kern w:val="0"/>
            <w:sz w:val="22"/>
            <w:szCs w:val="22"/>
            <w:shd w:val="clear" w:color="auto" w:fill="FFFFFF"/>
            <w:lang w:eastAsia="en-GB"/>
            <w14:ligatures w14:val="none"/>
          </w:rPr>
          <w:t>Neuroimaging for Migraine: The American Headache Society Systematic Review and Evidence-Based Guideline.</w:t>
        </w:r>
      </w:hyperlink>
      <w:r w:rsidRPr="00F67775">
        <w:rPr>
          <w:sz w:val="22"/>
          <w:szCs w:val="22"/>
        </w:rPr>
        <w:t xml:space="preserve"> </w:t>
      </w:r>
      <w:r w:rsidR="00D57282" w:rsidRPr="00F67775">
        <w:rPr>
          <w:rFonts w:eastAsia="Times New Roman" w:cs="Times New Roman"/>
          <w:color w:val="000000" w:themeColor="text1"/>
          <w:kern w:val="0"/>
          <w:sz w:val="22"/>
          <w:szCs w:val="22"/>
          <w:lang w:eastAsia="en-GB"/>
          <w14:ligatures w14:val="none"/>
        </w:rPr>
        <w:t>Headache. 2020;60(2):318-336. doi:10.1111/head.13720.</w:t>
      </w:r>
    </w:p>
    <w:p w14:paraId="054D3B4A" w14:textId="77777777" w:rsidR="00F67775" w:rsidRPr="00F67775" w:rsidRDefault="00F67775" w:rsidP="00F67775">
      <w:pPr>
        <w:shd w:val="clear" w:color="auto" w:fill="FFFFFF"/>
        <w:spacing w:after="60" w:line="240" w:lineRule="auto"/>
        <w:rPr>
          <w:rFonts w:eastAsia="Times New Roman" w:cs="Times New Roman"/>
          <w:color w:val="000000" w:themeColor="text1"/>
          <w:kern w:val="0"/>
          <w:sz w:val="22"/>
          <w:szCs w:val="22"/>
          <w:lang w:eastAsia="en-GB"/>
          <w14:ligatures w14:val="none"/>
        </w:rPr>
      </w:pPr>
    </w:p>
    <w:p w14:paraId="2379A791" w14:textId="77777777" w:rsidR="00F67775" w:rsidRPr="00F67775" w:rsidRDefault="00F67775" w:rsidP="00F67775">
      <w:pPr>
        <w:spacing w:line="240" w:lineRule="auto"/>
        <w:jc w:val="both"/>
        <w:rPr>
          <w:rFonts w:cs="Arial"/>
          <w:color w:val="000000" w:themeColor="text1"/>
          <w:sz w:val="22"/>
          <w:szCs w:val="22"/>
          <w:shd w:val="clear" w:color="auto" w:fill="FFFFFF"/>
        </w:rPr>
      </w:pPr>
      <w:r w:rsidRPr="00F67775">
        <w:rPr>
          <w:rFonts w:cs="Arial"/>
          <w:color w:val="000000" w:themeColor="text1"/>
          <w:sz w:val="22"/>
          <w:szCs w:val="22"/>
          <w:shd w:val="clear" w:color="auto" w:fill="FFFFFF"/>
        </w:rPr>
        <w:t>Keeney E, Mohiuddin S, Zienius K, et al. Economic evaluation of GPs’ direct access to computed tomography for identification of brain tumours. European Journal of Cancer Care. 2021 Jan;30(1):e13345.</w:t>
      </w:r>
    </w:p>
    <w:p w14:paraId="7A255CD4" w14:textId="77777777" w:rsidR="00F67775" w:rsidRPr="00F67775" w:rsidRDefault="00F67775" w:rsidP="00F67775">
      <w:pPr>
        <w:shd w:val="clear" w:color="auto" w:fill="FFFFFF"/>
        <w:spacing w:after="60" w:line="240" w:lineRule="auto"/>
        <w:rPr>
          <w:rFonts w:eastAsia="Times New Roman" w:cs="Times New Roman"/>
          <w:color w:val="000000" w:themeColor="text1"/>
          <w:kern w:val="0"/>
          <w:sz w:val="22"/>
          <w:szCs w:val="22"/>
          <w:lang w:eastAsia="en-GB"/>
          <w14:ligatures w14:val="none"/>
        </w:rPr>
      </w:pPr>
    </w:p>
    <w:p w14:paraId="06672EC0" w14:textId="77777777" w:rsidR="00F67775" w:rsidRPr="00F67775" w:rsidRDefault="00F67775" w:rsidP="00F67775">
      <w:pPr>
        <w:spacing w:line="240" w:lineRule="auto"/>
        <w:jc w:val="both"/>
        <w:rPr>
          <w:rFonts w:cs="Arial"/>
          <w:color w:val="222222"/>
          <w:sz w:val="22"/>
          <w:szCs w:val="22"/>
          <w:shd w:val="clear" w:color="auto" w:fill="FFFFFF"/>
        </w:rPr>
      </w:pPr>
      <w:r w:rsidRPr="00F67775">
        <w:rPr>
          <w:rFonts w:cs="Arial"/>
          <w:color w:val="222222"/>
          <w:sz w:val="22"/>
          <w:szCs w:val="22"/>
          <w:shd w:val="clear" w:color="auto" w:fill="FFFFFF"/>
        </w:rPr>
        <w:t>Kernick DP, Ahmed F, Bahra A et al. Imaging patients with suspected brain tumour: guidance for primary care. British Journal of General Practice. 2008 Dec 1;58(557):880-5.</w:t>
      </w:r>
    </w:p>
    <w:p w14:paraId="2C50F749" w14:textId="77777777" w:rsidR="00F67775" w:rsidRPr="00F67775" w:rsidRDefault="00F67775" w:rsidP="00F67775">
      <w:pPr>
        <w:spacing w:line="240" w:lineRule="auto"/>
        <w:jc w:val="both"/>
        <w:rPr>
          <w:color w:val="000000" w:themeColor="text1"/>
          <w:sz w:val="22"/>
          <w:szCs w:val="22"/>
        </w:rPr>
      </w:pPr>
      <w:r w:rsidRPr="00F67775">
        <w:rPr>
          <w:rFonts w:cs="Arial"/>
          <w:color w:val="222222"/>
          <w:sz w:val="22"/>
          <w:szCs w:val="22"/>
          <w:shd w:val="clear" w:color="auto" w:fill="FFFFFF"/>
        </w:rPr>
        <w:t>Kernick D.  Goadsby P. Headache. A practical Manual. Oxford University Press. Oxford 2024.</w:t>
      </w:r>
    </w:p>
    <w:p w14:paraId="330EDFEA" w14:textId="5B3B9125" w:rsidR="00F67775" w:rsidRPr="00F67775" w:rsidRDefault="00F67775" w:rsidP="00F67775">
      <w:pPr>
        <w:spacing w:line="240" w:lineRule="auto"/>
        <w:jc w:val="both"/>
        <w:rPr>
          <w:sz w:val="22"/>
          <w:szCs w:val="22"/>
        </w:rPr>
      </w:pPr>
      <w:r w:rsidRPr="00F67775">
        <w:rPr>
          <w:sz w:val="22"/>
          <w:szCs w:val="22"/>
        </w:rPr>
        <w:t>Kernick D, Williams S. Should GPs have direct access to neuroradiological investigation when adults present with headache. British Journal of General Practice 2011;61:409-411.</w:t>
      </w:r>
    </w:p>
    <w:p w14:paraId="7C20F05B" w14:textId="7674A67B" w:rsidR="00F67775" w:rsidRPr="00F67775" w:rsidRDefault="00F67775"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r w:rsidRPr="00F67775">
        <w:rPr>
          <w:rFonts w:eastAsia="Times New Roman" w:cs="Times New Roman"/>
          <w:color w:val="000000" w:themeColor="text1"/>
          <w:kern w:val="0"/>
          <w:sz w:val="22"/>
          <w:szCs w:val="22"/>
          <w:lang w:eastAsia="en-GB"/>
          <w14:ligatures w14:val="none"/>
        </w:rPr>
        <w:t xml:space="preserve">Phelan A, Broughan J, McCombe G, et al. </w:t>
      </w:r>
      <w:hyperlink r:id="rId11" w:tgtFrame="_blank" w:history="1">
        <w:r w:rsidRPr="00F67775">
          <w:rPr>
            <w:rFonts w:eastAsia="Times New Roman" w:cs="Times New Roman"/>
            <w:color w:val="000000" w:themeColor="text1"/>
            <w:kern w:val="0"/>
            <w:sz w:val="22"/>
            <w:szCs w:val="22"/>
            <w:lang w:eastAsia="en-GB"/>
            <w14:ligatures w14:val="none"/>
          </w:rPr>
          <w:t>Impact of Enhancing GP Access to Diagnostic Imaging: A Scoping Review.</w:t>
        </w:r>
      </w:hyperlink>
      <w:r w:rsidRPr="00F67775">
        <w:rPr>
          <w:sz w:val="22"/>
          <w:szCs w:val="22"/>
        </w:rPr>
        <w:t xml:space="preserve"> </w:t>
      </w:r>
      <w:r w:rsidRPr="00F67775">
        <w:rPr>
          <w:rFonts w:eastAsia="Times New Roman" w:cs="Times New Roman"/>
          <w:color w:val="000000" w:themeColor="text1"/>
          <w:kern w:val="0"/>
          <w:sz w:val="22"/>
          <w:szCs w:val="22"/>
          <w:lang w:eastAsia="en-GB"/>
          <w14:ligatures w14:val="none"/>
        </w:rPr>
        <w:t xml:space="preserve">PloS One. 2023;18(3):e0281461. </w:t>
      </w:r>
    </w:p>
    <w:p w14:paraId="46E00AFB" w14:textId="77777777" w:rsidR="00F67775" w:rsidRPr="00F67775" w:rsidRDefault="00F67775" w:rsidP="00F67775">
      <w:pPr>
        <w:spacing w:line="240" w:lineRule="auto"/>
        <w:jc w:val="both"/>
        <w:rPr>
          <w:rFonts w:cs="Arial"/>
          <w:color w:val="000000" w:themeColor="text1"/>
          <w:sz w:val="22"/>
          <w:szCs w:val="22"/>
          <w:shd w:val="clear" w:color="auto" w:fill="FFFFFF"/>
        </w:rPr>
      </w:pPr>
      <w:r w:rsidRPr="00F67775">
        <w:rPr>
          <w:rFonts w:cs="Arial"/>
          <w:color w:val="000000" w:themeColor="text1"/>
          <w:sz w:val="22"/>
          <w:szCs w:val="22"/>
          <w:shd w:val="clear" w:color="auto" w:fill="FFFFFF"/>
        </w:rPr>
        <w:t xml:space="preserve"> </w:t>
      </w:r>
    </w:p>
    <w:p w14:paraId="12615C68" w14:textId="70E61C7E" w:rsidR="00B5683C" w:rsidRPr="00F67775" w:rsidRDefault="00F67775" w:rsidP="00F67775">
      <w:pPr>
        <w:spacing w:line="240" w:lineRule="auto"/>
        <w:jc w:val="both"/>
        <w:rPr>
          <w:rFonts w:eastAsia="Times New Roman" w:cs="Times New Roman"/>
          <w:color w:val="000000" w:themeColor="text1"/>
          <w:kern w:val="0"/>
          <w:sz w:val="22"/>
          <w:szCs w:val="22"/>
          <w:lang w:eastAsia="en-GB"/>
          <w14:ligatures w14:val="none"/>
        </w:rPr>
      </w:pPr>
      <w:r w:rsidRPr="00F67775">
        <w:rPr>
          <w:rFonts w:eastAsia="Times New Roman" w:cs="Times New Roman"/>
          <w:color w:val="000000" w:themeColor="text1"/>
          <w:kern w:val="0"/>
          <w:sz w:val="22"/>
          <w:szCs w:val="22"/>
          <w:lang w:eastAsia="en-GB"/>
          <w14:ligatures w14:val="none"/>
        </w:rPr>
        <w:t xml:space="preserve">Rua T, Mazumder A, Akande Y, et al. </w:t>
      </w:r>
      <w:hyperlink r:id="rId12" w:tgtFrame="_blank" w:history="1">
        <w:r w:rsidR="00B5683C" w:rsidRPr="00F67775">
          <w:rPr>
            <w:rFonts w:eastAsia="Times New Roman" w:cs="Times New Roman"/>
            <w:color w:val="000000" w:themeColor="text1"/>
            <w:kern w:val="0"/>
            <w:sz w:val="22"/>
            <w:szCs w:val="22"/>
            <w:lang w:eastAsia="en-GB"/>
            <w14:ligatures w14:val="none"/>
          </w:rPr>
          <w:t xml:space="preserve">Management of Chronic Headache </w:t>
        </w:r>
        <w:r w:rsidR="00645B69" w:rsidRPr="00F67775">
          <w:rPr>
            <w:rFonts w:eastAsia="Times New Roman" w:cs="Times New Roman"/>
            <w:color w:val="000000" w:themeColor="text1"/>
            <w:kern w:val="0"/>
            <w:sz w:val="22"/>
            <w:szCs w:val="22"/>
            <w:lang w:eastAsia="en-GB"/>
            <w14:ligatures w14:val="none"/>
          </w:rPr>
          <w:t>with</w:t>
        </w:r>
        <w:r w:rsidR="00B5683C" w:rsidRPr="00F67775">
          <w:rPr>
            <w:rFonts w:eastAsia="Times New Roman" w:cs="Times New Roman"/>
            <w:color w:val="000000" w:themeColor="text1"/>
            <w:kern w:val="0"/>
            <w:sz w:val="22"/>
            <w:szCs w:val="22"/>
            <w:lang w:eastAsia="en-GB"/>
            <w14:ligatures w14:val="none"/>
          </w:rPr>
          <w:t xml:space="preserve"> Referral </w:t>
        </w:r>
        <w:r w:rsidR="00645B69" w:rsidRPr="00F67775">
          <w:rPr>
            <w:rFonts w:eastAsia="Times New Roman" w:cs="Times New Roman"/>
            <w:color w:val="000000" w:themeColor="text1"/>
            <w:kern w:val="0"/>
            <w:sz w:val="22"/>
            <w:szCs w:val="22"/>
            <w:lang w:eastAsia="en-GB"/>
            <w14:ligatures w14:val="none"/>
          </w:rPr>
          <w:t>f</w:t>
        </w:r>
        <w:r w:rsidR="00B5683C" w:rsidRPr="00F67775">
          <w:rPr>
            <w:rFonts w:eastAsia="Times New Roman" w:cs="Times New Roman"/>
            <w:color w:val="000000" w:themeColor="text1"/>
            <w:kern w:val="0"/>
            <w:sz w:val="22"/>
            <w:szCs w:val="22"/>
            <w:lang w:eastAsia="en-GB"/>
            <w14:ligatures w14:val="none"/>
          </w:rPr>
          <w:t xml:space="preserve">rom Primary Care to Direct Access to MRI Compared </w:t>
        </w:r>
        <w:r w:rsidR="00645B69" w:rsidRPr="00F67775">
          <w:rPr>
            <w:rFonts w:eastAsia="Times New Roman" w:cs="Times New Roman"/>
            <w:color w:val="000000" w:themeColor="text1"/>
            <w:kern w:val="0"/>
            <w:sz w:val="22"/>
            <w:szCs w:val="22"/>
            <w:lang w:eastAsia="en-GB"/>
            <w14:ligatures w14:val="none"/>
          </w:rPr>
          <w:t>with</w:t>
        </w:r>
        <w:r w:rsidR="00B5683C" w:rsidRPr="00F67775">
          <w:rPr>
            <w:rFonts w:eastAsia="Times New Roman" w:cs="Times New Roman"/>
            <w:color w:val="000000" w:themeColor="text1"/>
            <w:kern w:val="0"/>
            <w:sz w:val="22"/>
            <w:szCs w:val="22"/>
            <w:lang w:eastAsia="en-GB"/>
            <w14:ligatures w14:val="none"/>
          </w:rPr>
          <w:t xml:space="preserve"> Neurology Services: An Observational Prospective Study in London.</w:t>
        </w:r>
      </w:hyperlink>
      <w:r w:rsidRPr="00F67775">
        <w:rPr>
          <w:sz w:val="22"/>
          <w:szCs w:val="22"/>
        </w:rPr>
        <w:t xml:space="preserve"> </w:t>
      </w:r>
      <w:r w:rsidR="00B5683C" w:rsidRPr="00F67775">
        <w:rPr>
          <w:rFonts w:eastAsia="Times New Roman" w:cs="Times New Roman"/>
          <w:color w:val="000000" w:themeColor="text1"/>
          <w:kern w:val="0"/>
          <w:sz w:val="22"/>
          <w:szCs w:val="22"/>
          <w:lang w:eastAsia="en-GB"/>
          <w14:ligatures w14:val="none"/>
        </w:rPr>
        <w:t>BMJ Open. 2020;10(10):e036097. doi:10.1136/bmjopen-2019-036097.</w:t>
      </w:r>
    </w:p>
    <w:p w14:paraId="2A27F2BD" w14:textId="77777777" w:rsidR="00F67775" w:rsidRPr="00F67775" w:rsidRDefault="00F67775"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r w:rsidRPr="00F67775">
        <w:rPr>
          <w:rFonts w:eastAsia="Times New Roman" w:cs="Times New Roman"/>
          <w:color w:val="000000" w:themeColor="text1"/>
          <w:kern w:val="0"/>
          <w:sz w:val="22"/>
          <w:szCs w:val="22"/>
          <w:lang w:eastAsia="en-GB"/>
          <w14:ligatures w14:val="none"/>
        </w:rPr>
        <w:t xml:space="preserve">Taylor TR, Evangelou N, Porter H, et al. </w:t>
      </w:r>
      <w:hyperlink r:id="rId13" w:tgtFrame="_blank" w:history="1">
        <w:r w:rsidRPr="00F67775">
          <w:rPr>
            <w:rFonts w:eastAsia="Times New Roman" w:cs="Times New Roman"/>
            <w:color w:val="000000" w:themeColor="text1"/>
            <w:kern w:val="0"/>
            <w:sz w:val="22"/>
            <w:szCs w:val="22"/>
            <w:lang w:eastAsia="en-GB"/>
            <w14:ligatures w14:val="none"/>
          </w:rPr>
          <w:t>Primary Care Direct Access MRI for the Investigation of Chronic Headache.</w:t>
        </w:r>
      </w:hyperlink>
      <w:r w:rsidRPr="00F67775">
        <w:rPr>
          <w:sz w:val="22"/>
          <w:szCs w:val="22"/>
        </w:rPr>
        <w:t xml:space="preserve"> </w:t>
      </w:r>
      <w:r w:rsidRPr="00F67775">
        <w:rPr>
          <w:rFonts w:eastAsia="Times New Roman" w:cs="Times New Roman"/>
          <w:color w:val="000000" w:themeColor="text1"/>
          <w:kern w:val="0"/>
          <w:sz w:val="22"/>
          <w:szCs w:val="22"/>
          <w:lang w:eastAsia="en-GB"/>
          <w14:ligatures w14:val="none"/>
        </w:rPr>
        <w:t>Clinical Radiology. 2012;67(1):24-7. doi:10.1016/j.crad.2011.02.006.</w:t>
      </w:r>
    </w:p>
    <w:p w14:paraId="3C22CAFD" w14:textId="27E5C73E" w:rsidR="00B5683C" w:rsidRPr="00F67775" w:rsidRDefault="00B5683C"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p>
    <w:p w14:paraId="5A4F30B1" w14:textId="309FADC7" w:rsidR="00B5683C" w:rsidRPr="00F67775" w:rsidRDefault="00F67775"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r w:rsidRPr="00F67775">
        <w:rPr>
          <w:rFonts w:eastAsia="Times New Roman" w:cs="Times New Roman"/>
          <w:color w:val="000000" w:themeColor="text1"/>
          <w:kern w:val="0"/>
          <w:sz w:val="22"/>
          <w:szCs w:val="22"/>
          <w:lang w:eastAsia="en-GB"/>
          <w14:ligatures w14:val="none"/>
        </w:rPr>
        <w:t xml:space="preserve">Thomas R, Cook A, Main G, et al. </w:t>
      </w:r>
      <w:hyperlink r:id="rId14" w:tgtFrame="_blank" w:history="1">
        <w:r w:rsidR="00B5683C" w:rsidRPr="00F67775">
          <w:rPr>
            <w:rFonts w:eastAsia="Times New Roman" w:cs="Times New Roman"/>
            <w:color w:val="000000" w:themeColor="text1"/>
            <w:kern w:val="0"/>
            <w:sz w:val="22"/>
            <w:szCs w:val="22"/>
            <w:lang w:eastAsia="en-GB"/>
            <w14:ligatures w14:val="none"/>
          </w:rPr>
          <w:t>Primary Care Access to Computed Tomography for Chronic Headache.</w:t>
        </w:r>
      </w:hyperlink>
      <w:r w:rsidRPr="00F67775">
        <w:rPr>
          <w:sz w:val="22"/>
          <w:szCs w:val="22"/>
        </w:rPr>
        <w:t xml:space="preserve"> </w:t>
      </w:r>
      <w:r w:rsidR="00B5683C" w:rsidRPr="00F67775">
        <w:rPr>
          <w:rFonts w:eastAsia="Times New Roman" w:cs="Times New Roman"/>
          <w:color w:val="000000" w:themeColor="text1"/>
          <w:kern w:val="0"/>
          <w:sz w:val="22"/>
          <w:szCs w:val="22"/>
          <w:lang w:eastAsia="en-GB"/>
          <w14:ligatures w14:val="none"/>
        </w:rPr>
        <w:t xml:space="preserve">The British Journal of General </w:t>
      </w:r>
      <w:r w:rsidR="00645B69" w:rsidRPr="00F67775">
        <w:rPr>
          <w:rFonts w:eastAsia="Times New Roman" w:cs="Times New Roman"/>
          <w:color w:val="000000" w:themeColor="text1"/>
          <w:kern w:val="0"/>
          <w:sz w:val="22"/>
          <w:szCs w:val="22"/>
          <w:lang w:eastAsia="en-GB"/>
          <w14:ligatures w14:val="none"/>
        </w:rPr>
        <w:t>Practice:</w:t>
      </w:r>
      <w:r w:rsidR="00B5683C" w:rsidRPr="00F67775">
        <w:rPr>
          <w:rFonts w:eastAsia="Times New Roman" w:cs="Times New Roman"/>
          <w:color w:val="000000" w:themeColor="text1"/>
          <w:kern w:val="0"/>
          <w:sz w:val="22"/>
          <w:szCs w:val="22"/>
          <w:lang w:eastAsia="en-GB"/>
          <w14:ligatures w14:val="none"/>
        </w:rPr>
        <w:t xml:space="preserve"> The Journal of the Royal College of General Practitioners. 2010;60(575):426-30. doi:10.3399/bjgp10X502146.</w:t>
      </w:r>
    </w:p>
    <w:p w14:paraId="2B0BD097" w14:textId="29B2CCE7" w:rsidR="00B5683C" w:rsidRPr="00F67775" w:rsidRDefault="00B5683C" w:rsidP="00F67775">
      <w:pPr>
        <w:shd w:val="clear" w:color="auto" w:fill="FFFFFF"/>
        <w:spacing w:after="0" w:line="240" w:lineRule="auto"/>
        <w:rPr>
          <w:rFonts w:eastAsia="Times New Roman" w:cs="Times New Roman"/>
          <w:color w:val="000000" w:themeColor="text1"/>
          <w:kern w:val="0"/>
          <w:sz w:val="22"/>
          <w:szCs w:val="22"/>
          <w:lang w:eastAsia="en-GB"/>
          <w14:ligatures w14:val="none"/>
        </w:rPr>
      </w:pPr>
    </w:p>
    <w:p w14:paraId="3A428124" w14:textId="01B415EF" w:rsidR="00894A63" w:rsidRPr="00F67775" w:rsidRDefault="00894A63" w:rsidP="00F67775">
      <w:pPr>
        <w:spacing w:line="240" w:lineRule="auto"/>
        <w:jc w:val="both"/>
        <w:rPr>
          <w:rFonts w:cs="Arial"/>
          <w:color w:val="222222"/>
          <w:sz w:val="22"/>
          <w:szCs w:val="22"/>
          <w:shd w:val="clear" w:color="auto" w:fill="FFFFFF"/>
        </w:rPr>
      </w:pPr>
      <w:r w:rsidRPr="00F67775">
        <w:rPr>
          <w:rFonts w:cs="Arial"/>
          <w:color w:val="222222"/>
          <w:sz w:val="22"/>
          <w:szCs w:val="22"/>
          <w:shd w:val="clear" w:color="auto" w:fill="FFFFFF"/>
        </w:rPr>
        <w:t xml:space="preserve">Zienius K, Chak-Lam I, Park J, </w:t>
      </w:r>
      <w:r w:rsidR="00F67775" w:rsidRPr="00F67775">
        <w:rPr>
          <w:rFonts w:cs="Arial"/>
          <w:color w:val="222222"/>
          <w:sz w:val="22"/>
          <w:szCs w:val="22"/>
          <w:shd w:val="clear" w:color="auto" w:fill="FFFFFF"/>
        </w:rPr>
        <w:t>et al</w:t>
      </w:r>
      <w:r w:rsidRPr="00F67775">
        <w:rPr>
          <w:rFonts w:cs="Arial"/>
          <w:color w:val="222222"/>
          <w:sz w:val="22"/>
          <w:szCs w:val="22"/>
          <w:shd w:val="clear" w:color="auto" w:fill="FFFFFF"/>
        </w:rPr>
        <w:t>. Direct access CT for suspicion of brain tumour: an analysis of referral pathways in a population-based patient group. BMC Family Practice. 2019 Dec;20:1-0.</w:t>
      </w:r>
    </w:p>
    <w:sectPr w:rsidR="00894A63" w:rsidRPr="00F6777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C9AE" w14:textId="77777777" w:rsidR="00351FC3" w:rsidRDefault="00351FC3" w:rsidP="00F165D8">
      <w:pPr>
        <w:spacing w:after="0" w:line="240" w:lineRule="auto"/>
      </w:pPr>
      <w:r>
        <w:separator/>
      </w:r>
    </w:p>
  </w:endnote>
  <w:endnote w:type="continuationSeparator" w:id="0">
    <w:p w14:paraId="649765CD" w14:textId="77777777" w:rsidR="00351FC3" w:rsidRDefault="00351FC3" w:rsidP="00F1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59130"/>
      <w:docPartObj>
        <w:docPartGallery w:val="Page Numbers (Bottom of Page)"/>
        <w:docPartUnique/>
      </w:docPartObj>
    </w:sdtPr>
    <w:sdtEndPr>
      <w:rPr>
        <w:noProof/>
      </w:rPr>
    </w:sdtEndPr>
    <w:sdtContent>
      <w:p w14:paraId="0CB70529" w14:textId="761D79F6" w:rsidR="00F165D8" w:rsidRDefault="00F165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09E40" w14:textId="77777777" w:rsidR="00F165D8" w:rsidRDefault="00F1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FBAE" w14:textId="77777777" w:rsidR="00351FC3" w:rsidRDefault="00351FC3" w:rsidP="00F165D8">
      <w:pPr>
        <w:spacing w:after="0" w:line="240" w:lineRule="auto"/>
      </w:pPr>
      <w:r>
        <w:separator/>
      </w:r>
    </w:p>
  </w:footnote>
  <w:footnote w:type="continuationSeparator" w:id="0">
    <w:p w14:paraId="3E42475C" w14:textId="77777777" w:rsidR="00351FC3" w:rsidRDefault="00351FC3" w:rsidP="00F16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0F70"/>
    <w:multiLevelType w:val="hybridMultilevel"/>
    <w:tmpl w:val="F520867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45EA70A2"/>
    <w:multiLevelType w:val="hybridMultilevel"/>
    <w:tmpl w:val="A760B870"/>
    <w:lvl w:ilvl="0" w:tplc="10CCC9BE">
      <w:start w:val="1"/>
      <w:numFmt w:val="bullet"/>
      <w:lvlText w:val="•"/>
      <w:lvlJc w:val="left"/>
    </w:lvl>
    <w:lvl w:ilvl="1" w:tplc="1C544224">
      <w:start w:val="1"/>
      <w:numFmt w:val="bullet"/>
      <w:lvlText w:val="o"/>
      <w:lvlJc w:val="left"/>
    </w:lvl>
    <w:lvl w:ilvl="2" w:tplc="CF5A42CC">
      <w:numFmt w:val="decimal"/>
      <w:lvlText w:val=""/>
      <w:lvlJc w:val="left"/>
    </w:lvl>
    <w:lvl w:ilvl="3" w:tplc="F2E4AC50">
      <w:numFmt w:val="decimal"/>
      <w:lvlText w:val=""/>
      <w:lvlJc w:val="left"/>
    </w:lvl>
    <w:lvl w:ilvl="4" w:tplc="184A28C8">
      <w:numFmt w:val="decimal"/>
      <w:lvlText w:val=""/>
      <w:lvlJc w:val="left"/>
    </w:lvl>
    <w:lvl w:ilvl="5" w:tplc="086EA4CE">
      <w:numFmt w:val="decimal"/>
      <w:lvlText w:val=""/>
      <w:lvlJc w:val="left"/>
    </w:lvl>
    <w:lvl w:ilvl="6" w:tplc="E78A48E6">
      <w:numFmt w:val="decimal"/>
      <w:lvlText w:val=""/>
      <w:lvlJc w:val="left"/>
    </w:lvl>
    <w:lvl w:ilvl="7" w:tplc="33AA7F96">
      <w:numFmt w:val="decimal"/>
      <w:lvlText w:val=""/>
      <w:lvlJc w:val="left"/>
    </w:lvl>
    <w:lvl w:ilvl="8" w:tplc="FFB68ED6">
      <w:numFmt w:val="decimal"/>
      <w:lvlText w:val=""/>
      <w:lvlJc w:val="left"/>
    </w:lvl>
  </w:abstractNum>
  <w:abstractNum w:abstractNumId="2" w15:restartNumberingAfterBreak="0">
    <w:nsid w:val="7CCB49AE"/>
    <w:multiLevelType w:val="hybridMultilevel"/>
    <w:tmpl w:val="D36C8D26"/>
    <w:lvl w:ilvl="0" w:tplc="85E4FF0C">
      <w:start w:val="1"/>
      <w:numFmt w:val="bullet"/>
      <w:lvlText w:val="•"/>
      <w:lvlJc w:val="left"/>
    </w:lvl>
    <w:lvl w:ilvl="1" w:tplc="2500F91A">
      <w:start w:val="1"/>
      <w:numFmt w:val="bullet"/>
      <w:lvlText w:val="o"/>
      <w:lvlJc w:val="left"/>
    </w:lvl>
    <w:lvl w:ilvl="2" w:tplc="0EBCC35E">
      <w:numFmt w:val="decimal"/>
      <w:lvlText w:val=""/>
      <w:lvlJc w:val="left"/>
    </w:lvl>
    <w:lvl w:ilvl="3" w:tplc="983CD1F0">
      <w:numFmt w:val="decimal"/>
      <w:lvlText w:val=""/>
      <w:lvlJc w:val="left"/>
    </w:lvl>
    <w:lvl w:ilvl="4" w:tplc="5E74EC9E">
      <w:numFmt w:val="decimal"/>
      <w:lvlText w:val=""/>
      <w:lvlJc w:val="left"/>
    </w:lvl>
    <w:lvl w:ilvl="5" w:tplc="1CF67B7C">
      <w:numFmt w:val="decimal"/>
      <w:lvlText w:val=""/>
      <w:lvlJc w:val="left"/>
    </w:lvl>
    <w:lvl w:ilvl="6" w:tplc="AA702E88">
      <w:numFmt w:val="decimal"/>
      <w:lvlText w:val=""/>
      <w:lvlJc w:val="left"/>
    </w:lvl>
    <w:lvl w:ilvl="7" w:tplc="6B96BFEC">
      <w:numFmt w:val="decimal"/>
      <w:lvlText w:val=""/>
      <w:lvlJc w:val="left"/>
    </w:lvl>
    <w:lvl w:ilvl="8" w:tplc="35A43FD8">
      <w:numFmt w:val="decimal"/>
      <w:lvlText w:val=""/>
      <w:lvlJc w:val="left"/>
    </w:lvl>
  </w:abstractNum>
  <w:num w:numId="1" w16cid:durableId="890842397">
    <w:abstractNumId w:val="1"/>
  </w:num>
  <w:num w:numId="2" w16cid:durableId="1919172029">
    <w:abstractNumId w:val="2"/>
  </w:num>
  <w:num w:numId="3" w16cid:durableId="191130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3C"/>
    <w:rsid w:val="00037912"/>
    <w:rsid w:val="00092AAC"/>
    <w:rsid w:val="001066C8"/>
    <w:rsid w:val="0015140F"/>
    <w:rsid w:val="002648BB"/>
    <w:rsid w:val="002865DC"/>
    <w:rsid w:val="002F5211"/>
    <w:rsid w:val="00300548"/>
    <w:rsid w:val="00351FC3"/>
    <w:rsid w:val="00396931"/>
    <w:rsid w:val="003D4A76"/>
    <w:rsid w:val="005419EE"/>
    <w:rsid w:val="005E2B84"/>
    <w:rsid w:val="00645B69"/>
    <w:rsid w:val="006A5208"/>
    <w:rsid w:val="007915C1"/>
    <w:rsid w:val="00800674"/>
    <w:rsid w:val="00894A63"/>
    <w:rsid w:val="008958FD"/>
    <w:rsid w:val="008B7D78"/>
    <w:rsid w:val="008F7ABC"/>
    <w:rsid w:val="00A644E0"/>
    <w:rsid w:val="00A86C2E"/>
    <w:rsid w:val="00AF7063"/>
    <w:rsid w:val="00B479F4"/>
    <w:rsid w:val="00B5683C"/>
    <w:rsid w:val="00C22CC2"/>
    <w:rsid w:val="00D011EB"/>
    <w:rsid w:val="00D51EEA"/>
    <w:rsid w:val="00D53827"/>
    <w:rsid w:val="00D57282"/>
    <w:rsid w:val="00D96D8A"/>
    <w:rsid w:val="00E749A5"/>
    <w:rsid w:val="00F165D8"/>
    <w:rsid w:val="00F67775"/>
    <w:rsid w:val="00FA41F2"/>
    <w:rsid w:val="00FA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5DA5"/>
  <w15:chartTrackingRefBased/>
  <w15:docId w15:val="{16810195-0FEA-4B4F-958E-303F7929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83C"/>
    <w:rPr>
      <w:rFonts w:eastAsiaTheme="majorEastAsia" w:cstheme="majorBidi"/>
      <w:color w:val="272727" w:themeColor="text1" w:themeTint="D8"/>
    </w:rPr>
  </w:style>
  <w:style w:type="paragraph" w:styleId="Title">
    <w:name w:val="Title"/>
    <w:basedOn w:val="Normal"/>
    <w:next w:val="Normal"/>
    <w:link w:val="TitleChar"/>
    <w:uiPriority w:val="10"/>
    <w:qFormat/>
    <w:rsid w:val="00B56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83C"/>
    <w:pPr>
      <w:spacing w:before="160"/>
      <w:jc w:val="center"/>
    </w:pPr>
    <w:rPr>
      <w:i/>
      <w:iCs/>
      <w:color w:val="404040" w:themeColor="text1" w:themeTint="BF"/>
    </w:rPr>
  </w:style>
  <w:style w:type="character" w:customStyle="1" w:styleId="QuoteChar">
    <w:name w:val="Quote Char"/>
    <w:basedOn w:val="DefaultParagraphFont"/>
    <w:link w:val="Quote"/>
    <w:uiPriority w:val="29"/>
    <w:rsid w:val="00B5683C"/>
    <w:rPr>
      <w:i/>
      <w:iCs/>
      <w:color w:val="404040" w:themeColor="text1" w:themeTint="BF"/>
    </w:rPr>
  </w:style>
  <w:style w:type="paragraph" w:styleId="ListParagraph">
    <w:name w:val="List Paragraph"/>
    <w:basedOn w:val="Normal"/>
    <w:uiPriority w:val="34"/>
    <w:qFormat/>
    <w:rsid w:val="00B5683C"/>
    <w:pPr>
      <w:ind w:left="720"/>
      <w:contextualSpacing/>
    </w:pPr>
  </w:style>
  <w:style w:type="character" w:styleId="IntenseEmphasis">
    <w:name w:val="Intense Emphasis"/>
    <w:basedOn w:val="DefaultParagraphFont"/>
    <w:uiPriority w:val="21"/>
    <w:qFormat/>
    <w:rsid w:val="00B5683C"/>
    <w:rPr>
      <w:i/>
      <w:iCs/>
      <w:color w:val="0F4761" w:themeColor="accent1" w:themeShade="BF"/>
    </w:rPr>
  </w:style>
  <w:style w:type="paragraph" w:styleId="IntenseQuote">
    <w:name w:val="Intense Quote"/>
    <w:basedOn w:val="Normal"/>
    <w:next w:val="Normal"/>
    <w:link w:val="IntenseQuoteChar"/>
    <w:uiPriority w:val="30"/>
    <w:qFormat/>
    <w:rsid w:val="00B56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83C"/>
    <w:rPr>
      <w:i/>
      <w:iCs/>
      <w:color w:val="0F4761" w:themeColor="accent1" w:themeShade="BF"/>
    </w:rPr>
  </w:style>
  <w:style w:type="character" w:styleId="IntenseReference">
    <w:name w:val="Intense Reference"/>
    <w:basedOn w:val="DefaultParagraphFont"/>
    <w:uiPriority w:val="32"/>
    <w:qFormat/>
    <w:rsid w:val="00B5683C"/>
    <w:rPr>
      <w:b/>
      <w:bCs/>
      <w:smallCaps/>
      <w:color w:val="0F4761" w:themeColor="accent1" w:themeShade="BF"/>
      <w:spacing w:val="5"/>
    </w:rPr>
  </w:style>
  <w:style w:type="table" w:styleId="TableGrid">
    <w:name w:val="Table Grid"/>
    <w:basedOn w:val="TableNormal"/>
    <w:uiPriority w:val="59"/>
    <w:rsid w:val="006A5208"/>
    <w:pPr>
      <w:spacing w:after="0" w:line="240" w:lineRule="auto"/>
    </w:pPr>
    <w:rPr>
      <w:rFonts w:ascii="Calibri" w:eastAsia="Calibri" w:hAnsi="Calibri" w:cs="Times New Roman"/>
      <w:color w:val="000000"/>
      <w:kern w:val="0"/>
      <w:sz w:val="22"/>
      <w:szCs w:val="20"/>
      <w:lang w:eastAsia="en-GB"/>
      <w14:ligatures w14:val="none"/>
    </w:rPr>
    <w:tblPr>
      <w:tblBorders>
        <w:top w:val="single" w:sz="8" w:space="0" w:color="000000"/>
        <w:bottom w:val="single" w:sz="8" w:space="0" w:color="000000"/>
        <w:insideH w:val="dotted" w:sz="4" w:space="0" w:color="auto"/>
      </w:tblBorders>
    </w:tblPr>
    <w:tcPr>
      <w:shd w:val="clear" w:color="auto" w:fill="D9D9D9"/>
    </w:tcPr>
  </w:style>
  <w:style w:type="paragraph" w:styleId="Header">
    <w:name w:val="header"/>
    <w:basedOn w:val="Normal"/>
    <w:link w:val="HeaderChar"/>
    <w:uiPriority w:val="99"/>
    <w:unhideWhenUsed/>
    <w:rsid w:val="00F16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5D8"/>
  </w:style>
  <w:style w:type="paragraph" w:styleId="Footer">
    <w:name w:val="footer"/>
    <w:basedOn w:val="Normal"/>
    <w:link w:val="FooterChar"/>
    <w:uiPriority w:val="99"/>
    <w:unhideWhenUsed/>
    <w:rsid w:val="00F16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pubmed.ncbi.nlm.nih.gov/220883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med.ncbi.nlm.nih.gov/3306727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68978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3189119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med.ncbi.nlm.nih.gov/20529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1724</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Kernick, David</dc:creator>
  <cp:keywords/>
  <dc:description/>
  <cp:lastModifiedBy>KERNICK, David (GP LOCUM)</cp:lastModifiedBy>
  <cp:revision>16</cp:revision>
  <dcterms:created xsi:type="dcterms:W3CDTF">2025-07-04T09:35:00Z</dcterms:created>
  <dcterms:modified xsi:type="dcterms:W3CDTF">2025-11-21T10:14:00Z</dcterms:modified>
</cp:coreProperties>
</file>