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1290" w14:textId="3A93B60D" w:rsidR="00805B85" w:rsidRDefault="00805B85" w:rsidP="00805B85">
      <w:r w:rsidRPr="00805B85">
        <w:rPr>
          <w:b/>
          <w:bCs/>
        </w:rPr>
        <w:t>Summary of Lecture</w:t>
      </w:r>
      <w:r>
        <w:rPr>
          <w:b/>
          <w:bCs/>
        </w:rPr>
        <w:t xml:space="preserve">s </w:t>
      </w:r>
    </w:p>
    <w:p w14:paraId="22F44227" w14:textId="4FBBDA00" w:rsidR="00805B85" w:rsidRDefault="00805B85" w:rsidP="00805B85">
      <w:r>
        <w:rPr>
          <w:rStyle w:val="Strong"/>
        </w:rPr>
        <w:t>Event:</w:t>
      </w:r>
      <w:r>
        <w:t xml:space="preserve"> European Headache Congress (EHC)</w:t>
      </w:r>
    </w:p>
    <w:p w14:paraId="74A72490" w14:textId="4B329E19" w:rsidR="00805B85" w:rsidRDefault="00805B85" w:rsidP="00805B85">
      <w:pPr>
        <w:rPr>
          <w:b/>
          <w:bCs/>
        </w:rPr>
      </w:pPr>
      <w:r w:rsidRPr="00805B85">
        <w:rPr>
          <w:b/>
          <w:bCs/>
        </w:rPr>
        <w:t>Date:</w:t>
      </w:r>
      <w:r w:rsidRPr="00805B85">
        <w:t xml:space="preserve"> 04/12/2025</w:t>
      </w:r>
    </w:p>
    <w:p w14:paraId="25972555" w14:textId="77777777" w:rsidR="00805B85" w:rsidRDefault="00805B85" w:rsidP="00805B85">
      <w:pPr>
        <w:rPr>
          <w:b/>
          <w:bCs/>
        </w:rPr>
      </w:pPr>
    </w:p>
    <w:p w14:paraId="75574E40" w14:textId="77777777" w:rsidR="00805B85" w:rsidRDefault="00805B85" w:rsidP="00805B85">
      <w:pPr>
        <w:pStyle w:val="ListParagraph"/>
        <w:numPr>
          <w:ilvl w:val="0"/>
          <w:numId w:val="1"/>
        </w:numPr>
      </w:pPr>
      <w:r>
        <w:rPr>
          <w:b/>
          <w:bCs/>
        </w:rPr>
        <w:t xml:space="preserve"> </w:t>
      </w:r>
      <w:r w:rsidRPr="00805B85">
        <w:rPr>
          <w:b/>
          <w:bCs/>
        </w:rPr>
        <w:t>CGRP as a Migraine Biomarker</w:t>
      </w:r>
    </w:p>
    <w:p w14:paraId="730AA0E9" w14:textId="77777777" w:rsidR="00805B85" w:rsidRDefault="00805B85" w:rsidP="00805B85">
      <w:pPr>
        <w:ind w:left="360"/>
        <w:rPr>
          <w:b/>
          <w:bCs/>
        </w:rPr>
      </w:pPr>
    </w:p>
    <w:p w14:paraId="41168D21" w14:textId="77777777" w:rsidR="00C01B98" w:rsidRDefault="00805B85" w:rsidP="00805B85">
      <w:pPr>
        <w:ind w:left="360"/>
      </w:pPr>
      <w:r w:rsidRPr="00805B85">
        <w:rPr>
          <w:b/>
          <w:bCs/>
        </w:rPr>
        <w:t>Overview</w:t>
      </w:r>
      <w:r w:rsidRPr="00805B85">
        <w:br/>
        <w:t>A lecture was presented on the role of Calcitonin Gene-Related Peptide (CGRP) as a potential biomarker for migraine. It highlighted the promise of CGRP in this role, while also detailing significant challenges related to its measurement, specificity, and the validity of current assay methods. A second part of the lecture discussed the cardiovascular safety of CGRP pathway inhibition.</w:t>
      </w:r>
      <w:r w:rsidRPr="00805B85">
        <w:br/>
      </w:r>
      <w:r w:rsidRPr="00805B85">
        <w:br/>
      </w:r>
      <w:r w:rsidRPr="00805B85">
        <w:rPr>
          <w:b/>
          <w:bCs/>
        </w:rPr>
        <w:t>Key Points on CGRP as a Biomarker</w:t>
      </w:r>
      <w:r w:rsidRPr="00805B85">
        <w:br/>
      </w:r>
      <w:r w:rsidRPr="00805B85">
        <w:rPr>
          <w:b/>
          <w:bCs/>
        </w:rPr>
        <w:t>Promise and Specificity:</w:t>
      </w:r>
      <w:r w:rsidRPr="00805B85">
        <w:t xml:space="preserve"> CGRP is considered the most promising biomarker for migraine. However, elevated levels are not specific to migraine and are also found in other conditions, including:</w:t>
      </w:r>
    </w:p>
    <w:p w14:paraId="7B6F3FF3" w14:textId="46EE5A99" w:rsidR="00C01B98" w:rsidRDefault="00805B85" w:rsidP="00C01B98">
      <w:pPr>
        <w:ind w:left="720"/>
      </w:pPr>
      <w:r w:rsidRPr="00805B85">
        <w:br/>
        <w:t>- Other chronic pain states</w:t>
      </w:r>
      <w:r w:rsidRPr="00805B85">
        <w:br/>
        <w:t>- Inflammatory conditions (e.g., COVID-19, inflammatory bowel disease)</w:t>
      </w:r>
      <w:r w:rsidRPr="00805B85">
        <w:br/>
        <w:t>- Rosacea</w:t>
      </w:r>
      <w:r w:rsidRPr="00805B85">
        <w:br/>
        <w:t>- Acute myocardial infarction (where CGRP acts as a potent vasodilator)</w:t>
      </w:r>
      <w:r w:rsidRPr="00805B85">
        <w:br/>
        <w:t xml:space="preserve">- </w:t>
      </w:r>
      <w:r w:rsidRPr="00805B85">
        <w:rPr>
          <w:b/>
          <w:bCs/>
        </w:rPr>
        <w:t>CGRP Isoforms:</w:t>
      </w:r>
      <w:r w:rsidRPr="00805B85">
        <w:t xml:space="preserve"> Two main isoforms exist with distinct locations and functions.</w:t>
      </w:r>
      <w:r w:rsidRPr="00805B85">
        <w:br/>
        <w:t xml:space="preserve">- </w:t>
      </w:r>
      <w:r w:rsidRPr="00805B85">
        <w:rPr>
          <w:b/>
          <w:bCs/>
        </w:rPr>
        <w:t>α-CGRP:</w:t>
      </w:r>
      <w:r w:rsidRPr="00805B85">
        <w:t xml:space="preserve"> Primarily located in the vascular system. Levels are increased in chronic migraine and tend to normalise with anti-CGRP treatment.</w:t>
      </w:r>
      <w:r w:rsidRPr="00805B85">
        <w:br/>
        <w:t xml:space="preserve">- </w:t>
      </w:r>
      <w:r w:rsidRPr="00805B85">
        <w:rPr>
          <w:b/>
          <w:bCs/>
        </w:rPr>
        <w:t>β-CGRP:</w:t>
      </w:r>
      <w:r w:rsidRPr="00805B85">
        <w:t xml:space="preserve"> Primarily located in the gut, playing a role in intestinal mucosa homeostasis and motility. Its levels do not appear to change in chronic migraine.</w:t>
      </w:r>
      <w:r w:rsidRPr="00805B85">
        <w:br/>
      </w:r>
    </w:p>
    <w:p w14:paraId="089E9258" w14:textId="75F54C17" w:rsidR="00C01B98" w:rsidRDefault="00805B85" w:rsidP="00805B85">
      <w:pPr>
        <w:ind w:left="360"/>
      </w:pPr>
      <w:r w:rsidRPr="00805B85">
        <w:rPr>
          <w:b/>
          <w:bCs/>
        </w:rPr>
        <w:t>Role of β-CGRP in Gut Function:</w:t>
      </w:r>
      <w:r w:rsidRPr="00805B85">
        <w:br/>
        <w:t xml:space="preserve">- </w:t>
      </w:r>
      <w:r w:rsidRPr="00805B85">
        <w:rPr>
          <w:b/>
          <w:bCs/>
        </w:rPr>
        <w:t>Inflammatory Bowel Disease:</w:t>
      </w:r>
      <w:r w:rsidRPr="00805B85">
        <w:t xml:space="preserve"> Levels are noted to decrease in the early phases.</w:t>
      </w:r>
      <w:r w:rsidRPr="00805B85">
        <w:br/>
        <w:t xml:space="preserve">- </w:t>
      </w:r>
      <w:r w:rsidRPr="00805B85">
        <w:rPr>
          <w:b/>
          <w:bCs/>
        </w:rPr>
        <w:t>COVID-19 Associated Diarrhoea:</w:t>
      </w:r>
      <w:r w:rsidRPr="00805B85">
        <w:t xml:space="preserve"> Levels have been shown to be increased.</w:t>
      </w:r>
      <w:r w:rsidRPr="00805B85">
        <w:br/>
        <w:t xml:space="preserve">- </w:t>
      </w:r>
      <w:r w:rsidRPr="00805B85">
        <w:rPr>
          <w:b/>
          <w:bCs/>
        </w:rPr>
        <w:t>Anti-CGRP Therapy-Induced Constipation:</w:t>
      </w:r>
      <w:r w:rsidRPr="00805B85">
        <w:t xml:space="preserve"> Affected patients show decreased levels of β-CGRP, supporting its role in intestinal motility.</w:t>
      </w:r>
      <w:r w:rsidRPr="00805B85">
        <w:br/>
      </w:r>
    </w:p>
    <w:p w14:paraId="7F857B80" w14:textId="77777777" w:rsidR="00C01B98" w:rsidRDefault="00805B85" w:rsidP="00805B85">
      <w:pPr>
        <w:ind w:left="360"/>
      </w:pPr>
      <w:r w:rsidRPr="00805B85">
        <w:rPr>
          <w:b/>
          <w:bCs/>
        </w:rPr>
        <w:t>Measurement and Methodological Challenges:</w:t>
      </w:r>
      <w:r w:rsidRPr="00805B85">
        <w:br/>
        <w:t xml:space="preserve">- </w:t>
      </w:r>
      <w:r w:rsidRPr="00805B85">
        <w:rPr>
          <w:b/>
          <w:bCs/>
        </w:rPr>
        <w:t>Half-life:</w:t>
      </w:r>
      <w:r w:rsidRPr="00805B85">
        <w:t xml:space="preserve"> The true half-life is debated. Older studies in rats suggested ~7 minutes, but recent estimates propose it may be over 30 minutes.</w:t>
      </w:r>
      <w:r w:rsidRPr="00805B85">
        <w:br/>
        <w:t xml:space="preserve">- </w:t>
      </w:r>
      <w:r w:rsidRPr="00805B85">
        <w:rPr>
          <w:b/>
          <w:bCs/>
        </w:rPr>
        <w:t>Sample Handling:</w:t>
      </w:r>
      <w:r w:rsidRPr="00805B85">
        <w:t xml:space="preserve"> Stable results are achievable if samples are processed within the first few hours. Plasma is preferred over serum, and the use of protease inhibitors is recommended. Samples should not be frozen for longer than six months.</w:t>
      </w:r>
      <w:r w:rsidRPr="00805B85">
        <w:br/>
        <w:t xml:space="preserve">- </w:t>
      </w:r>
      <w:r w:rsidRPr="00805B85">
        <w:rPr>
          <w:b/>
          <w:bCs/>
        </w:rPr>
        <w:t>Confounding Variables:</w:t>
      </w:r>
      <w:r w:rsidRPr="00805B85">
        <w:t xml:space="preserve"> CGRP levels are influenced by age and sex, requiring results to be matched for these variables.</w:t>
      </w:r>
      <w:r w:rsidRPr="00805B85">
        <w:br/>
        <w:t xml:space="preserve"> </w:t>
      </w:r>
    </w:p>
    <w:p w14:paraId="140B3ACB" w14:textId="1FB1B550" w:rsidR="00805B85" w:rsidRDefault="00805B85" w:rsidP="00805B85">
      <w:pPr>
        <w:ind w:left="360"/>
      </w:pPr>
      <w:r w:rsidRPr="00805B85">
        <w:rPr>
          <w:b/>
          <w:bCs/>
        </w:rPr>
        <w:t>Assay Validity:</w:t>
      </w:r>
      <w:r w:rsidRPr="00805B85">
        <w:br/>
        <w:t>- Significant concerns have been raised regarding the validity of commercial ELISA kits.</w:t>
      </w:r>
      <w:r w:rsidRPr="00805B85">
        <w:br/>
        <w:t xml:space="preserve">- A recent study demonstrated that a widely used kit from </w:t>
      </w:r>
      <w:proofErr w:type="spellStart"/>
      <w:r w:rsidRPr="00805B85">
        <w:t>Cusabio</w:t>
      </w:r>
      <w:proofErr w:type="spellEnd"/>
      <w:r w:rsidRPr="00805B85">
        <w:t xml:space="preserve">, designed to measure β-CGRP, failed to detect the synthetic active peptide. The company later acknowledged </w:t>
      </w:r>
      <w:r w:rsidRPr="00805B85">
        <w:lastRenderedPageBreak/>
        <w:t xml:space="preserve">the kit detects the </w:t>
      </w:r>
      <w:proofErr w:type="spellStart"/>
      <w:r w:rsidRPr="00805B85">
        <w:t>propeptide</w:t>
      </w:r>
      <w:proofErr w:type="spellEnd"/>
      <w:r w:rsidRPr="00805B85">
        <w:t>, not the active peptide.</w:t>
      </w:r>
      <w:r w:rsidRPr="00805B85">
        <w:br/>
        <w:t>- This finding calls into question the reliability of a large body of existing research using these kits.</w:t>
      </w:r>
      <w:r w:rsidRPr="00805B85">
        <w:br/>
      </w:r>
      <w:r w:rsidRPr="00805B85">
        <w:br/>
      </w:r>
      <w:r w:rsidRPr="00805B85">
        <w:rPr>
          <w:b/>
          <w:bCs/>
        </w:rPr>
        <w:t>Cardiovascular Safety of CGRP Inhibition</w:t>
      </w:r>
      <w:r w:rsidRPr="00805B85">
        <w:br/>
        <w:t>- Research using a swine model was presented to assess the cardiovascular risk of CGRP antagonism, particularly in the context of small vessel disease.</w:t>
      </w:r>
      <w:r w:rsidRPr="00805B85">
        <w:br/>
        <w:t xml:space="preserve">- In both healthy swine and those with induced coronary microvascular disease, the CGRP receptor antagonist </w:t>
      </w:r>
      <w:proofErr w:type="spellStart"/>
      <w:r w:rsidRPr="00805B85">
        <w:t>atogepant</w:t>
      </w:r>
      <w:proofErr w:type="spellEnd"/>
      <w:r w:rsidRPr="00805B85">
        <w:t xml:space="preserve"> did not negatively alter coronary reactive or active hyperaemia.</w:t>
      </w:r>
      <w:r w:rsidRPr="00805B85">
        <w:br/>
        <w:t>- These preliminary findings suggest that CGRP inhibition may not pose an additional cardiovascular risk, even in the presence of pre-existing microvascular disease.</w:t>
      </w:r>
      <w:r w:rsidRPr="00805B85">
        <w:br/>
      </w:r>
      <w:r w:rsidRPr="00805B85">
        <w:br/>
      </w:r>
      <w:r w:rsidRPr="00805B85">
        <w:rPr>
          <w:b/>
          <w:bCs/>
        </w:rPr>
        <w:t>Conclusion and Future Direction</w:t>
      </w:r>
      <w:r w:rsidRPr="00805B85">
        <w:br/>
        <w:t>- Despite the numerous challenges, CGRP remains the most promising candidate for a migraine biomarker.</w:t>
      </w:r>
      <w:r w:rsidRPr="00805B85">
        <w:br/>
        <w:t>- The field faces a critical need to develop and validate reliable testing methods to accurately measure the α-CGRP and β-CGRP isoforms.</w:t>
      </w:r>
      <w:r w:rsidRPr="00805B85">
        <w:br/>
        <w:t>- Standardising measurement protocols is essential to allow for the comparison and extrapolation of results between different research laboratories. The development of Alzheimer's disease biomarkers was cited as an example of overcoming similar initial challenges.</w:t>
      </w:r>
    </w:p>
    <w:p w14:paraId="7D746609" w14:textId="77777777" w:rsidR="003F5F25" w:rsidRPr="00805B85" w:rsidRDefault="003F5F25" w:rsidP="00805B85">
      <w:pPr>
        <w:ind w:left="360"/>
      </w:pPr>
    </w:p>
    <w:p w14:paraId="757B6CA4" w14:textId="77777777" w:rsidR="003F5F25" w:rsidRPr="003F5F25" w:rsidRDefault="003F5F25" w:rsidP="003F5F25">
      <w:pPr>
        <w:shd w:val="clear" w:color="auto" w:fill="FCFBFB"/>
        <w:spacing w:after="100" w:afterAutospacing="1"/>
        <w:outlineLvl w:val="2"/>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Detailed Summary on Headache Biomarkers</w:t>
      </w:r>
    </w:p>
    <w:p w14:paraId="1B03B5B5" w14:textId="77777777" w:rsidR="003F5F25" w:rsidRPr="003F5F25" w:rsidRDefault="003F5F25" w:rsidP="003F5F25">
      <w:pPr>
        <w:shd w:val="clear" w:color="auto" w:fill="FCFBFB"/>
        <w:spacing w:afterAutospacing="1"/>
        <w:outlineLvl w:val="3"/>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1. </w:t>
      </w:r>
      <w:r w:rsidRPr="003F5F25">
        <w:rPr>
          <w:rFonts w:ascii="Arial" w:eastAsia="Times New Roman" w:hAnsi="Arial" w:cs="Arial"/>
          <w:b/>
          <w:bCs/>
          <w:color w:val="000000"/>
          <w:sz w:val="16"/>
          <w:szCs w:val="16"/>
          <w:bdr w:val="none" w:sz="0" w:space="0" w:color="auto" w:frame="1"/>
          <w:lang w:eastAsia="en-GB"/>
        </w:rPr>
        <w:t>Introduction to Headache Biomarkers</w:t>
      </w:r>
    </w:p>
    <w:p w14:paraId="785EAA68" w14:textId="77777777" w:rsidR="003F5F25" w:rsidRPr="003F5F25" w:rsidRDefault="003F5F25" w:rsidP="003F5F25">
      <w:pPr>
        <w:shd w:val="clear" w:color="auto" w:fill="FCFBFB"/>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Headache biomarkers are biological indicators that can enhance diagnosis, guide treatment decisions, and customize therapeutic approaches for migraine and other headache disorders. With migraine being a multifaceted condition, biomarkers can aid in elucidating underlying mechanisms and improving patient outcomes.</w:t>
      </w:r>
    </w:p>
    <w:p w14:paraId="62BC46D3" w14:textId="77777777" w:rsidR="003F5F25" w:rsidRPr="003F5F25" w:rsidRDefault="003F5F25" w:rsidP="003F5F25">
      <w:pPr>
        <w:shd w:val="clear" w:color="auto" w:fill="FCFBFB"/>
        <w:spacing w:beforeAutospacing="1" w:afterAutospacing="1"/>
        <w:outlineLvl w:val="3"/>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2. </w:t>
      </w:r>
      <w:r w:rsidRPr="003F5F25">
        <w:rPr>
          <w:rFonts w:ascii="Arial" w:eastAsia="Times New Roman" w:hAnsi="Arial" w:cs="Arial"/>
          <w:b/>
          <w:bCs/>
          <w:color w:val="000000"/>
          <w:sz w:val="16"/>
          <w:szCs w:val="16"/>
          <w:bdr w:val="none" w:sz="0" w:space="0" w:color="auto" w:frame="1"/>
          <w:lang w:eastAsia="en-GB"/>
        </w:rPr>
        <w:t>Key Biomarkers Discussed</w:t>
      </w:r>
    </w:p>
    <w:p w14:paraId="6BF5EDFB" w14:textId="77777777" w:rsidR="003F5F25" w:rsidRPr="003F5F25" w:rsidRDefault="003F5F25" w:rsidP="003F5F25">
      <w:pPr>
        <w:numPr>
          <w:ilvl w:val="0"/>
          <w:numId w:val="2"/>
        </w:numPr>
        <w:shd w:val="clear" w:color="auto" w:fill="FCFBFB"/>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Tau Protein</w:t>
      </w:r>
      <w:r w:rsidRPr="003F5F25">
        <w:rPr>
          <w:rFonts w:ascii="Arial" w:eastAsia="Times New Roman" w:hAnsi="Arial" w:cs="Arial"/>
          <w:color w:val="000000"/>
          <w:sz w:val="16"/>
          <w:szCs w:val="16"/>
          <w:lang w:eastAsia="en-GB"/>
        </w:rPr>
        <w:t>:</w:t>
      </w:r>
    </w:p>
    <w:p w14:paraId="54B7B483" w14:textId="77777777" w:rsidR="003F5F25" w:rsidRPr="003F5F25" w:rsidRDefault="003F5F25" w:rsidP="003F5F25">
      <w:pPr>
        <w:numPr>
          <w:ilvl w:val="1"/>
          <w:numId w:val="2"/>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Role</w:t>
      </w:r>
      <w:r w:rsidRPr="003F5F25">
        <w:rPr>
          <w:rFonts w:ascii="Arial" w:eastAsia="Times New Roman" w:hAnsi="Arial" w:cs="Arial"/>
          <w:color w:val="000000"/>
          <w:sz w:val="16"/>
          <w:szCs w:val="16"/>
          <w:lang w:eastAsia="en-GB"/>
        </w:rPr>
        <w:t>: Increased serum Tau levels have been linked to migraine.</w:t>
      </w:r>
    </w:p>
    <w:p w14:paraId="2694E906"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Clinical Use</w:t>
      </w:r>
      <w:r w:rsidRPr="003F5F25">
        <w:rPr>
          <w:rFonts w:ascii="Arial" w:eastAsia="Times New Roman" w:hAnsi="Arial" w:cs="Arial"/>
          <w:color w:val="000000"/>
          <w:sz w:val="16"/>
          <w:szCs w:val="16"/>
          <w:lang w:eastAsia="en-GB"/>
        </w:rPr>
        <w:t>: May indicate neuroinflammation and track disease activity.</w:t>
      </w:r>
    </w:p>
    <w:p w14:paraId="39BC4014"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Evidence</w:t>
      </w:r>
      <w:r w:rsidRPr="003F5F25">
        <w:rPr>
          <w:rFonts w:ascii="Arial" w:eastAsia="Times New Roman" w:hAnsi="Arial" w:cs="Arial"/>
          <w:color w:val="000000"/>
          <w:sz w:val="16"/>
          <w:szCs w:val="16"/>
          <w:lang w:eastAsia="en-GB"/>
        </w:rPr>
        <w:t>: Studies show elevated Tau in chronic migraine patients, with ongoing investigations into its role in acute migraine attacks.</w:t>
      </w:r>
    </w:p>
    <w:p w14:paraId="05F32240" w14:textId="77777777" w:rsidR="003F5F25" w:rsidRPr="003F5F25" w:rsidRDefault="003F5F25" w:rsidP="003F5F25">
      <w:pPr>
        <w:numPr>
          <w:ilvl w:val="0"/>
          <w:numId w:val="2"/>
        </w:numPr>
        <w:shd w:val="clear" w:color="auto" w:fill="FCFBFB"/>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Neurofilament Light Chain (NFL)</w:t>
      </w:r>
      <w:r w:rsidRPr="003F5F25">
        <w:rPr>
          <w:rFonts w:ascii="Arial" w:eastAsia="Times New Roman" w:hAnsi="Arial" w:cs="Arial"/>
          <w:color w:val="000000"/>
          <w:sz w:val="16"/>
          <w:szCs w:val="16"/>
          <w:lang w:eastAsia="en-GB"/>
        </w:rPr>
        <w:t>:</w:t>
      </w:r>
    </w:p>
    <w:p w14:paraId="5B75A2B4" w14:textId="77777777" w:rsidR="003F5F25" w:rsidRPr="003F5F25" w:rsidRDefault="003F5F25" w:rsidP="003F5F25">
      <w:pPr>
        <w:numPr>
          <w:ilvl w:val="1"/>
          <w:numId w:val="2"/>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Role</w:t>
      </w:r>
      <w:r w:rsidRPr="003F5F25">
        <w:rPr>
          <w:rFonts w:ascii="Arial" w:eastAsia="Times New Roman" w:hAnsi="Arial" w:cs="Arial"/>
          <w:color w:val="000000"/>
          <w:sz w:val="16"/>
          <w:szCs w:val="16"/>
          <w:lang w:eastAsia="en-GB"/>
        </w:rPr>
        <w:t>: A marker of axonal damage and neurodegeneration.</w:t>
      </w:r>
    </w:p>
    <w:p w14:paraId="4AEFA8BC"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Clinical Use</w:t>
      </w:r>
      <w:r w:rsidRPr="003F5F25">
        <w:rPr>
          <w:rFonts w:ascii="Arial" w:eastAsia="Times New Roman" w:hAnsi="Arial" w:cs="Arial"/>
          <w:color w:val="000000"/>
          <w:sz w:val="16"/>
          <w:szCs w:val="16"/>
          <w:lang w:eastAsia="en-GB"/>
        </w:rPr>
        <w:t>: NFL levels could indicate disease severity and treatment responses; however, current evidence shows no significant changes in NFL levels in migraine patients compared to controls.</w:t>
      </w:r>
    </w:p>
    <w:p w14:paraId="672909DD"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Evidence</w:t>
      </w:r>
      <w:r w:rsidRPr="003F5F25">
        <w:rPr>
          <w:rFonts w:ascii="Arial" w:eastAsia="Times New Roman" w:hAnsi="Arial" w:cs="Arial"/>
          <w:color w:val="000000"/>
          <w:sz w:val="16"/>
          <w:szCs w:val="16"/>
          <w:lang w:eastAsia="en-GB"/>
        </w:rPr>
        <w:t>: Research focuses on NFL as a biomarker for treatment response to CGRP monoclonal antibodies, yet findings need further validation.</w:t>
      </w:r>
    </w:p>
    <w:p w14:paraId="2C6C4DC3" w14:textId="77777777" w:rsidR="003F5F25" w:rsidRPr="003F5F25" w:rsidRDefault="003F5F25" w:rsidP="003F5F25">
      <w:pPr>
        <w:numPr>
          <w:ilvl w:val="0"/>
          <w:numId w:val="2"/>
        </w:numPr>
        <w:shd w:val="clear" w:color="auto" w:fill="FCFBFB"/>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CX3CL1 (Fractalkine)</w:t>
      </w:r>
      <w:r w:rsidRPr="003F5F25">
        <w:rPr>
          <w:rFonts w:ascii="Arial" w:eastAsia="Times New Roman" w:hAnsi="Arial" w:cs="Arial"/>
          <w:color w:val="000000"/>
          <w:sz w:val="16"/>
          <w:szCs w:val="16"/>
          <w:lang w:eastAsia="en-GB"/>
        </w:rPr>
        <w:t>:</w:t>
      </w:r>
    </w:p>
    <w:p w14:paraId="51EFE996" w14:textId="77777777" w:rsidR="003F5F25" w:rsidRPr="003F5F25" w:rsidRDefault="003F5F25" w:rsidP="003F5F25">
      <w:pPr>
        <w:numPr>
          <w:ilvl w:val="1"/>
          <w:numId w:val="2"/>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Role</w:t>
      </w:r>
      <w:r w:rsidRPr="003F5F25">
        <w:rPr>
          <w:rFonts w:ascii="Arial" w:eastAsia="Times New Roman" w:hAnsi="Arial" w:cs="Arial"/>
          <w:color w:val="000000"/>
          <w:sz w:val="16"/>
          <w:szCs w:val="16"/>
          <w:lang w:eastAsia="en-GB"/>
        </w:rPr>
        <w:t>: Related to neuroinflammation, with increased levels noted in cerebrospinal fluid (CSF) of migraine patients.</w:t>
      </w:r>
    </w:p>
    <w:p w14:paraId="7BE0FEB9"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Clinical Use</w:t>
      </w:r>
      <w:r w:rsidRPr="003F5F25">
        <w:rPr>
          <w:rFonts w:ascii="Arial" w:eastAsia="Times New Roman" w:hAnsi="Arial" w:cs="Arial"/>
          <w:color w:val="000000"/>
          <w:sz w:val="16"/>
          <w:szCs w:val="16"/>
          <w:lang w:eastAsia="en-GB"/>
        </w:rPr>
        <w:t>: May assist in identifying patients with a neuroinflammatory component to their migraines.</w:t>
      </w:r>
    </w:p>
    <w:p w14:paraId="0198FA3E"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Evidence</w:t>
      </w:r>
      <w:r w:rsidRPr="003F5F25">
        <w:rPr>
          <w:rFonts w:ascii="Arial" w:eastAsia="Times New Roman" w:hAnsi="Arial" w:cs="Arial"/>
          <w:color w:val="000000"/>
          <w:sz w:val="16"/>
          <w:szCs w:val="16"/>
          <w:lang w:eastAsia="en-GB"/>
        </w:rPr>
        <w:t>: Shows promise as a potential biomarker, though further studies are needed to affirm its clinical utility.</w:t>
      </w:r>
    </w:p>
    <w:p w14:paraId="64C4D9E3" w14:textId="77777777" w:rsidR="003F5F25" w:rsidRPr="003F5F25" w:rsidRDefault="003F5F25" w:rsidP="003F5F25">
      <w:pPr>
        <w:numPr>
          <w:ilvl w:val="0"/>
          <w:numId w:val="2"/>
        </w:numPr>
        <w:shd w:val="clear" w:color="auto" w:fill="FCFBFB"/>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SUPAR (Soluble Urokinase Plasminogen Activator Receptor)</w:t>
      </w:r>
      <w:r w:rsidRPr="003F5F25">
        <w:rPr>
          <w:rFonts w:ascii="Arial" w:eastAsia="Times New Roman" w:hAnsi="Arial" w:cs="Arial"/>
          <w:color w:val="000000"/>
          <w:sz w:val="16"/>
          <w:szCs w:val="16"/>
          <w:lang w:eastAsia="en-GB"/>
        </w:rPr>
        <w:t>:</w:t>
      </w:r>
    </w:p>
    <w:p w14:paraId="6EE7D099" w14:textId="77777777" w:rsidR="003F5F25" w:rsidRPr="003F5F25" w:rsidRDefault="003F5F25" w:rsidP="003F5F25">
      <w:pPr>
        <w:numPr>
          <w:ilvl w:val="1"/>
          <w:numId w:val="2"/>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Role</w:t>
      </w:r>
      <w:r w:rsidRPr="003F5F25">
        <w:rPr>
          <w:rFonts w:ascii="Arial" w:eastAsia="Times New Roman" w:hAnsi="Arial" w:cs="Arial"/>
          <w:color w:val="000000"/>
          <w:sz w:val="16"/>
          <w:szCs w:val="16"/>
          <w:lang w:eastAsia="en-GB"/>
        </w:rPr>
        <w:t>: Associated with microglial activation and neuroinflammation.</w:t>
      </w:r>
    </w:p>
    <w:p w14:paraId="4E3A81E8"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Clinical Use</w:t>
      </w:r>
      <w:r w:rsidRPr="003F5F25">
        <w:rPr>
          <w:rFonts w:ascii="Arial" w:eastAsia="Times New Roman" w:hAnsi="Arial" w:cs="Arial"/>
          <w:color w:val="000000"/>
          <w:sz w:val="16"/>
          <w:szCs w:val="16"/>
          <w:lang w:eastAsia="en-GB"/>
        </w:rPr>
        <w:t>: Proposed as a marker differentiating migraine types, particularly migraine with aura.</w:t>
      </w:r>
    </w:p>
    <w:p w14:paraId="359672BB"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Evidence</w:t>
      </w:r>
      <w:r w:rsidRPr="003F5F25">
        <w:rPr>
          <w:rFonts w:ascii="Arial" w:eastAsia="Times New Roman" w:hAnsi="Arial" w:cs="Arial"/>
          <w:color w:val="000000"/>
          <w:sz w:val="16"/>
          <w:szCs w:val="16"/>
          <w:lang w:eastAsia="en-GB"/>
        </w:rPr>
        <w:t>: Initial studies indicate elevated levels in patients with aura, but further research is warranted.</w:t>
      </w:r>
    </w:p>
    <w:p w14:paraId="67BC346A" w14:textId="77777777" w:rsidR="003F5F25" w:rsidRPr="003F5F25" w:rsidRDefault="003F5F25" w:rsidP="003F5F25">
      <w:pPr>
        <w:numPr>
          <w:ilvl w:val="0"/>
          <w:numId w:val="2"/>
        </w:numPr>
        <w:shd w:val="clear" w:color="auto" w:fill="FCFBFB"/>
        <w:rPr>
          <w:rFonts w:ascii="Arial" w:eastAsia="Times New Roman" w:hAnsi="Arial" w:cs="Arial"/>
          <w:color w:val="000000"/>
          <w:sz w:val="16"/>
          <w:szCs w:val="16"/>
          <w:lang w:eastAsia="en-GB"/>
        </w:rPr>
      </w:pPr>
      <w:proofErr w:type="spellStart"/>
      <w:r w:rsidRPr="003F5F25">
        <w:rPr>
          <w:rFonts w:ascii="Arial" w:eastAsia="Times New Roman" w:hAnsi="Arial" w:cs="Arial"/>
          <w:b/>
          <w:bCs/>
          <w:color w:val="000000"/>
          <w:sz w:val="16"/>
          <w:szCs w:val="16"/>
          <w:bdr w:val="none" w:sz="0" w:space="0" w:color="auto" w:frame="1"/>
          <w:lang w:eastAsia="en-GB"/>
        </w:rPr>
        <w:t>Autotaxin</w:t>
      </w:r>
      <w:proofErr w:type="spellEnd"/>
      <w:r w:rsidRPr="003F5F25">
        <w:rPr>
          <w:rFonts w:ascii="Arial" w:eastAsia="Times New Roman" w:hAnsi="Arial" w:cs="Arial"/>
          <w:color w:val="000000"/>
          <w:sz w:val="16"/>
          <w:szCs w:val="16"/>
          <w:lang w:eastAsia="en-GB"/>
        </w:rPr>
        <w:t>:</w:t>
      </w:r>
    </w:p>
    <w:p w14:paraId="3A33C776" w14:textId="77777777" w:rsidR="003F5F25" w:rsidRPr="003F5F25" w:rsidRDefault="003F5F25" w:rsidP="003F5F25">
      <w:pPr>
        <w:numPr>
          <w:ilvl w:val="1"/>
          <w:numId w:val="2"/>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Role</w:t>
      </w:r>
      <w:r w:rsidRPr="003F5F25">
        <w:rPr>
          <w:rFonts w:ascii="Arial" w:eastAsia="Times New Roman" w:hAnsi="Arial" w:cs="Arial"/>
          <w:color w:val="000000"/>
          <w:sz w:val="16"/>
          <w:szCs w:val="16"/>
          <w:lang w:eastAsia="en-GB"/>
        </w:rPr>
        <w:t xml:space="preserve">: Involved in lipid </w:t>
      </w:r>
      <w:proofErr w:type="spellStart"/>
      <w:r w:rsidRPr="003F5F25">
        <w:rPr>
          <w:rFonts w:ascii="Arial" w:eastAsia="Times New Roman" w:hAnsi="Arial" w:cs="Arial"/>
          <w:color w:val="000000"/>
          <w:sz w:val="16"/>
          <w:szCs w:val="16"/>
          <w:lang w:eastAsia="en-GB"/>
        </w:rPr>
        <w:t>signaling</w:t>
      </w:r>
      <w:proofErr w:type="spellEnd"/>
      <w:r w:rsidRPr="003F5F25">
        <w:rPr>
          <w:rFonts w:ascii="Arial" w:eastAsia="Times New Roman" w:hAnsi="Arial" w:cs="Arial"/>
          <w:color w:val="000000"/>
          <w:sz w:val="16"/>
          <w:szCs w:val="16"/>
          <w:lang w:eastAsia="en-GB"/>
        </w:rPr>
        <w:t xml:space="preserve"> pathways; correlates with inflammatory mechanisms.</w:t>
      </w:r>
    </w:p>
    <w:p w14:paraId="6F77C47E"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Clinical Use</w:t>
      </w:r>
      <w:r w:rsidRPr="003F5F25">
        <w:rPr>
          <w:rFonts w:ascii="Arial" w:eastAsia="Times New Roman" w:hAnsi="Arial" w:cs="Arial"/>
          <w:color w:val="000000"/>
          <w:sz w:val="16"/>
          <w:szCs w:val="16"/>
          <w:lang w:eastAsia="en-GB"/>
        </w:rPr>
        <w:t>: May inform on the metabolic aspects of migraine.</w:t>
      </w:r>
    </w:p>
    <w:p w14:paraId="60BA12AD" w14:textId="77777777" w:rsidR="003F5F25" w:rsidRPr="003F5F25" w:rsidRDefault="003F5F25" w:rsidP="003F5F25">
      <w:pPr>
        <w:numPr>
          <w:ilvl w:val="1"/>
          <w:numId w:val="2"/>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lastRenderedPageBreak/>
        <w:t>Evidence</w:t>
      </w:r>
      <w:r w:rsidRPr="003F5F25">
        <w:rPr>
          <w:rFonts w:ascii="Arial" w:eastAsia="Times New Roman" w:hAnsi="Arial" w:cs="Arial"/>
          <w:color w:val="000000"/>
          <w:sz w:val="16"/>
          <w:szCs w:val="16"/>
          <w:lang w:eastAsia="en-GB"/>
        </w:rPr>
        <w:t xml:space="preserve">: Studies demonstrate increased </w:t>
      </w:r>
      <w:proofErr w:type="spellStart"/>
      <w:r w:rsidRPr="003F5F25">
        <w:rPr>
          <w:rFonts w:ascii="Arial" w:eastAsia="Times New Roman" w:hAnsi="Arial" w:cs="Arial"/>
          <w:color w:val="000000"/>
          <w:sz w:val="16"/>
          <w:szCs w:val="16"/>
          <w:lang w:eastAsia="en-GB"/>
        </w:rPr>
        <w:t>autotaxin</w:t>
      </w:r>
      <w:proofErr w:type="spellEnd"/>
      <w:r w:rsidRPr="003F5F25">
        <w:rPr>
          <w:rFonts w:ascii="Arial" w:eastAsia="Times New Roman" w:hAnsi="Arial" w:cs="Arial"/>
          <w:color w:val="000000"/>
          <w:sz w:val="16"/>
          <w:szCs w:val="16"/>
          <w:lang w:eastAsia="en-GB"/>
        </w:rPr>
        <w:t xml:space="preserve"> in various migraine subtypes, suggesting its potential as a biomarker.</w:t>
      </w:r>
    </w:p>
    <w:p w14:paraId="5D6B6F42" w14:textId="77777777" w:rsidR="003F5F25" w:rsidRPr="003F5F25" w:rsidRDefault="003F5F25" w:rsidP="003F5F25">
      <w:pPr>
        <w:shd w:val="clear" w:color="auto" w:fill="FCFBFB"/>
        <w:spacing w:beforeAutospacing="1" w:afterAutospacing="1"/>
        <w:outlineLvl w:val="3"/>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3. </w:t>
      </w:r>
      <w:r w:rsidRPr="003F5F25">
        <w:rPr>
          <w:rFonts w:ascii="Arial" w:eastAsia="Times New Roman" w:hAnsi="Arial" w:cs="Arial"/>
          <w:b/>
          <w:bCs/>
          <w:color w:val="000000"/>
          <w:sz w:val="16"/>
          <w:szCs w:val="16"/>
          <w:bdr w:val="none" w:sz="0" w:space="0" w:color="auto" w:frame="1"/>
          <w:lang w:eastAsia="en-GB"/>
        </w:rPr>
        <w:t>Clinical Applications of Biomarkers</w:t>
      </w:r>
    </w:p>
    <w:p w14:paraId="7D980CD7" w14:textId="77777777" w:rsidR="003F5F25" w:rsidRPr="003F5F25" w:rsidRDefault="003F5F25" w:rsidP="003F5F25">
      <w:pPr>
        <w:numPr>
          <w:ilvl w:val="0"/>
          <w:numId w:val="3"/>
        </w:numPr>
        <w:shd w:val="clear" w:color="auto" w:fill="FCFBFB"/>
        <w:spacing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Diagnosis</w:t>
      </w:r>
      <w:r w:rsidRPr="003F5F25">
        <w:rPr>
          <w:rFonts w:ascii="Arial" w:eastAsia="Times New Roman" w:hAnsi="Arial" w:cs="Arial"/>
          <w:color w:val="000000"/>
          <w:sz w:val="16"/>
          <w:szCs w:val="16"/>
          <w:lang w:eastAsia="en-GB"/>
        </w:rPr>
        <w:t>: Biomarkers can aid in distinguishing migraine from other primary headache disorders and secondary headaches.</w:t>
      </w:r>
    </w:p>
    <w:p w14:paraId="4D319A74" w14:textId="77777777" w:rsidR="003F5F25" w:rsidRPr="003F5F25" w:rsidRDefault="003F5F25" w:rsidP="003F5F25">
      <w:pPr>
        <w:numPr>
          <w:ilvl w:val="0"/>
          <w:numId w:val="3"/>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Treatment Selection</w:t>
      </w:r>
      <w:r w:rsidRPr="003F5F25">
        <w:rPr>
          <w:rFonts w:ascii="Arial" w:eastAsia="Times New Roman" w:hAnsi="Arial" w:cs="Arial"/>
          <w:color w:val="000000"/>
          <w:sz w:val="16"/>
          <w:szCs w:val="16"/>
          <w:lang w:eastAsia="en-GB"/>
        </w:rPr>
        <w:t>: They can help identify the most suitable treatments based on individual responses and mechanisms.</w:t>
      </w:r>
    </w:p>
    <w:p w14:paraId="02FF21D8" w14:textId="77777777" w:rsidR="003F5F25" w:rsidRPr="003F5F25" w:rsidRDefault="003F5F25" w:rsidP="003F5F25">
      <w:pPr>
        <w:numPr>
          <w:ilvl w:val="0"/>
          <w:numId w:val="3"/>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Monitoring and Prognosis</w:t>
      </w:r>
      <w:r w:rsidRPr="003F5F25">
        <w:rPr>
          <w:rFonts w:ascii="Arial" w:eastAsia="Times New Roman" w:hAnsi="Arial" w:cs="Arial"/>
          <w:color w:val="000000"/>
          <w:sz w:val="16"/>
          <w:szCs w:val="16"/>
          <w:lang w:eastAsia="en-GB"/>
        </w:rPr>
        <w:t>: Biomarkers may track disease progression, treatment efficacy, and help anticipate treatment failures, allowing for timely adjustments.</w:t>
      </w:r>
    </w:p>
    <w:p w14:paraId="10C21CCF" w14:textId="77777777" w:rsidR="003F5F25" w:rsidRPr="003F5F25" w:rsidRDefault="003F5F25" w:rsidP="003F5F25">
      <w:pPr>
        <w:numPr>
          <w:ilvl w:val="0"/>
          <w:numId w:val="3"/>
        </w:numPr>
        <w:shd w:val="clear" w:color="auto" w:fill="FCFBFB"/>
        <w:spacing w:beforeAutospacing="1"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bdr w:val="none" w:sz="0" w:space="0" w:color="auto" w:frame="1"/>
          <w:lang w:eastAsia="en-GB"/>
        </w:rPr>
        <w:t>Personalized Medicine</w:t>
      </w:r>
      <w:r w:rsidRPr="003F5F25">
        <w:rPr>
          <w:rFonts w:ascii="Arial" w:eastAsia="Times New Roman" w:hAnsi="Arial" w:cs="Arial"/>
          <w:color w:val="000000"/>
          <w:sz w:val="16"/>
          <w:szCs w:val="16"/>
          <w:lang w:eastAsia="en-GB"/>
        </w:rPr>
        <w:t>: Integrating genetic and biomarker data can facilitate more tailored therapeutic strategies for migraine patients.</w:t>
      </w:r>
    </w:p>
    <w:p w14:paraId="01D7F3AB" w14:textId="77777777" w:rsidR="003F5F25" w:rsidRPr="003F5F25" w:rsidRDefault="003F5F25" w:rsidP="003F5F25">
      <w:pPr>
        <w:shd w:val="clear" w:color="auto" w:fill="FCFBFB"/>
        <w:spacing w:beforeAutospacing="1" w:afterAutospacing="1"/>
        <w:outlineLvl w:val="3"/>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4. </w:t>
      </w:r>
      <w:r w:rsidRPr="003F5F25">
        <w:rPr>
          <w:rFonts w:ascii="Arial" w:eastAsia="Times New Roman" w:hAnsi="Arial" w:cs="Arial"/>
          <w:b/>
          <w:bCs/>
          <w:color w:val="000000"/>
          <w:sz w:val="16"/>
          <w:szCs w:val="16"/>
          <w:bdr w:val="none" w:sz="0" w:space="0" w:color="auto" w:frame="1"/>
          <w:lang w:eastAsia="en-GB"/>
        </w:rPr>
        <w:t>Current Evidence Base</w:t>
      </w:r>
    </w:p>
    <w:p w14:paraId="54AB8FA8" w14:textId="77777777" w:rsidR="003F5F25" w:rsidRPr="003F5F25" w:rsidRDefault="003F5F25" w:rsidP="003F5F25">
      <w:pPr>
        <w:numPr>
          <w:ilvl w:val="0"/>
          <w:numId w:val="4"/>
        </w:numPr>
        <w:shd w:val="clear" w:color="auto" w:fill="FCFBFB"/>
        <w:spacing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Recent studies have highlighted the potential of these biomarkers in clinical settings, but many remain at preliminary stages.</w:t>
      </w:r>
    </w:p>
    <w:p w14:paraId="54B30423" w14:textId="77777777" w:rsidR="003F5F25" w:rsidRPr="003F5F25" w:rsidRDefault="003F5F25" w:rsidP="003F5F25">
      <w:pPr>
        <w:numPr>
          <w:ilvl w:val="0"/>
          <w:numId w:val="4"/>
        </w:numPr>
        <w:shd w:val="clear" w:color="auto" w:fill="FCFBFB"/>
        <w:spacing w:before="100" w:beforeAutospacing="1"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The evidence emphasizes the need for larger, multi-centre trials and standardized methodologies to validate these biomarkers.</w:t>
      </w:r>
    </w:p>
    <w:p w14:paraId="72B296F7" w14:textId="77777777" w:rsidR="003F5F25" w:rsidRPr="003F5F25" w:rsidRDefault="003F5F25" w:rsidP="003F5F25">
      <w:pPr>
        <w:numPr>
          <w:ilvl w:val="0"/>
          <w:numId w:val="4"/>
        </w:numPr>
        <w:shd w:val="clear" w:color="auto" w:fill="FCFBFB"/>
        <w:spacing w:before="100" w:beforeAutospacing="1"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The literature is gradually moving from retrospective analyses to prospective studies, with ongoing investigations exploring the integration of these biomarkers in everyday clinical practice.</w:t>
      </w:r>
    </w:p>
    <w:p w14:paraId="48568348" w14:textId="77777777" w:rsidR="003F5F25" w:rsidRPr="003F5F25" w:rsidRDefault="003F5F25" w:rsidP="003F5F25">
      <w:pPr>
        <w:shd w:val="clear" w:color="auto" w:fill="FCFBFB"/>
        <w:spacing w:beforeAutospacing="1" w:afterAutospacing="1"/>
        <w:outlineLvl w:val="3"/>
        <w:rPr>
          <w:rFonts w:ascii="Arial" w:eastAsia="Times New Roman" w:hAnsi="Arial" w:cs="Arial"/>
          <w:b/>
          <w:bCs/>
          <w:color w:val="000000"/>
          <w:sz w:val="16"/>
          <w:szCs w:val="16"/>
          <w:lang w:eastAsia="en-GB"/>
        </w:rPr>
      </w:pPr>
      <w:r w:rsidRPr="003F5F25">
        <w:rPr>
          <w:rFonts w:ascii="Arial" w:eastAsia="Times New Roman" w:hAnsi="Arial" w:cs="Arial"/>
          <w:b/>
          <w:bCs/>
          <w:color w:val="000000"/>
          <w:sz w:val="16"/>
          <w:szCs w:val="16"/>
          <w:lang w:eastAsia="en-GB"/>
        </w:rPr>
        <w:t>5. </w:t>
      </w:r>
      <w:r w:rsidRPr="003F5F25">
        <w:rPr>
          <w:rFonts w:ascii="Arial" w:eastAsia="Times New Roman" w:hAnsi="Arial" w:cs="Arial"/>
          <w:b/>
          <w:bCs/>
          <w:color w:val="000000"/>
          <w:sz w:val="16"/>
          <w:szCs w:val="16"/>
          <w:bdr w:val="none" w:sz="0" w:space="0" w:color="auto" w:frame="1"/>
          <w:lang w:eastAsia="en-GB"/>
        </w:rPr>
        <w:t>Future Directions</w:t>
      </w:r>
    </w:p>
    <w:p w14:paraId="39F73D3E" w14:textId="77777777" w:rsidR="003F5F25" w:rsidRPr="003F5F25" w:rsidRDefault="003F5F25" w:rsidP="003F5F25">
      <w:pPr>
        <w:numPr>
          <w:ilvl w:val="0"/>
          <w:numId w:val="5"/>
        </w:numPr>
        <w:shd w:val="clear" w:color="auto" w:fill="FCFBFB"/>
        <w:spacing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Increased focus on developing reliable assays and protocols for clinical use.</w:t>
      </w:r>
    </w:p>
    <w:p w14:paraId="5CF5566D" w14:textId="77777777" w:rsidR="003F5F25" w:rsidRPr="003F5F25" w:rsidRDefault="003F5F25" w:rsidP="003F5F25">
      <w:pPr>
        <w:numPr>
          <w:ilvl w:val="0"/>
          <w:numId w:val="5"/>
        </w:numPr>
        <w:shd w:val="clear" w:color="auto" w:fill="FCFBFB"/>
        <w:spacing w:before="100" w:beforeAutospacing="1"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Exploring the role of combinations of biomarkers to capture the complexity of migraine and its variants.</w:t>
      </w:r>
    </w:p>
    <w:p w14:paraId="4B018ACF" w14:textId="77777777" w:rsidR="003F5F25" w:rsidRPr="003F5F25" w:rsidRDefault="003F5F25" w:rsidP="003F5F25">
      <w:pPr>
        <w:numPr>
          <w:ilvl w:val="0"/>
          <w:numId w:val="5"/>
        </w:numPr>
        <w:shd w:val="clear" w:color="auto" w:fill="FCFBFB"/>
        <w:spacing w:before="100" w:beforeAutospacing="1" w:after="100" w:afterAutospacing="1"/>
        <w:rPr>
          <w:rFonts w:ascii="Arial" w:eastAsia="Times New Roman" w:hAnsi="Arial" w:cs="Arial"/>
          <w:color w:val="000000"/>
          <w:sz w:val="16"/>
          <w:szCs w:val="16"/>
          <w:lang w:eastAsia="en-GB"/>
        </w:rPr>
      </w:pPr>
      <w:r w:rsidRPr="003F5F25">
        <w:rPr>
          <w:rFonts w:ascii="Arial" w:eastAsia="Times New Roman" w:hAnsi="Arial" w:cs="Arial"/>
          <w:color w:val="000000"/>
          <w:sz w:val="16"/>
          <w:szCs w:val="16"/>
          <w:lang w:eastAsia="en-GB"/>
        </w:rPr>
        <w:t xml:space="preserve">Advancing towards </w:t>
      </w:r>
      <w:proofErr w:type="spellStart"/>
      <w:r w:rsidRPr="003F5F25">
        <w:rPr>
          <w:rFonts w:ascii="Arial" w:eastAsia="Times New Roman" w:hAnsi="Arial" w:cs="Arial"/>
          <w:color w:val="000000"/>
          <w:sz w:val="16"/>
          <w:szCs w:val="16"/>
          <w:lang w:eastAsia="en-GB"/>
        </w:rPr>
        <w:t>multiomic</w:t>
      </w:r>
      <w:proofErr w:type="spellEnd"/>
      <w:r w:rsidRPr="003F5F25">
        <w:rPr>
          <w:rFonts w:ascii="Arial" w:eastAsia="Times New Roman" w:hAnsi="Arial" w:cs="Arial"/>
          <w:color w:val="000000"/>
          <w:sz w:val="16"/>
          <w:szCs w:val="16"/>
          <w:lang w:eastAsia="en-GB"/>
        </w:rPr>
        <w:t xml:space="preserve"> approaches (integrating genomic, proteomic, and metabolomic data) to provide comprehensive profiles for individual patients.</w:t>
      </w:r>
    </w:p>
    <w:p w14:paraId="153700AB" w14:textId="77777777" w:rsidR="003F5F25" w:rsidRPr="003F5F25" w:rsidRDefault="003F5F25" w:rsidP="003F5F25">
      <w:pPr>
        <w:shd w:val="clear" w:color="auto" w:fill="FCFBFB"/>
        <w:spacing w:before="100" w:beforeAutospacing="1" w:after="100" w:afterAutospacing="1"/>
        <w:rPr>
          <w:rFonts w:ascii="Arial" w:eastAsia="Times New Roman" w:hAnsi="Arial" w:cs="Arial"/>
          <w:color w:val="000000"/>
          <w:sz w:val="16"/>
          <w:szCs w:val="16"/>
          <w:lang w:eastAsia="en-GB"/>
        </w:rPr>
      </w:pPr>
    </w:p>
    <w:p w14:paraId="7A214EF3" w14:textId="77777777" w:rsidR="003F5F25" w:rsidRPr="003F5F25" w:rsidRDefault="003F5F25" w:rsidP="003F5F25">
      <w:pPr>
        <w:shd w:val="clear" w:color="auto" w:fill="FCFBFB"/>
        <w:spacing w:before="100" w:beforeAutospacing="1" w:after="100" w:afterAutospacing="1"/>
        <w:rPr>
          <w:rFonts w:ascii="Arial" w:eastAsia="Times New Roman" w:hAnsi="Arial" w:cs="Arial"/>
          <w:color w:val="000000"/>
          <w:sz w:val="16"/>
          <w:szCs w:val="16"/>
          <w:lang w:eastAsia="en-GB"/>
        </w:rPr>
      </w:pPr>
      <w:r w:rsidRPr="003F5F25">
        <w:rPr>
          <w:rFonts w:ascii="Arial" w:eastAsia="Times New Roman" w:hAnsi="Arial" w:cs="Arial"/>
          <w:b/>
          <w:bCs/>
          <w:color w:val="000000"/>
          <w:sz w:val="16"/>
          <w:szCs w:val="16"/>
          <w:lang w:eastAsia="en-GB"/>
        </w:rPr>
        <w:t>Summary of European Health Conference Lecture: Biomarkers in Headache</w:t>
      </w:r>
      <w:r w:rsidRPr="003F5F25">
        <w:rPr>
          <w:rFonts w:ascii="Arial" w:eastAsia="Times New Roman" w:hAnsi="Arial" w:cs="Arial"/>
          <w:color w:val="000000"/>
          <w:sz w:val="16"/>
          <w:szCs w:val="16"/>
          <w:lang w:eastAsia="en-GB"/>
        </w:rPr>
        <w:br/>
        <w:t>Date: 03/12/2025</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t>This summary covers recent developments in headache biomarkers, focusing on the shift from phenotype-based to endotype-based management for personalised migraine therapy.</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t>Rationale for Biomarkers</w:t>
      </w:r>
      <w:r w:rsidRPr="003F5F25">
        <w:rPr>
          <w:rFonts w:ascii="Arial" w:eastAsia="Times New Roman" w:hAnsi="Arial" w:cs="Arial"/>
          <w:color w:val="000000"/>
          <w:sz w:val="16"/>
          <w:szCs w:val="16"/>
          <w:lang w:eastAsia="en-GB"/>
        </w:rPr>
        <w:br/>
        <w:t>- Migraine is a complex disorder with multiple pathophysiological pathways.</w:t>
      </w:r>
      <w:r w:rsidRPr="003F5F25">
        <w:rPr>
          <w:rFonts w:ascii="Arial" w:eastAsia="Times New Roman" w:hAnsi="Arial" w:cs="Arial"/>
          <w:color w:val="000000"/>
          <w:sz w:val="16"/>
          <w:szCs w:val="16"/>
          <w:lang w:eastAsia="en-GB"/>
        </w:rPr>
        <w:br/>
        <w:t>- The increasing number of available therapies (e.g., CGRP pathway drugs) necessitates a more precise method for treatment selection beyond empirical trial and error.</w:t>
      </w:r>
      <w:r w:rsidRPr="003F5F25">
        <w:rPr>
          <w:rFonts w:ascii="Arial" w:eastAsia="Times New Roman" w:hAnsi="Arial" w:cs="Arial"/>
          <w:color w:val="000000"/>
          <w:sz w:val="16"/>
          <w:szCs w:val="16"/>
          <w:lang w:eastAsia="en-GB"/>
        </w:rPr>
        <w:br/>
        <w:t>- The goal is to uncover the underlying biological mechanisms (endotypes) in individual patients, which cannot be inferred from clinical presentation (phenotype) alone.</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t>Novel Biomarkers Presented</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t>1. Fluid Biomarkers</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Tau</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xml:space="preserve">- Increased serum tau (but not CSF tau) in migraine patients, particularly </w:t>
      </w:r>
      <w:proofErr w:type="spellStart"/>
      <w:r w:rsidRPr="003F5F25">
        <w:rPr>
          <w:rFonts w:ascii="Arial" w:eastAsia="Times New Roman" w:hAnsi="Arial" w:cs="Arial"/>
          <w:color w:val="000000"/>
          <w:sz w:val="16"/>
          <w:szCs w:val="16"/>
          <w:lang w:eastAsia="en-GB"/>
        </w:rPr>
        <w:t>ictally</w:t>
      </w:r>
      <w:proofErr w:type="spellEnd"/>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xml:space="preserve">- Suggests a peripheral process, potentially indicating </w:t>
      </w:r>
      <w:proofErr w:type="spellStart"/>
      <w:r w:rsidRPr="003F5F25">
        <w:rPr>
          <w:rFonts w:ascii="Arial" w:eastAsia="Times New Roman" w:hAnsi="Arial" w:cs="Arial"/>
          <w:color w:val="000000"/>
          <w:sz w:val="16"/>
          <w:szCs w:val="16"/>
          <w:lang w:eastAsia="en-GB"/>
        </w:rPr>
        <w:t>extraneuronal</w:t>
      </w:r>
      <w:proofErr w:type="spellEnd"/>
      <w:r w:rsidRPr="003F5F25">
        <w:rPr>
          <w:rFonts w:ascii="Arial" w:eastAsia="Times New Roman" w:hAnsi="Arial" w:cs="Arial"/>
          <w:color w:val="000000"/>
          <w:sz w:val="16"/>
          <w:szCs w:val="16"/>
          <w:lang w:eastAsia="en-GB"/>
        </w:rPr>
        <w:t xml:space="preserve"> inflammation within the trigeminal vascular system.</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CX3CL1</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Increased CSF levels (but not serum levels) in migraine patients.</w:t>
      </w:r>
      <w:r w:rsidRPr="003F5F25">
        <w:rPr>
          <w:rFonts w:ascii="Arial" w:eastAsia="Times New Roman" w:hAnsi="Arial" w:cs="Arial"/>
          <w:color w:val="000000"/>
          <w:sz w:val="16"/>
          <w:szCs w:val="16"/>
          <w:lang w:eastAsia="en-GB"/>
        </w:rPr>
        <w:br/>
        <w:t>- Proposed as a marker for central neuroinflammation, specifically microglial activation.</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Soluble Urokinase Plasminogen Activator Receptor (</w:t>
      </w:r>
      <w:proofErr w:type="spellStart"/>
      <w:r w:rsidRPr="003F5F25">
        <w:rPr>
          <w:rFonts w:ascii="Arial" w:eastAsia="Times New Roman" w:hAnsi="Arial" w:cs="Arial"/>
          <w:b/>
          <w:bCs/>
          <w:color w:val="000000"/>
          <w:sz w:val="16"/>
          <w:szCs w:val="16"/>
          <w:lang w:eastAsia="en-GB"/>
        </w:rPr>
        <w:t>sUPAR</w:t>
      </w:r>
      <w:proofErr w:type="spellEnd"/>
      <w:r w:rsidRPr="003F5F25">
        <w:rPr>
          <w:rFonts w:ascii="Arial" w:eastAsia="Times New Roman" w:hAnsi="Arial" w:cs="Arial"/>
          <w:b/>
          <w:bCs/>
          <w:color w:val="000000"/>
          <w:sz w:val="16"/>
          <w:szCs w:val="16"/>
          <w:lang w:eastAsia="en-GB"/>
        </w:rPr>
        <w:t>)</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Levels were found to be increased only in patients with migraine with aura.</w:t>
      </w:r>
      <w:r w:rsidRPr="003F5F25">
        <w:rPr>
          <w:rFonts w:ascii="Arial" w:eastAsia="Times New Roman" w:hAnsi="Arial" w:cs="Arial"/>
          <w:color w:val="000000"/>
          <w:sz w:val="16"/>
          <w:szCs w:val="16"/>
          <w:lang w:eastAsia="en-GB"/>
        </w:rPr>
        <w:br/>
        <w:t>- May be a specific biomarker for neuroinflammation linked to aura-related events like cortical spreading depression.</w:t>
      </w:r>
      <w:r w:rsidRPr="003F5F25">
        <w:rPr>
          <w:rFonts w:ascii="Arial" w:eastAsia="Times New Roman" w:hAnsi="Arial" w:cs="Arial"/>
          <w:color w:val="000000"/>
          <w:sz w:val="16"/>
          <w:szCs w:val="16"/>
          <w:lang w:eastAsia="en-GB"/>
        </w:rPr>
        <w:br/>
        <w:t xml:space="preserve">- </w:t>
      </w:r>
      <w:proofErr w:type="spellStart"/>
      <w:r w:rsidRPr="003F5F25">
        <w:rPr>
          <w:rFonts w:ascii="Arial" w:eastAsia="Times New Roman" w:hAnsi="Arial" w:cs="Arial"/>
          <w:b/>
          <w:bCs/>
          <w:color w:val="000000"/>
          <w:sz w:val="16"/>
          <w:szCs w:val="16"/>
          <w:lang w:eastAsia="en-GB"/>
        </w:rPr>
        <w:t>Autotaxin</w:t>
      </w:r>
      <w:proofErr w:type="spellEnd"/>
      <w:r w:rsidRPr="003F5F25">
        <w:rPr>
          <w:rFonts w:ascii="Arial" w:eastAsia="Times New Roman" w:hAnsi="Arial" w:cs="Arial"/>
          <w:b/>
          <w:bCs/>
          <w:color w:val="000000"/>
          <w:sz w:val="16"/>
          <w:szCs w:val="16"/>
          <w:lang w:eastAsia="en-GB"/>
        </w:rPr>
        <w:t xml:space="preserve"> (ATX)</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Increased levels in migraine patients.</w:t>
      </w:r>
      <w:r w:rsidRPr="003F5F25">
        <w:rPr>
          <w:rFonts w:ascii="Arial" w:eastAsia="Times New Roman" w:hAnsi="Arial" w:cs="Arial"/>
          <w:color w:val="000000"/>
          <w:sz w:val="16"/>
          <w:szCs w:val="16"/>
          <w:lang w:eastAsia="en-GB"/>
        </w:rPr>
        <w:br/>
        <w:t>- Implicated in multiple pathways relevant to migraine, including lipophilic signalling, endothelial dysfunction, and inflammation.</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t>2. Genetic &amp; Epigenetic Markers</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Genome-Wide Association Studies (GWAS)</w:t>
      </w:r>
      <w:r w:rsidRPr="003F5F25">
        <w:rPr>
          <w:rFonts w:ascii="Arial" w:eastAsia="Times New Roman" w:hAnsi="Arial" w:cs="Arial"/>
          <w:color w:val="000000"/>
          <w:sz w:val="16"/>
          <w:szCs w:val="16"/>
          <w:lang w:eastAsia="en-GB"/>
        </w:rPr>
        <w:t xml:space="preserve"> have identified &gt;123 genetic variants for migraine. Some loci are ethnic-specific (e.g., TRPM8).</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Genetic Burden</w:t>
      </w:r>
      <w:r w:rsidRPr="003F5F25">
        <w:rPr>
          <w:rFonts w:ascii="Arial" w:eastAsia="Times New Roman" w:hAnsi="Arial" w:cs="Arial"/>
          <w:color w:val="000000"/>
          <w:sz w:val="16"/>
          <w:szCs w:val="16"/>
          <w:lang w:eastAsia="en-GB"/>
        </w:rPr>
        <w:t>: Associated with migraine severity and the presence of aura.</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MicroRNAs</w:t>
      </w:r>
      <w:r w:rsidRPr="003F5F25">
        <w:rPr>
          <w:rFonts w:ascii="Arial" w:eastAsia="Times New Roman" w:hAnsi="Arial" w:cs="Arial"/>
          <w:color w:val="000000"/>
          <w:sz w:val="16"/>
          <w:szCs w:val="16"/>
          <w:lang w:eastAsia="en-GB"/>
        </w:rPr>
        <w:t>: Investigated as dynamic biomarkers. Integrated models using both microRNA and genomic data show promise for diagnostic prediction (reported positive predictive value of ~90%).</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lastRenderedPageBreak/>
        <w:t>3. Treatment Response Prediction</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Glial Fibrillary Acidic Protein (GFAP)</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In a prospective study, higher baseline GFAP levels were associated with a poorer treatment response to CGRP monoclonal antibodies.</w:t>
      </w:r>
      <w:r w:rsidRPr="003F5F25">
        <w:rPr>
          <w:rFonts w:ascii="Arial" w:eastAsia="Times New Roman" w:hAnsi="Arial" w:cs="Arial"/>
          <w:color w:val="000000"/>
          <w:sz w:val="16"/>
          <w:szCs w:val="16"/>
          <w:lang w:eastAsia="en-GB"/>
        </w:rPr>
        <w:br/>
        <w:t>- Neurofilament light chain (</w:t>
      </w:r>
      <w:proofErr w:type="spellStart"/>
      <w:r w:rsidRPr="003F5F25">
        <w:rPr>
          <w:rFonts w:ascii="Arial" w:eastAsia="Times New Roman" w:hAnsi="Arial" w:cs="Arial"/>
          <w:color w:val="000000"/>
          <w:sz w:val="16"/>
          <w:szCs w:val="16"/>
          <w:lang w:eastAsia="en-GB"/>
        </w:rPr>
        <w:t>NfL</w:t>
      </w:r>
      <w:proofErr w:type="spellEnd"/>
      <w:r w:rsidRPr="003F5F25">
        <w:rPr>
          <w:rFonts w:ascii="Arial" w:eastAsia="Times New Roman" w:hAnsi="Arial" w:cs="Arial"/>
          <w:color w:val="000000"/>
          <w:sz w:val="16"/>
          <w:szCs w:val="16"/>
          <w:lang w:eastAsia="en-GB"/>
        </w:rPr>
        <w:t>) levels did not show a significant association with treatment response.</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Corneal Confocal Microscopy (CCM)</w:t>
      </w:r>
      <w:r w:rsidRPr="003F5F25">
        <w:rPr>
          <w:rFonts w:ascii="Arial" w:eastAsia="Times New Roman" w:hAnsi="Arial" w:cs="Arial"/>
          <w:color w:val="000000"/>
          <w:sz w:val="16"/>
          <w:szCs w:val="16"/>
          <w:lang w:eastAsia="en-GB"/>
        </w:rPr>
        <w:t>:</w:t>
      </w:r>
      <w:r w:rsidRPr="003F5F25">
        <w:rPr>
          <w:rFonts w:ascii="Arial" w:eastAsia="Times New Roman" w:hAnsi="Arial" w:cs="Arial"/>
          <w:color w:val="000000"/>
          <w:sz w:val="16"/>
          <w:szCs w:val="16"/>
          <w:lang w:eastAsia="en-GB"/>
        </w:rPr>
        <w:br/>
        <w:t>- A non-invasive technique for visualising small nerve fibres of the trigeminal nerve.</w:t>
      </w:r>
      <w:r w:rsidRPr="003F5F25">
        <w:rPr>
          <w:rFonts w:ascii="Arial" w:eastAsia="Times New Roman" w:hAnsi="Arial" w:cs="Arial"/>
          <w:color w:val="000000"/>
          <w:sz w:val="16"/>
          <w:szCs w:val="16"/>
          <w:lang w:eastAsia="en-GB"/>
        </w:rPr>
        <w:br/>
        <w:t>- Migraine patients showed reduced corneal nerve fibre density, length, and branch density compared to controls.</w:t>
      </w:r>
      <w:r w:rsidRPr="003F5F25">
        <w:rPr>
          <w:rFonts w:ascii="Arial" w:eastAsia="Times New Roman" w:hAnsi="Arial" w:cs="Arial"/>
          <w:color w:val="000000"/>
          <w:sz w:val="16"/>
          <w:szCs w:val="16"/>
          <w:lang w:eastAsia="en-GB"/>
        </w:rPr>
        <w:br/>
        <w:t>- No significant differences were noted between episodic and chronic migraine, or based on visual hypersensitivity scores. This suggests a broader peripheral nerve dysfunction in migraine.</w:t>
      </w:r>
      <w:r w:rsidRPr="003F5F25">
        <w:rPr>
          <w:rFonts w:ascii="Arial" w:eastAsia="Times New Roman" w:hAnsi="Arial" w:cs="Arial"/>
          <w:color w:val="000000"/>
          <w:sz w:val="16"/>
          <w:szCs w:val="16"/>
          <w:lang w:eastAsia="en-GB"/>
        </w:rPr>
        <w:br/>
      </w:r>
      <w:r w:rsidRPr="003F5F25">
        <w:rPr>
          <w:rFonts w:ascii="Arial" w:eastAsia="Times New Roman" w:hAnsi="Arial" w:cs="Arial"/>
          <w:color w:val="000000"/>
          <w:sz w:val="16"/>
          <w:szCs w:val="16"/>
          <w:lang w:eastAsia="en-GB"/>
        </w:rPr>
        <w:br/>
      </w:r>
      <w:r w:rsidRPr="003F5F25">
        <w:rPr>
          <w:rFonts w:ascii="Arial" w:eastAsia="Times New Roman" w:hAnsi="Arial" w:cs="Arial"/>
          <w:b/>
          <w:bCs/>
          <w:color w:val="000000"/>
          <w:sz w:val="16"/>
          <w:szCs w:val="16"/>
          <w:lang w:eastAsia="en-GB"/>
        </w:rPr>
        <w:t>Future Directions</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Validation</w:t>
      </w:r>
      <w:r w:rsidRPr="003F5F25">
        <w:rPr>
          <w:rFonts w:ascii="Arial" w:eastAsia="Times New Roman" w:hAnsi="Arial" w:cs="Arial"/>
          <w:color w:val="000000"/>
          <w:sz w:val="16"/>
          <w:szCs w:val="16"/>
          <w:lang w:eastAsia="en-GB"/>
        </w:rPr>
        <w:t>: A critical need for larger, prospective studies to validate these candidate biomarkers.</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Assay Development</w:t>
      </w:r>
      <w:r w:rsidRPr="003F5F25">
        <w:rPr>
          <w:rFonts w:ascii="Arial" w:eastAsia="Times New Roman" w:hAnsi="Arial" w:cs="Arial"/>
          <w:color w:val="000000"/>
          <w:sz w:val="16"/>
          <w:szCs w:val="16"/>
          <w:lang w:eastAsia="en-GB"/>
        </w:rPr>
        <w:t>: Creation of more sensitive and specific assays is essential (e.g., the new auto-CGRP sensitive assay mentioned).</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Integration</w:t>
      </w:r>
      <w:r w:rsidRPr="003F5F25">
        <w:rPr>
          <w:rFonts w:ascii="Arial" w:eastAsia="Times New Roman" w:hAnsi="Arial" w:cs="Arial"/>
          <w:color w:val="000000"/>
          <w:sz w:val="16"/>
          <w:szCs w:val="16"/>
          <w:lang w:eastAsia="en-GB"/>
        </w:rPr>
        <w:t>: The ultimate goal is to integrate multi-</w:t>
      </w:r>
      <w:proofErr w:type="spellStart"/>
      <w:r w:rsidRPr="003F5F25">
        <w:rPr>
          <w:rFonts w:ascii="Arial" w:eastAsia="Times New Roman" w:hAnsi="Arial" w:cs="Arial"/>
          <w:color w:val="000000"/>
          <w:sz w:val="16"/>
          <w:szCs w:val="16"/>
          <w:lang w:eastAsia="en-GB"/>
        </w:rPr>
        <w:t>omic</w:t>
      </w:r>
      <w:proofErr w:type="spellEnd"/>
      <w:r w:rsidRPr="003F5F25">
        <w:rPr>
          <w:rFonts w:ascii="Arial" w:eastAsia="Times New Roman" w:hAnsi="Arial" w:cs="Arial"/>
          <w:color w:val="000000"/>
          <w:sz w:val="16"/>
          <w:szCs w:val="16"/>
          <w:lang w:eastAsia="en-GB"/>
        </w:rPr>
        <w:t xml:space="preserve"> data (genomics, proteomics, etc.) with AI to develop robust, individualised predictive models for clinical use.</w:t>
      </w:r>
      <w:r w:rsidRPr="003F5F25">
        <w:rPr>
          <w:rFonts w:ascii="Arial" w:eastAsia="Times New Roman" w:hAnsi="Arial" w:cs="Arial"/>
          <w:color w:val="000000"/>
          <w:sz w:val="16"/>
          <w:szCs w:val="16"/>
          <w:lang w:eastAsia="en-GB"/>
        </w:rPr>
        <w:br/>
        <w:t xml:space="preserve">- </w:t>
      </w:r>
      <w:r w:rsidRPr="003F5F25">
        <w:rPr>
          <w:rFonts w:ascii="Arial" w:eastAsia="Times New Roman" w:hAnsi="Arial" w:cs="Arial"/>
          <w:b/>
          <w:bCs/>
          <w:color w:val="000000"/>
          <w:sz w:val="16"/>
          <w:szCs w:val="16"/>
          <w:lang w:eastAsia="en-GB"/>
        </w:rPr>
        <w:t>CCM</w:t>
      </w:r>
      <w:r w:rsidRPr="003F5F25">
        <w:rPr>
          <w:rFonts w:ascii="Arial" w:eastAsia="Times New Roman" w:hAnsi="Arial" w:cs="Arial"/>
          <w:color w:val="000000"/>
          <w:sz w:val="16"/>
          <w:szCs w:val="16"/>
          <w:lang w:eastAsia="en-GB"/>
        </w:rPr>
        <w:t>: Future studies should investigate if CCM can detect changes in corneal nerve fibres in response to treatment, potentially serving as an early marker of therapeutic efficacy.</w:t>
      </w:r>
    </w:p>
    <w:p w14:paraId="6ADEAE45" w14:textId="77777777" w:rsidR="003F5F25" w:rsidRPr="003079C4" w:rsidRDefault="003F5F25" w:rsidP="003F5F25">
      <w:pPr>
        <w:shd w:val="clear" w:color="auto" w:fill="FCFBFB"/>
        <w:spacing w:before="100" w:beforeAutospacing="1" w:after="100" w:afterAutospacing="1"/>
        <w:rPr>
          <w:rFonts w:ascii="Arial" w:eastAsia="Times New Roman" w:hAnsi="Arial" w:cs="Arial"/>
          <w:color w:val="000000"/>
          <w:sz w:val="23"/>
          <w:szCs w:val="23"/>
          <w:lang w:eastAsia="en-GB"/>
        </w:rPr>
      </w:pPr>
    </w:p>
    <w:p w14:paraId="7BD07FC7" w14:textId="77777777" w:rsidR="003F5F25" w:rsidRDefault="003F5F25" w:rsidP="003F5F25"/>
    <w:p w14:paraId="48E94121" w14:textId="449BE658" w:rsidR="00805B85" w:rsidRDefault="00805B85"/>
    <w:p w14:paraId="2BE09FC0" w14:textId="1432C6CC" w:rsidR="00805B85" w:rsidRPr="00805B85" w:rsidRDefault="00805B85" w:rsidP="00805B85">
      <w:pPr>
        <w:pStyle w:val="ListParagraph"/>
        <w:numPr>
          <w:ilvl w:val="0"/>
          <w:numId w:val="1"/>
        </w:numPr>
      </w:pPr>
      <w:r w:rsidRPr="00805B85">
        <w:rPr>
          <w:b/>
          <w:bCs/>
        </w:rPr>
        <w:t>Lectures on Migraine and Trigeminal Autonomic Cephalalgias (TACs)</w:t>
      </w:r>
    </w:p>
    <w:p w14:paraId="78EB35BD" w14:textId="77777777" w:rsidR="00805B85" w:rsidRDefault="00805B85" w:rsidP="00805B85">
      <w:pPr>
        <w:pStyle w:val="ListParagraph"/>
      </w:pPr>
    </w:p>
    <w:p w14:paraId="289DBA66" w14:textId="77777777" w:rsidR="001D7781" w:rsidRDefault="00805B85" w:rsidP="00805B85">
      <w:pPr>
        <w:ind w:left="360"/>
      </w:pPr>
      <w:r w:rsidRPr="00805B85">
        <w:rPr>
          <w:b/>
          <w:bCs/>
        </w:rPr>
        <w:t>Migraine, Neuroinflammation, and Neurodegeneration</w:t>
      </w:r>
      <w:r w:rsidRPr="00805B85">
        <w:br/>
        <w:t>- Migraine is associated with neuroinflammation, particularly in chronic forms, as evidenced by imaging, blood, and CSF markers.</w:t>
      </w:r>
      <w:r w:rsidRPr="00805B85">
        <w:br/>
        <w:t>- This inflammatory state may be a precursor to neurodegeneration. Studies suggest a link between migraine and an increased risk for diseases such as multiple sclerosis, dementia, and Parkinson's disease.</w:t>
      </w:r>
      <w:r w:rsidRPr="00805B85">
        <w:br/>
      </w:r>
    </w:p>
    <w:p w14:paraId="330AD455" w14:textId="61DE4F86" w:rsidR="00C01B98" w:rsidRDefault="00805B85" w:rsidP="00805B85">
      <w:pPr>
        <w:ind w:left="360"/>
      </w:pPr>
      <w:r w:rsidRPr="00805B85">
        <w:rPr>
          <w:b/>
          <w:bCs/>
        </w:rPr>
        <w:t>Role of Alpha-Synuclein:</w:t>
      </w:r>
      <w:r w:rsidRPr="00805B85">
        <w:br/>
        <w:t>- This protein is proposed as a potential mechanistic link between migraine and neurodegeneration.</w:t>
      </w:r>
      <w:r w:rsidRPr="00805B85">
        <w:br/>
        <w:t>- In preclinical models, alpha-synuclein appears to increase trigeminal afferent excitability. Its absence results in desensitisation of these afferents.</w:t>
      </w:r>
      <w:r w:rsidRPr="00805B85">
        <w:br/>
      </w:r>
    </w:p>
    <w:p w14:paraId="37ABD1D6" w14:textId="77777777" w:rsidR="00C01B98" w:rsidRDefault="00805B85" w:rsidP="00805B85">
      <w:pPr>
        <w:ind w:left="360"/>
      </w:pPr>
      <w:r w:rsidRPr="00805B85">
        <w:rPr>
          <w:b/>
          <w:bCs/>
        </w:rPr>
        <w:t>Therapeutic Implications:</w:t>
      </w:r>
      <w:r w:rsidRPr="00805B85">
        <w:br/>
        <w:t xml:space="preserve">- The clinical focus should shift from solely treating acute attacks to preventing disease progression. Early, effective treatment of high-frequency episodic migraine is key to preventing </w:t>
      </w:r>
      <w:proofErr w:type="spellStart"/>
      <w:r w:rsidRPr="00805B85">
        <w:t>chronification</w:t>
      </w:r>
      <w:proofErr w:type="spellEnd"/>
      <w:r w:rsidRPr="00805B85">
        <w:t xml:space="preserve"> and potential neurodegenerative changes.</w:t>
      </w:r>
      <w:r w:rsidRPr="00805B85">
        <w:br/>
        <w:t>- Existing migraine therapies may offer neuroprotective effects. For instance, memantine (NMDA blocker) also reduces adhesion proteins, and candesartan has shown protective effects against alpha-synuclein-induced neuroinflammation.</w:t>
      </w:r>
      <w:r w:rsidRPr="00805B85">
        <w:br/>
      </w:r>
      <w:r w:rsidRPr="00805B85">
        <w:br/>
      </w:r>
      <w:r w:rsidRPr="00805B85">
        <w:rPr>
          <w:b/>
          <w:bCs/>
        </w:rPr>
        <w:t>Neuropeptide Mechanisms in Trigeminal Autonomic Cephalalgias (TACs)</w:t>
      </w:r>
      <w:r w:rsidRPr="00805B85">
        <w:br/>
      </w:r>
      <w:r w:rsidRPr="00805B85">
        <w:rPr>
          <w:b/>
          <w:bCs/>
        </w:rPr>
        <w:t>Overview of TACs:</w:t>
      </w:r>
      <w:r w:rsidRPr="00805B85">
        <w:br/>
        <w:t>- Includes cluster headache, paroxysmal hemicrania, and hemicrania continua.</w:t>
      </w:r>
      <w:r w:rsidRPr="00805B85">
        <w:br/>
        <w:t>- Characterised by unilateral, periorbital pain and cranial autonomic symptoms (e.g., rhinorrhoea, lacrimation).</w:t>
      </w:r>
      <w:r w:rsidRPr="00805B85">
        <w:br/>
      </w:r>
    </w:p>
    <w:p w14:paraId="30D5BD3D" w14:textId="77777777" w:rsidR="00C01B98" w:rsidRDefault="00805B85" w:rsidP="00805B85">
      <w:pPr>
        <w:ind w:left="360"/>
      </w:pPr>
      <w:r w:rsidRPr="00805B85">
        <w:rPr>
          <w:b/>
          <w:bCs/>
        </w:rPr>
        <w:lastRenderedPageBreak/>
        <w:t>Pathophysiology:</w:t>
      </w:r>
      <w:r w:rsidRPr="00805B85">
        <w:br/>
        <w:t>- Involves parallel activation of the trigeminal sensory system and the parasympathetic outflow via the sphenopalatine ganglion (trigeminal autonomic reflex).</w:t>
      </w:r>
      <w:r w:rsidRPr="00805B85">
        <w:br/>
        <w:t>- Significant hypothalamic involvement is evident, especially in cluster headache, driving the circadian rhythm of attacks. Approximately 70% of cluster headache patients experience this pattern (e.g., attacks around 2:00 am).</w:t>
      </w:r>
      <w:r w:rsidRPr="00805B85">
        <w:br/>
      </w:r>
    </w:p>
    <w:p w14:paraId="00A41885" w14:textId="77777777" w:rsidR="00C01B98" w:rsidRDefault="00805B85" w:rsidP="00805B85">
      <w:pPr>
        <w:ind w:left="360"/>
      </w:pPr>
      <w:r w:rsidRPr="00805B85">
        <w:rPr>
          <w:b/>
          <w:bCs/>
        </w:rPr>
        <w:t>Key Neuropeptides and Therapeutic Targets:</w:t>
      </w:r>
      <w:r w:rsidRPr="00805B85">
        <w:br/>
        <w:t xml:space="preserve">- </w:t>
      </w:r>
      <w:r w:rsidRPr="00805B85">
        <w:rPr>
          <w:b/>
          <w:bCs/>
        </w:rPr>
        <w:t>CGRP:</w:t>
      </w:r>
      <w:r w:rsidRPr="00805B85">
        <w:t xml:space="preserve"> Levels are increased across all TACs. CGRP antagonists (e.g., </w:t>
      </w:r>
      <w:proofErr w:type="spellStart"/>
      <w:r w:rsidRPr="00805B85">
        <w:t>galcanezumab</w:t>
      </w:r>
      <w:proofErr w:type="spellEnd"/>
      <w:r w:rsidRPr="00805B85">
        <w:t>) are effective in episodic cluster headache. Their efficacy may be less pronounced than in migraine, potentially due to lower CGRP receptor density in the sphenopalatine ganglion compared to the trigeminal ganglion.</w:t>
      </w:r>
      <w:r w:rsidRPr="00805B85">
        <w:br/>
        <w:t xml:space="preserve">- </w:t>
      </w:r>
      <w:r w:rsidRPr="00805B85">
        <w:rPr>
          <w:b/>
          <w:bCs/>
        </w:rPr>
        <w:t>PACAP:</w:t>
      </w:r>
      <w:r w:rsidRPr="00805B85">
        <w:t xml:space="preserve"> A key molecule in TACs, with high expression of PACAP and its PAC1 receptor in the sphenopalatine ganglion. Its role in light entrainment of the circadian clock suggests PACAP-targeted therapies could impact the cyclical nature of TACs.</w:t>
      </w:r>
      <w:r w:rsidRPr="00805B85">
        <w:br/>
        <w:t xml:space="preserve">- </w:t>
      </w:r>
      <w:r w:rsidRPr="00805B85">
        <w:rPr>
          <w:b/>
          <w:bCs/>
        </w:rPr>
        <w:t>Bout-Related Sensitivity:</w:t>
      </w:r>
      <w:r w:rsidRPr="00805B85">
        <w:t xml:space="preserve"> In cluster headache, neuropeptide sensitivity (to CGRP and PACAP) is "switched on" during active bouts and absent in remission. The underlying mechanism for this switch remains an area for research.</w:t>
      </w:r>
      <w:r w:rsidRPr="00805B85">
        <w:br/>
      </w:r>
    </w:p>
    <w:p w14:paraId="6A049A39" w14:textId="77777777" w:rsidR="00C01B98" w:rsidRDefault="00805B85" w:rsidP="00C01B98">
      <w:pPr>
        <w:ind w:left="360"/>
      </w:pPr>
      <w:r w:rsidRPr="00805B85">
        <w:rPr>
          <w:b/>
          <w:bCs/>
        </w:rPr>
        <w:t>Other Neuropeptides:</w:t>
      </w:r>
      <w:r w:rsidRPr="00805B85">
        <w:br/>
        <w:t xml:space="preserve">- </w:t>
      </w:r>
      <w:r w:rsidRPr="00805B85">
        <w:rPr>
          <w:b/>
          <w:bCs/>
        </w:rPr>
        <w:t>Orexin:</w:t>
      </w:r>
      <w:r w:rsidRPr="00805B85">
        <w:t xml:space="preserve"> Orexin-A (anti-nociceptive) may be reduced in cluster headache. Orexin-B (pro-nociceptive) may be increased in paroxysmal hemicrania.</w:t>
      </w:r>
      <w:r w:rsidRPr="00805B85">
        <w:br/>
        <w:t xml:space="preserve">- </w:t>
      </w:r>
      <w:r w:rsidRPr="00805B85">
        <w:rPr>
          <w:b/>
          <w:bCs/>
        </w:rPr>
        <w:t>Somatostatin:</w:t>
      </w:r>
      <w:r w:rsidRPr="00805B85">
        <w:t xml:space="preserve"> Octreotide has demonstrated efficacy in treating cluster headache attacks.</w:t>
      </w:r>
      <w:r w:rsidRPr="00805B85">
        <w:br/>
        <w:t xml:space="preserve">- </w:t>
      </w:r>
      <w:r w:rsidRPr="00805B85">
        <w:rPr>
          <w:b/>
          <w:bCs/>
        </w:rPr>
        <w:t>Serotonin (5-HT1B/1D):</w:t>
      </w:r>
      <w:r w:rsidRPr="00805B85">
        <w:t xml:space="preserve"> Receptors are present in the sphenopalatine ganglion, explaining the efficacy of triptans (e.g., subcutaneous sumatriptan) in cluster headache.</w:t>
      </w:r>
      <w:r w:rsidRPr="00805B85">
        <w:br/>
      </w:r>
      <w:r w:rsidRPr="00805B85">
        <w:br/>
      </w:r>
      <w:r w:rsidRPr="00805B85">
        <w:rPr>
          <w:b/>
          <w:bCs/>
        </w:rPr>
        <w:t>Semaglutide as a Potential Therapy for Chronic Migraine</w:t>
      </w:r>
      <w:r w:rsidRPr="00805B85">
        <w:br/>
      </w:r>
      <w:r w:rsidRPr="00805B85">
        <w:rPr>
          <w:b/>
          <w:bCs/>
        </w:rPr>
        <w:t>Preclinical Findings:</w:t>
      </w:r>
      <w:r w:rsidRPr="00805B85">
        <w:br/>
        <w:t xml:space="preserve">- In a </w:t>
      </w:r>
      <w:proofErr w:type="spellStart"/>
      <w:r w:rsidRPr="00805B85">
        <w:t>nitroglycerin</w:t>
      </w:r>
      <w:proofErr w:type="spellEnd"/>
      <w:r w:rsidRPr="00805B85">
        <w:t>-induced animal model of chronic migraine, semaglutide reduced pain hypersensitivity and, notably, reversed cognitive deficits (impaired recognition memory).</w:t>
      </w:r>
      <w:r w:rsidRPr="00805B85">
        <w:br/>
        <w:t>- Propranolol, used as a reference, did not improve cognitive function in the same model.</w:t>
      </w:r>
      <w:r w:rsidRPr="00805B85">
        <w:br/>
      </w:r>
    </w:p>
    <w:p w14:paraId="227192E1" w14:textId="77777777" w:rsidR="00C01B98" w:rsidRDefault="00805B85" w:rsidP="00C01B98">
      <w:pPr>
        <w:ind w:left="360"/>
      </w:pPr>
      <w:r w:rsidRPr="00805B85">
        <w:rPr>
          <w:b/>
          <w:bCs/>
        </w:rPr>
        <w:t>Mechanism of Action:</w:t>
      </w:r>
      <w:r w:rsidRPr="00805B85">
        <w:br/>
        <w:t>- The effects of semaglutide were attenuated by naloxone, suggesting mediation via endogenous opioid pathways.</w:t>
      </w:r>
      <w:r w:rsidRPr="00805B85">
        <w:br/>
        <w:t>- A central mechanism is proposed, supported by sex-specific increases in mRNA for GLP-1 receptors and pro-opiomelanocortin (POMC) in the brainstem, with no changes observed in the trigeminal ganglion.</w:t>
      </w:r>
      <w:r w:rsidRPr="00805B85">
        <w:br/>
      </w:r>
    </w:p>
    <w:p w14:paraId="7B0138C1" w14:textId="1DB42163" w:rsidR="00805B85" w:rsidRPr="00805B85" w:rsidRDefault="00805B85" w:rsidP="00C01B98">
      <w:pPr>
        <w:ind w:left="360"/>
      </w:pPr>
      <w:r w:rsidRPr="00805B85">
        <w:rPr>
          <w:b/>
          <w:bCs/>
        </w:rPr>
        <w:t>Clinical Potential:</w:t>
      </w:r>
      <w:r w:rsidRPr="00805B85">
        <w:br/>
        <w:t>- These findings highlight GLP-1 receptor agonists like semaglutide as a promising therapeutic strategy for targeting both the pain and the often-overlooked cognitive symptoms of chronic migraine.</w:t>
      </w:r>
    </w:p>
    <w:p w14:paraId="0AD89E0C" w14:textId="77777777" w:rsidR="00805B85" w:rsidRDefault="00805B85" w:rsidP="00805B85">
      <w:pPr>
        <w:pStyle w:val="ListParagraph"/>
      </w:pPr>
    </w:p>
    <w:p w14:paraId="41D45BF5" w14:textId="27938547" w:rsidR="00805B85" w:rsidRPr="00805B85" w:rsidRDefault="00805B85" w:rsidP="00805B85">
      <w:pPr>
        <w:pStyle w:val="ListParagraph"/>
        <w:numPr>
          <w:ilvl w:val="0"/>
          <w:numId w:val="1"/>
        </w:numPr>
      </w:pPr>
      <w:r w:rsidRPr="00805B85">
        <w:rPr>
          <w:b/>
          <w:bCs/>
        </w:rPr>
        <w:t>Debate on Neuromodulation as a Future Therapy for Primary Headache Disorders</w:t>
      </w:r>
    </w:p>
    <w:p w14:paraId="616CCEA1" w14:textId="203B84DE" w:rsidR="00805B85" w:rsidRDefault="00805B85" w:rsidP="00805B85"/>
    <w:p w14:paraId="0F5705D5" w14:textId="77777777" w:rsidR="00C01B98" w:rsidRDefault="00805B85" w:rsidP="00C01B98">
      <w:pPr>
        <w:ind w:left="360"/>
      </w:pPr>
      <w:r w:rsidRPr="00805B85">
        <w:rPr>
          <w:b/>
          <w:bCs/>
        </w:rPr>
        <w:t>Overview:</w:t>
      </w:r>
      <w:r w:rsidRPr="00805B85">
        <w:br/>
        <w:t xml:space="preserve">A debate was held to discuss the proposition that neuromodulation is the future therapy for primary headache disorders and should be further studied and implemented. The session included arguments for (Dr. Rolf Fronczek) and against (Dr. Koen </w:t>
      </w:r>
      <w:proofErr w:type="spellStart"/>
      <w:r w:rsidRPr="00805B85">
        <w:t>Paemeleire</w:t>
      </w:r>
      <w:proofErr w:type="spellEnd"/>
      <w:r w:rsidRPr="00805B85">
        <w:t>) the proposition, followed by a discussion.</w:t>
      </w:r>
      <w:r w:rsidRPr="00805B85">
        <w:br/>
      </w:r>
      <w:r w:rsidRPr="00805B85">
        <w:br/>
      </w:r>
      <w:r w:rsidRPr="00805B85">
        <w:rPr>
          <w:b/>
          <w:bCs/>
        </w:rPr>
        <w:t>Arguments for Neuromodulation (Dr. Rolf Fronczek):</w:t>
      </w:r>
      <w:r w:rsidRPr="00805B85">
        <w:br/>
      </w:r>
      <w:r w:rsidRPr="00805B85">
        <w:rPr>
          <w:b/>
          <w:bCs/>
        </w:rPr>
        <w:t>Accumulating Evidence:</w:t>
      </w:r>
      <w:r w:rsidRPr="00805B85">
        <w:t xml:space="preserve"> There is a growing body of evidence, including RCTs, supporting the efficacy of neuromodulation, particularly for cluster headache and migraine. Occipital nerve stimulation (ONS) has the most evidence.</w:t>
      </w:r>
      <w:r w:rsidRPr="00805B85">
        <w:br/>
        <w:t xml:space="preserve"> </w:t>
      </w:r>
    </w:p>
    <w:p w14:paraId="58C1FE16" w14:textId="77777777" w:rsidR="00C01B98" w:rsidRDefault="00805B85" w:rsidP="00C01B98">
      <w:pPr>
        <w:ind w:left="360"/>
      </w:pPr>
      <w:r w:rsidRPr="00805B85">
        <w:rPr>
          <w:b/>
          <w:bCs/>
        </w:rPr>
        <w:t>Pathophysiological Insight:</w:t>
      </w:r>
      <w:r w:rsidRPr="00805B85">
        <w:t xml:space="preserve"> Studying the mechanisms of neuromodulation can enhance the understanding of headache disorders like cluster headache and migraine.</w:t>
      </w:r>
      <w:r w:rsidRPr="00805B85">
        <w:br/>
      </w:r>
    </w:p>
    <w:p w14:paraId="46F22CEB" w14:textId="77777777" w:rsidR="00C01B98" w:rsidRDefault="00805B85" w:rsidP="00C01B98">
      <w:pPr>
        <w:ind w:left="360"/>
      </w:pPr>
      <w:r w:rsidRPr="00805B85">
        <w:rPr>
          <w:b/>
          <w:bCs/>
        </w:rPr>
        <w:t>Unmet Clinical Need:</w:t>
      </w:r>
      <w:r w:rsidRPr="00805B85">
        <w:t xml:space="preserve"> Neuromodulation offers a valuable option for patients with severe, refractory chronic migraine and chronic cluster headache who have failed conventional therapies.</w:t>
      </w:r>
      <w:r w:rsidRPr="00805B85">
        <w:br/>
      </w:r>
    </w:p>
    <w:p w14:paraId="165D4FB9" w14:textId="77777777" w:rsidR="00C01B98" w:rsidRDefault="00805B85" w:rsidP="00C01B98">
      <w:pPr>
        <w:ind w:left="360"/>
      </w:pPr>
      <w:r w:rsidRPr="00805B85">
        <w:rPr>
          <w:b/>
          <w:bCs/>
        </w:rPr>
        <w:t>ONS for Chronic Cluster Headache:</w:t>
      </w:r>
      <w:r w:rsidRPr="00805B85">
        <w:t xml:space="preserve"> Long-term data from the ICON trial's open-label extension shows sustained attack reduction (for up to 9 years) and improved quality of life. Patients report less severe attacks, better response to acute medication, and improved sleep, even those not meeting the 50% responder endpoint.</w:t>
      </w:r>
      <w:r w:rsidRPr="00805B85">
        <w:br/>
      </w:r>
    </w:p>
    <w:p w14:paraId="0C2FCB97" w14:textId="77777777" w:rsidR="00C01B98" w:rsidRDefault="00805B85" w:rsidP="00C01B98">
      <w:pPr>
        <w:ind w:left="360"/>
      </w:pPr>
      <w:r w:rsidRPr="00805B85">
        <w:rPr>
          <w:b/>
          <w:bCs/>
        </w:rPr>
        <w:t>Adverse Events:</w:t>
      </w:r>
      <w:r w:rsidRPr="00805B85">
        <w:t xml:space="preserve"> While early ONS systems had high adverse event rates (e.g., lead migration/breakage), newer dedicated leads have significantly improved safety and reduced the need for re-operation.</w:t>
      </w:r>
      <w:r w:rsidRPr="00805B85">
        <w:br/>
      </w:r>
    </w:p>
    <w:p w14:paraId="4A2F40FF" w14:textId="77777777" w:rsidR="00C01B98" w:rsidRDefault="00805B85" w:rsidP="00C01B98">
      <w:pPr>
        <w:ind w:left="360"/>
      </w:pPr>
      <w:r w:rsidRPr="00805B85">
        <w:rPr>
          <w:b/>
          <w:bCs/>
        </w:rPr>
        <w:t>Other Devices:</w:t>
      </w:r>
      <w:r w:rsidRPr="00805B85">
        <w:br/>
        <w:t xml:space="preserve">- </w:t>
      </w:r>
      <w:r w:rsidRPr="00805B85">
        <w:rPr>
          <w:b/>
          <w:bCs/>
        </w:rPr>
        <w:t>Sphenopalatine Ganglion (SPG) Stimulation:</w:t>
      </w:r>
      <w:r w:rsidRPr="00805B85">
        <w:t xml:space="preserve"> An RCT demonstrated an acute effect, and open-label data suggests a preventive effect, but the device is not currently available.</w:t>
      </w:r>
      <w:r w:rsidRPr="00805B85">
        <w:br/>
        <w:t xml:space="preserve">- </w:t>
      </w:r>
      <w:r w:rsidRPr="00805B85">
        <w:rPr>
          <w:b/>
          <w:bCs/>
        </w:rPr>
        <w:t xml:space="preserve">Non-invasive </w:t>
      </w:r>
      <w:proofErr w:type="spellStart"/>
      <w:r w:rsidRPr="00805B85">
        <w:rPr>
          <w:b/>
          <w:bCs/>
        </w:rPr>
        <w:t>Vagus</w:t>
      </w:r>
      <w:proofErr w:type="spellEnd"/>
      <w:r w:rsidRPr="00805B85">
        <w:rPr>
          <w:b/>
          <w:bCs/>
        </w:rPr>
        <w:t xml:space="preserve"> Nerve Stimulation (</w:t>
      </w:r>
      <w:proofErr w:type="spellStart"/>
      <w:r w:rsidRPr="00805B85">
        <w:rPr>
          <w:b/>
          <w:bCs/>
        </w:rPr>
        <w:t>nVNS</w:t>
      </w:r>
      <w:proofErr w:type="spellEnd"/>
      <w:r w:rsidRPr="00805B85">
        <w:rPr>
          <w:b/>
          <w:bCs/>
        </w:rPr>
        <w:t>):</w:t>
      </w:r>
      <w:r w:rsidRPr="00805B85">
        <w:t xml:space="preserve"> Has shown an acute effect in episodic cluster headache and is recommended in EAN guidelines.</w:t>
      </w:r>
      <w:r w:rsidRPr="00805B85">
        <w:br/>
      </w:r>
      <w:r w:rsidRPr="00805B85">
        <w:br/>
      </w:r>
      <w:r w:rsidRPr="00805B85">
        <w:rPr>
          <w:b/>
          <w:bCs/>
        </w:rPr>
        <w:t xml:space="preserve">Arguments Against Neuromodulation (Dr. Koen </w:t>
      </w:r>
      <w:proofErr w:type="spellStart"/>
      <w:r w:rsidRPr="00805B85">
        <w:rPr>
          <w:b/>
          <w:bCs/>
        </w:rPr>
        <w:t>Paemeleire</w:t>
      </w:r>
      <w:proofErr w:type="spellEnd"/>
      <w:r w:rsidRPr="00805B85">
        <w:rPr>
          <w:b/>
          <w:bCs/>
        </w:rPr>
        <w:t>):</w:t>
      </w:r>
      <w:r w:rsidRPr="00805B85">
        <w:br/>
      </w:r>
    </w:p>
    <w:p w14:paraId="77E1D2D5" w14:textId="77777777" w:rsidR="00C01B98" w:rsidRDefault="00805B85" w:rsidP="00C01B98">
      <w:pPr>
        <w:ind w:left="360"/>
      </w:pPr>
      <w:r w:rsidRPr="00805B85">
        <w:rPr>
          <w:b/>
          <w:bCs/>
        </w:rPr>
        <w:t>Methodological Flaws in Trials:</w:t>
      </w:r>
      <w:r w:rsidRPr="00805B85">
        <w:t xml:space="preserve"> Many sham-controlled RCTs for neuromodulation devices suffer from significant methodological and reporting deficiencies, such as inadequate blinding, failure to assess blinding, and not meeting primary endpoints.</w:t>
      </w:r>
      <w:r w:rsidRPr="00805B85">
        <w:br/>
      </w:r>
    </w:p>
    <w:p w14:paraId="5FD13303" w14:textId="77777777" w:rsidR="00C01B98" w:rsidRDefault="00805B85" w:rsidP="00C01B98">
      <w:pPr>
        <w:ind w:left="360"/>
      </w:pPr>
      <w:r w:rsidRPr="00805B85">
        <w:rPr>
          <w:b/>
          <w:bCs/>
        </w:rPr>
        <w:t>Low-Quality Evidence for Non-Invasive Devices:</w:t>
      </w:r>
      <w:r w:rsidRPr="00805B85">
        <w:br/>
        <w:t>- A systematic review by the International Headache Society concluded that the evidence for most non-invasive devices in migraine is of low or very low quality.</w:t>
      </w:r>
      <w:r w:rsidRPr="00805B85">
        <w:br/>
        <w:t xml:space="preserve">- Trials for </w:t>
      </w:r>
      <w:proofErr w:type="spellStart"/>
      <w:r w:rsidRPr="00805B85">
        <w:t>nVNS</w:t>
      </w:r>
      <w:proofErr w:type="spellEnd"/>
      <w:r w:rsidRPr="00805B85">
        <w:t xml:space="preserve"> (</w:t>
      </w:r>
      <w:proofErr w:type="spellStart"/>
      <w:r w:rsidRPr="00805B85">
        <w:t>gammaCore</w:t>
      </w:r>
      <w:proofErr w:type="spellEnd"/>
      <w:r w:rsidRPr="00805B85">
        <w:t xml:space="preserve">) in migraine prevention and chronic cluster headache were negative. The positive recommendation for acute episodic cluster headache is based on a post-hoc pooled analysis of subgroups from two otherwise negative trials </w:t>
      </w:r>
      <w:r w:rsidRPr="00805B85">
        <w:lastRenderedPageBreak/>
        <w:t>(ACT1, ACT2).</w:t>
      </w:r>
      <w:r w:rsidRPr="00805B85">
        <w:br/>
      </w:r>
    </w:p>
    <w:p w14:paraId="4A47356C" w14:textId="77777777" w:rsidR="00C01B98" w:rsidRDefault="00805B85" w:rsidP="00C01B98">
      <w:pPr>
        <w:ind w:left="360"/>
      </w:pPr>
      <w:r w:rsidRPr="00805B85">
        <w:rPr>
          <w:b/>
          <w:bCs/>
        </w:rPr>
        <w:t>Negative or Flawed Invasive Device Trials:</w:t>
      </w:r>
      <w:r w:rsidRPr="00805B85">
        <w:br/>
        <w:t xml:space="preserve">- </w:t>
      </w:r>
      <w:r w:rsidRPr="00805B85">
        <w:rPr>
          <w:b/>
          <w:bCs/>
        </w:rPr>
        <w:t>Hypothalamic DBS:</w:t>
      </w:r>
      <w:r w:rsidRPr="00805B85">
        <w:t xml:space="preserve"> A multicentre, double-blind RCT in chronic cluster headache was negative, showing no significant difference between active and sham stimulation.</w:t>
      </w:r>
      <w:r w:rsidRPr="00805B85">
        <w:br/>
        <w:t xml:space="preserve">- </w:t>
      </w:r>
      <w:r w:rsidRPr="00805B85">
        <w:rPr>
          <w:b/>
          <w:bCs/>
        </w:rPr>
        <w:t>ONS for Chronic Migraine:</w:t>
      </w:r>
      <w:r w:rsidRPr="00805B85">
        <w:t xml:space="preserve"> Key sham-controlled RCTs (PRISM, ONSTIM, St. Jude) were negative or failed to meet their primary endpoints.</w:t>
      </w:r>
      <w:r w:rsidRPr="00805B85">
        <w:br/>
        <w:t xml:space="preserve">- </w:t>
      </w:r>
      <w:r w:rsidRPr="00805B85">
        <w:rPr>
          <w:b/>
          <w:bCs/>
        </w:rPr>
        <w:t>ONS for Chronic Cluster Headache (ICON Trial):</w:t>
      </w:r>
      <w:r w:rsidRPr="00805B85">
        <w:t xml:space="preserve"> The trial failed its primary endpoint, showing no statistically significant difference in attack reduction between the 100% and 30% stimulation groups, making it impossible to exclude a placebo effect.</w:t>
      </w:r>
      <w:r w:rsidRPr="00805B85">
        <w:br/>
      </w:r>
      <w:r w:rsidRPr="00805B85">
        <w:br/>
      </w:r>
      <w:r w:rsidRPr="00805B85">
        <w:rPr>
          <w:b/>
          <w:bCs/>
        </w:rPr>
        <w:t>Key Discussion Points:</w:t>
      </w:r>
      <w:r w:rsidRPr="00805B85">
        <w:br/>
      </w:r>
      <w:r w:rsidRPr="00805B85">
        <w:rPr>
          <w:b/>
          <w:bCs/>
        </w:rPr>
        <w:t>Placebo Effect:</w:t>
      </w:r>
      <w:r w:rsidRPr="00805B85">
        <w:t xml:space="preserve"> Both speakers acknowledged the powerful and sustained placebo effect associated with surgical and device-based interventions, which complicates trial interpretation. The need for robust, well-designed, and adequately blinded sham-controlled trials is critical.</w:t>
      </w:r>
      <w:r w:rsidRPr="00805B85">
        <w:br/>
      </w:r>
    </w:p>
    <w:p w14:paraId="5733F5C9" w14:textId="77777777" w:rsidR="00C01B98" w:rsidRDefault="00805B85" w:rsidP="00C01B98">
      <w:pPr>
        <w:ind w:left="360"/>
      </w:pPr>
      <w:r w:rsidRPr="00805B85">
        <w:rPr>
          <w:b/>
          <w:bCs/>
        </w:rPr>
        <w:t>Trial Design Challenges:</w:t>
      </w:r>
      <w:r w:rsidRPr="00805B85">
        <w:t xml:space="preserve"> The cyclical nature of cluster headache, difficulties in achieving effective blinding (especially with therapies causing paraesthesia), and defining appropriate endpoints pose significant challenges for conducting high-quality research.</w:t>
      </w:r>
      <w:r w:rsidRPr="00805B85">
        <w:br/>
      </w:r>
    </w:p>
    <w:p w14:paraId="475CB23E" w14:textId="10C10044" w:rsidR="00805B85" w:rsidRPr="00805B85" w:rsidRDefault="00805B85" w:rsidP="00C01B98">
      <w:pPr>
        <w:ind w:left="360"/>
      </w:pPr>
      <w:r w:rsidRPr="00805B85">
        <w:rPr>
          <w:b/>
          <w:bCs/>
        </w:rPr>
        <w:t>Future Direction:</w:t>
      </w:r>
      <w:r w:rsidRPr="00805B85">
        <w:t xml:space="preserve"> There was agreement on the necessity for continued, rigorous research with high-quality RCTs to definitively establish efficacy and safety before widespread clinical adoption.</w:t>
      </w:r>
      <w:r w:rsidRPr="00805B85">
        <w:br/>
      </w:r>
      <w:r w:rsidRPr="00805B85">
        <w:br/>
      </w:r>
      <w:r w:rsidRPr="00805B85">
        <w:rPr>
          <w:b/>
          <w:bCs/>
        </w:rPr>
        <w:t>Conclusion:</w:t>
      </w:r>
      <w:r w:rsidRPr="00805B85">
        <w:br/>
        <w:t>An initial audience poll showed 88% in favour of neuromodulation. After the debate, a final poll showed the audience was evenly split (approximately 50/50), reflecting that the critical evaluation of the evidence raised significant doubts about the current standing of neuromodulation as a definitive future therapy for primary headaches.</w:t>
      </w:r>
    </w:p>
    <w:p w14:paraId="266500E2" w14:textId="77777777" w:rsidR="00805B85" w:rsidRDefault="00805B85" w:rsidP="00805B85"/>
    <w:p w14:paraId="6C68FFB7" w14:textId="77777777" w:rsidR="003F5F25" w:rsidRDefault="003F5F25" w:rsidP="003F5F25">
      <w:r>
        <w:rPr>
          <w:b/>
          <w:bCs/>
        </w:rPr>
        <w:t xml:space="preserve">Summary of Lectures </w:t>
      </w:r>
    </w:p>
    <w:p w14:paraId="13270964" w14:textId="77777777" w:rsidR="003F5F25" w:rsidRDefault="003F5F25" w:rsidP="003F5F25">
      <w:r>
        <w:rPr>
          <w:rStyle w:val="Strong"/>
        </w:rPr>
        <w:t>Event:</w:t>
      </w:r>
      <w:r>
        <w:t xml:space="preserve"> European Headache Congress (EHC)</w:t>
      </w:r>
    </w:p>
    <w:p w14:paraId="5BA0092F" w14:textId="77777777" w:rsidR="003F5F25" w:rsidRDefault="003F5F25" w:rsidP="003F5F25">
      <w:r>
        <w:rPr>
          <w:b/>
          <w:bCs/>
        </w:rPr>
        <w:t>Date:</w:t>
      </w:r>
      <w:r>
        <w:t xml:space="preserve"> 05/12/2025</w:t>
      </w:r>
    </w:p>
    <w:p w14:paraId="258D3155" w14:textId="77777777" w:rsidR="003F5F25" w:rsidRDefault="003F5F25" w:rsidP="003F5F25"/>
    <w:p w14:paraId="34AA5AE1" w14:textId="77777777" w:rsidR="003F5F25" w:rsidRDefault="003F5F25" w:rsidP="003F5F25">
      <w:pPr>
        <w:rPr>
          <w:b/>
          <w:bCs/>
        </w:rPr>
      </w:pPr>
      <w:r>
        <w:rPr>
          <w:b/>
          <w:bCs/>
        </w:rPr>
        <w:t>H. Lundbeck A/S Seminar: Timely Treatment and Optimised Care – Solutions to Shape Migraine Prevention</w:t>
      </w:r>
    </w:p>
    <w:p w14:paraId="066D2AC8" w14:textId="77777777" w:rsidR="003F5F25" w:rsidRDefault="003F5F25" w:rsidP="003F5F25">
      <w:pPr>
        <w:rPr>
          <w:b/>
          <w:bCs/>
        </w:rPr>
      </w:pPr>
    </w:p>
    <w:p w14:paraId="250EE13F" w14:textId="77777777" w:rsidR="003F5F25" w:rsidRDefault="003F5F25" w:rsidP="003F5F25">
      <w:r>
        <w:rPr>
          <w:b/>
          <w:bCs/>
        </w:rPr>
        <w:t>To stay or to switch? Real-world migraine cases in action – Prof. Piero Barbanti</w:t>
      </w:r>
      <w:r>
        <w:br/>
      </w:r>
      <w:r>
        <w:rPr>
          <w:b/>
          <w:bCs/>
        </w:rPr>
        <w:t>Switching CGRP Monoclonal Antibodies:</w:t>
      </w:r>
      <w:r>
        <w:t xml:space="preserve"> </w:t>
      </w:r>
    </w:p>
    <w:p w14:paraId="46E3F644" w14:textId="77777777" w:rsidR="003F5F25" w:rsidRDefault="003F5F25" w:rsidP="003F5F25">
      <w:r>
        <w:t>There is limited evidence to guide switching between subcutaneous anti-CGRP monoclonal antibodies.</w:t>
      </w:r>
      <w:r>
        <w:br/>
      </w:r>
    </w:p>
    <w:p w14:paraId="326B7A60" w14:textId="77777777" w:rsidR="003F5F25" w:rsidRDefault="003F5F25" w:rsidP="003F5F25">
      <w:r>
        <w:rPr>
          <w:b/>
          <w:bCs/>
        </w:rPr>
        <w:t>German Registry Study (n=600):</w:t>
      </w:r>
      <w:r>
        <w:br/>
        <w:t>- Switching therapies can be effective.</w:t>
      </w:r>
      <w:r>
        <w:br/>
        <w:t>- Switching from a ligand-targeting antibody to a receptor-targeting antibody (</w:t>
      </w:r>
      <w:proofErr w:type="spellStart"/>
      <w:r>
        <w:t>erenumab</w:t>
      </w:r>
      <w:proofErr w:type="spellEnd"/>
      <w:r>
        <w:t>) showed a good response.</w:t>
      </w:r>
      <w:r>
        <w:br/>
      </w:r>
      <w:r>
        <w:lastRenderedPageBreak/>
        <w:t>- Switching from a CGRP receptor-targeting antibody to a CGRP ligand-targeting antibody resulted in a higher response rate (90% responders, 14% super-responders).</w:t>
      </w:r>
      <w:r>
        <w:br/>
        <w:t>- Patients with multiple switches have a reduced probability of response, possibly indicating a refractory or hard-to-treat population.</w:t>
      </w:r>
      <w:r>
        <w:br/>
        <w:t>- Overall response rate to monoclonal antibodies was 64.7%, dropping to 50.7% after one switch.</w:t>
      </w:r>
    </w:p>
    <w:p w14:paraId="60428F63" w14:textId="77777777" w:rsidR="003F5F25" w:rsidRDefault="003F5F25" w:rsidP="003F5F25">
      <w:r>
        <w:br/>
      </w:r>
      <w:r>
        <w:rPr>
          <w:b/>
          <w:bCs/>
        </w:rPr>
        <w:t>Unmet Needs:</w:t>
      </w:r>
      <w:r>
        <w:t xml:space="preserve"> </w:t>
      </w:r>
    </w:p>
    <w:p w14:paraId="7483B2FC" w14:textId="77777777" w:rsidR="003F5F25" w:rsidRDefault="003F5F25" w:rsidP="003F5F25">
      <w:pPr>
        <w:rPr>
          <w:b/>
          <w:bCs/>
        </w:rPr>
      </w:pPr>
      <w:r>
        <w:t>Even with anti-CGRP medication, a significant residual migraine burden can persist (e.g., a reduction from 28 to 14 headache days/month), which is still disabling and highlights the need for novel therapies.</w:t>
      </w:r>
      <w:r>
        <w:br/>
      </w:r>
      <w:r>
        <w:br/>
      </w:r>
      <w:r>
        <w:rPr>
          <w:b/>
          <w:bCs/>
        </w:rPr>
        <w:t>What is the future of migraine prevention? Neuropeptides in focus – Prof. Messoud Ashina</w:t>
      </w:r>
      <w:r>
        <w:br/>
      </w:r>
    </w:p>
    <w:p w14:paraId="7B766E92" w14:textId="77777777" w:rsidR="003F5F25" w:rsidRDefault="003F5F25" w:rsidP="003F5F25">
      <w:r>
        <w:rPr>
          <w:b/>
          <w:bCs/>
        </w:rPr>
        <w:t>PACAP as a Therapeutic Target:</w:t>
      </w:r>
      <w:r>
        <w:t xml:space="preserve"> </w:t>
      </w:r>
    </w:p>
    <w:p w14:paraId="097CCF27" w14:textId="77777777" w:rsidR="003F5F25" w:rsidRDefault="003F5F25" w:rsidP="003F5F25">
      <w:r>
        <w:t>-</w:t>
      </w:r>
      <w:proofErr w:type="gramStart"/>
      <w:r>
        <w:t>Pituitary</w:t>
      </w:r>
      <w:proofErr w:type="gramEnd"/>
      <w:r>
        <w:t xml:space="preserve"> adenylate cyclase-activating polypeptide (PACAP) is a neuropeptide with a signalling pathway distinct from CGRP.</w:t>
      </w:r>
      <w:r>
        <w:br/>
        <w:t>- It acts on G protein-coupled receptors (GPCRs), primarily PAC1, increasing intracellular cyclic AMP.</w:t>
      </w:r>
      <w:r>
        <w:br/>
        <w:t>- This leads to potassium channel opening, causing vasodilation and nociceptive fibre activation.</w:t>
      </w:r>
    </w:p>
    <w:p w14:paraId="1423C53E" w14:textId="77777777" w:rsidR="003F5F25" w:rsidRDefault="003F5F25" w:rsidP="003F5F25">
      <w:r>
        <w:br/>
      </w:r>
      <w:r>
        <w:rPr>
          <w:b/>
          <w:bCs/>
        </w:rPr>
        <w:t>Parallel Pathway to CGRP:</w:t>
      </w:r>
      <w:r>
        <w:t xml:space="preserve"> </w:t>
      </w:r>
    </w:p>
    <w:p w14:paraId="3B52863C" w14:textId="77777777" w:rsidR="003F5F25" w:rsidRDefault="003F5F25" w:rsidP="003F5F25">
      <w:r>
        <w:t>- A double-blind, placebo-controlled study showed that pre-treatment with a CGRP monoclonal antibody (</w:t>
      </w:r>
      <w:proofErr w:type="spellStart"/>
      <w:r>
        <w:t>eptinezumab</w:t>
      </w:r>
      <w:proofErr w:type="spellEnd"/>
      <w:r>
        <w:t>) did not prevent PACAP-38-induced migraine attacks.</w:t>
      </w:r>
      <w:r>
        <w:br/>
        <w:t xml:space="preserve">- This suggests PACAP and CGRP operate via independent signalling pathways in the </w:t>
      </w:r>
      <w:proofErr w:type="spellStart"/>
      <w:r>
        <w:t>trigeminovascular</w:t>
      </w:r>
      <w:proofErr w:type="spellEnd"/>
      <w:r>
        <w:t xml:space="preserve"> system, providing a rationale for developing PACAP-targeted therapies.</w:t>
      </w:r>
      <w:r>
        <w:br/>
      </w:r>
    </w:p>
    <w:p w14:paraId="67F473CD" w14:textId="77777777" w:rsidR="003F5F25" w:rsidRDefault="003F5F25" w:rsidP="003F5F25">
      <w:r>
        <w:rPr>
          <w:b/>
          <w:bCs/>
        </w:rPr>
        <w:t>Future Treatments:</w:t>
      </w:r>
      <w:r>
        <w:br/>
        <w:t>- An ongoing phase II study (PROCEED) is evaluating a new class of medication targeting a novel neuropeptide for migraine prevention.</w:t>
      </w:r>
      <w:r>
        <w:br/>
        <w:t>- The study includes patients with episodic and chronic migraine who have failed 2-4 previous preventive medications.</w:t>
      </w:r>
      <w:r>
        <w:br/>
        <w:t>- Early results show a significant reduction in monthly migraine days compared to placebo.</w:t>
      </w:r>
      <w:r>
        <w:br/>
        <w:t>- A phase III study is planned, with final results anticipated next year.</w:t>
      </w:r>
    </w:p>
    <w:p w14:paraId="280B6EAB" w14:textId="77777777" w:rsidR="003F5F25" w:rsidRDefault="003F5F25" w:rsidP="003F5F25"/>
    <w:p w14:paraId="59A15EE0" w14:textId="77777777" w:rsidR="003F5F25" w:rsidRDefault="003F5F25" w:rsidP="003F5F25">
      <w:pPr>
        <w:rPr>
          <w:b/>
          <w:bCs/>
        </w:rPr>
      </w:pPr>
      <w:r>
        <w:rPr>
          <w:b/>
          <w:bCs/>
        </w:rPr>
        <w:t>Inflammation and Migraine</w:t>
      </w:r>
    </w:p>
    <w:p w14:paraId="1EC19F87" w14:textId="77777777" w:rsidR="003F5F25" w:rsidRDefault="003F5F25" w:rsidP="003F5F25">
      <w:r>
        <w:rPr>
          <w:b/>
          <w:bCs/>
        </w:rPr>
        <w:t>Overview:</w:t>
      </w:r>
      <w:r>
        <w:br/>
        <w:t>Inflammation is understood to have a significant role in migraine pathophysiology, with inflammasome activation considered a potential therapeutic target or biomarker. Research presented at the European Headache Congress 2025 highlights the interplay between inflammatory pathways, genetic predispositions, and comorbid conditions in migraine.</w:t>
      </w:r>
      <w:r>
        <w:br/>
      </w:r>
      <w:r>
        <w:br/>
      </w:r>
      <w:r>
        <w:rPr>
          <w:b/>
          <w:bCs/>
        </w:rPr>
        <w:t>Key Themes:</w:t>
      </w:r>
      <w:r>
        <w:br/>
      </w:r>
      <w:r>
        <w:rPr>
          <w:b/>
          <w:bCs/>
        </w:rPr>
        <w:t>Inflammatory Mechanisms:</w:t>
      </w:r>
      <w:r>
        <w:br/>
        <w:t>- Microglial activation and cortical spreading depression lead to the release of pro-</w:t>
      </w:r>
      <w:r>
        <w:lastRenderedPageBreak/>
        <w:t>inflammatory cytokines, such as IL-1 beta.</w:t>
      </w:r>
      <w:r>
        <w:br/>
        <w:t>- The inflammasome is involved in the IL-1 beta pathway, suggesting a crucial link in migraine pathophysiology.</w:t>
      </w:r>
    </w:p>
    <w:p w14:paraId="0511C3F4" w14:textId="77777777" w:rsidR="003F5F25" w:rsidRDefault="003F5F25" w:rsidP="003F5F25">
      <w:r>
        <w:br/>
      </w:r>
      <w:r>
        <w:rPr>
          <w:b/>
          <w:bCs/>
        </w:rPr>
        <w:t>Comorbidities and Shared Inflammatory Pathways:</w:t>
      </w:r>
      <w:r>
        <w:br/>
        <w:t xml:space="preserve">- </w:t>
      </w:r>
      <w:r>
        <w:rPr>
          <w:b/>
          <w:bCs/>
        </w:rPr>
        <w:t>Autoimmune Disease:</w:t>
      </w:r>
      <w:r>
        <w:t xml:space="preserve"> There is an increased risk of migraine in patients with autoimmune conditions including thyroiditis, psoriasis, asthma, inflammatory bowel disease, rheumatic diseases, and multiple sclerosis. This may be linked to chronic inflammation induced by autoimmunity.</w:t>
      </w:r>
      <w:r>
        <w:br/>
        <w:t xml:space="preserve">- </w:t>
      </w:r>
      <w:r>
        <w:rPr>
          <w:b/>
          <w:bCs/>
        </w:rPr>
        <w:t>Multiple Sclerosis (MS):</w:t>
      </w:r>
      <w:r>
        <w:t xml:space="preserve"> Evidence suggests a bidirectional link between MS and migraine (</w:t>
      </w:r>
      <w:proofErr w:type="spellStart"/>
      <w:r>
        <w:t>Pakpoor</w:t>
      </w:r>
      <w:proofErr w:type="spellEnd"/>
      <w:r>
        <w:t xml:space="preserve"> et al., 2012; Kister et al., 2012).</w:t>
      </w:r>
      <w:r>
        <w:br/>
      </w:r>
    </w:p>
    <w:p w14:paraId="15972D2D" w14:textId="77777777" w:rsidR="003F5F25" w:rsidRDefault="003F5F25" w:rsidP="003F5F25">
      <w:r>
        <w:rPr>
          <w:b/>
          <w:bCs/>
        </w:rPr>
        <w:t>Endometriosis:</w:t>
      </w:r>
      <w:r>
        <w:t xml:space="preserve"> Research into the comorbidity of migraine and endometriosis (presented by </w:t>
      </w:r>
      <w:proofErr w:type="spellStart"/>
      <w:r>
        <w:t>Selntigia</w:t>
      </w:r>
      <w:proofErr w:type="spellEnd"/>
      <w:r>
        <w:t xml:space="preserve"> et al.) shows that pro-inflammatory cytokines (TNF-alpha, IL-1 beta, IL-6) are significantly increased in women with migraine alone, endometriosis alone, and those with both conditions. IL-1 beta levels appear to correlate with the severity of both diseases, suggesting a shared inflammatory pattern.</w:t>
      </w:r>
      <w:r>
        <w:br/>
      </w:r>
      <w:r>
        <w:br/>
      </w:r>
      <w:r>
        <w:rPr>
          <w:b/>
          <w:bCs/>
        </w:rPr>
        <w:t>Genetic Factors:</w:t>
      </w:r>
      <w:r>
        <w:br/>
        <w:t>- Genetic factors may contribute to migraine susceptibility. A preliminary study on a Portuguese cohort (Guerra Leal et al.) investigated two single nucleotide polymorphisms (SNPs) in genes related to IL-1 beta and the NLRP3 inflammasome.</w:t>
      </w:r>
      <w:r>
        <w:br/>
        <w:t>- Although not statistically significant, likely due to small sample size, the TT genotype for both variants was more frequent in migraine patients.</w:t>
      </w:r>
      <w:r>
        <w:br/>
        <w:t>- Sex-stratified analysis showed different patterns: the TT genotype was less frequent in males with migraine but more frequent in females with migraine, which may reflect known sex differences in inflammatory responses and migraine prevalence.</w:t>
      </w:r>
      <w:r>
        <w:br/>
        <w:t>- Further research with larger sample sizes is required to confirm these non-coding SNPs as risk factors.</w:t>
      </w:r>
      <w:r>
        <w:br/>
      </w:r>
      <w:r>
        <w:br/>
      </w:r>
      <w:r>
        <w:rPr>
          <w:b/>
          <w:bCs/>
        </w:rPr>
        <w:t>Therapeutic Insights and Considerations:</w:t>
      </w:r>
      <w:r>
        <w:br/>
      </w:r>
      <w:r>
        <w:rPr>
          <w:b/>
          <w:bCs/>
        </w:rPr>
        <w:t>NSAIDs:</w:t>
      </w:r>
      <w:r>
        <w:t xml:space="preserve"> </w:t>
      </w:r>
    </w:p>
    <w:p w14:paraId="63ACE067" w14:textId="77777777" w:rsidR="003F5F25" w:rsidRDefault="003F5F25" w:rsidP="003F5F25">
      <w:r>
        <w:t>Studies comparing intravenous versus direct meningeal application of naproxen show a better response with direct application. COX-1/COX-2 inhibitors like naproxen appear to perform better than selective COX-2 inhibitors such as celecoxib in altering the activation threshold of pain fibres.</w:t>
      </w:r>
      <w:r>
        <w:br/>
      </w:r>
      <w:r>
        <w:br/>
      </w:r>
      <w:r>
        <w:rPr>
          <w:b/>
          <w:bCs/>
        </w:rPr>
        <w:t>Immunosuppressants:</w:t>
      </w:r>
      <w:r>
        <w:t xml:space="preserve"> </w:t>
      </w:r>
    </w:p>
    <w:p w14:paraId="7A29AD13" w14:textId="77777777" w:rsidR="003F5F25" w:rsidRDefault="003F5F25" w:rsidP="003F5F25">
      <w:r>
        <w:t>A study of 110 subjects post-kidney transplant found significant headache improvement, suggesting stress reduction from being dialysis-free may play a role (</w:t>
      </w:r>
      <w:proofErr w:type="spellStart"/>
      <w:r>
        <w:t>Viticchi</w:t>
      </w:r>
      <w:proofErr w:type="spellEnd"/>
      <w:r>
        <w:t xml:space="preserve"> et al., 2022). This also raises the question of a potential role for immunosuppressive drugs in migraine management.</w:t>
      </w:r>
      <w:r>
        <w:br/>
      </w:r>
      <w:r>
        <w:br/>
      </w:r>
      <w:proofErr w:type="spellStart"/>
      <w:r>
        <w:rPr>
          <w:b/>
          <w:bCs/>
        </w:rPr>
        <w:t>OnabotulinumtoxinA</w:t>
      </w:r>
      <w:proofErr w:type="spellEnd"/>
      <w:r>
        <w:rPr>
          <w:b/>
          <w:bCs/>
        </w:rPr>
        <w:t>:</w:t>
      </w:r>
      <w:r>
        <w:t xml:space="preserve"> </w:t>
      </w:r>
    </w:p>
    <w:p w14:paraId="2BE1B40E" w14:textId="77777777" w:rsidR="003F5F25" w:rsidRDefault="003F5F25" w:rsidP="003F5F25">
      <w:r>
        <w:t xml:space="preserve">Evidence suggests </w:t>
      </w:r>
      <w:proofErr w:type="spellStart"/>
      <w:r>
        <w:t>OnabotulinumtoxinA</w:t>
      </w:r>
      <w:proofErr w:type="spellEnd"/>
      <w:r>
        <w:t xml:space="preserve"> may alter inflammatory gene expression and reduce inflammatory cells (cytokines, chemokines) in the </w:t>
      </w:r>
      <w:proofErr w:type="spellStart"/>
      <w:r>
        <w:t>calvarial</w:t>
      </w:r>
      <w:proofErr w:type="spellEnd"/>
      <w:r>
        <w:t xml:space="preserve"> periosteum of chronic headache </w:t>
      </w:r>
      <w:r>
        <w:lastRenderedPageBreak/>
        <w:t>patients, offering a potential mechanism of action for migraine prevention (Gfrerer et al., 2022).</w:t>
      </w:r>
    </w:p>
    <w:p w14:paraId="0CC54432" w14:textId="77777777" w:rsidR="003F5F25" w:rsidRDefault="003F5F25" w:rsidP="003F5F25"/>
    <w:p w14:paraId="06D5F41B" w14:textId="77777777" w:rsidR="003F5F25" w:rsidRDefault="003F5F25" w:rsidP="003F5F25">
      <w:r>
        <w:rPr>
          <w:b/>
          <w:bCs/>
        </w:rPr>
        <w:t>Summary of Lecture on Sex Differences in Migraine Management</w:t>
      </w:r>
      <w:r>
        <w:br/>
      </w:r>
      <w:r>
        <w:br/>
      </w:r>
      <w:r>
        <w:rPr>
          <w:b/>
          <w:bCs/>
        </w:rPr>
        <w:t>Menstrual Migraine:</w:t>
      </w:r>
      <w:r>
        <w:br/>
      </w:r>
      <w:r>
        <w:rPr>
          <w:b/>
          <w:bCs/>
        </w:rPr>
        <w:t>Acute Treatment:</w:t>
      </w:r>
      <w:r>
        <w:t xml:space="preserve"> Triptans are recommended, with sumatriptan having the most robust safety data. Lasmiditan is an alternative. </w:t>
      </w:r>
      <w:proofErr w:type="spellStart"/>
      <w:r>
        <w:t>Frovatriptan</w:t>
      </w:r>
      <w:proofErr w:type="spellEnd"/>
      <w:r>
        <w:t xml:space="preserve"> performs poorly for acute attacks.</w:t>
      </w:r>
      <w:r>
        <w:br/>
      </w:r>
      <w:r>
        <w:br/>
      </w:r>
      <w:r>
        <w:rPr>
          <w:b/>
          <w:bCs/>
        </w:rPr>
        <w:t>Preventive Treatment:</w:t>
      </w:r>
      <w:r>
        <w:t xml:space="preserve"> Evidence supports topiramate and anti-CGRP monoclonal antibodies. For short-term prophylaxis, </w:t>
      </w:r>
      <w:proofErr w:type="spellStart"/>
      <w:r>
        <w:t>frovatriptan</w:t>
      </w:r>
      <w:proofErr w:type="spellEnd"/>
      <w:r>
        <w:t xml:space="preserve"> 2.5 mg twice daily is effective. Emerging evidence shows promise for </w:t>
      </w:r>
      <w:proofErr w:type="spellStart"/>
      <w:r>
        <w:t>rimegepant</w:t>
      </w:r>
      <w:proofErr w:type="spellEnd"/>
      <w:r>
        <w:t xml:space="preserve"> and greater occipital nerve blocks.</w:t>
      </w:r>
      <w:r>
        <w:br/>
      </w:r>
      <w:r>
        <w:br/>
      </w:r>
      <w:r>
        <w:rPr>
          <w:b/>
          <w:bCs/>
        </w:rPr>
        <w:t>Migraine in Pregnancy</w:t>
      </w:r>
      <w:r>
        <w:br/>
      </w:r>
      <w:r>
        <w:rPr>
          <w:b/>
          <w:bCs/>
        </w:rPr>
        <w:t>Acute Treatment:</w:t>
      </w:r>
      <w:r>
        <w:t xml:space="preserve"> Paracetamol and triptans (especially sumatriptan) are considered safe, with no evidence of increased risk for congenital malformations. NSAIDs can be used in the second trimester.</w:t>
      </w:r>
      <w:r>
        <w:br/>
      </w:r>
      <w:r>
        <w:br/>
      </w:r>
      <w:r>
        <w:rPr>
          <w:b/>
          <w:bCs/>
        </w:rPr>
        <w:t>Preventive Treatment:</w:t>
      </w:r>
      <w:r>
        <w:t xml:space="preserve"> Non-pharmacological strategies like botulinum toxin and greater occipital nerve blocks are preferred. Amitriptyline and propranolol may be </w:t>
      </w:r>
      <w:proofErr w:type="gramStart"/>
      <w:r>
        <w:t>considered</w:t>
      </w:r>
      <w:proofErr w:type="gramEnd"/>
      <w:r>
        <w:t xml:space="preserve"> if necessary, but not late in pregnancy. Topiramate, valproate, and CGRP inhibitors should be avoided.</w:t>
      </w:r>
      <w:r>
        <w:br/>
      </w:r>
      <w:r>
        <w:br/>
      </w:r>
      <w:r>
        <w:rPr>
          <w:b/>
          <w:bCs/>
        </w:rPr>
        <w:t>Note:</w:t>
      </w:r>
      <w:r>
        <w:t xml:space="preserve"> Migraine improves spontaneously in most individuals during the second and third trimesters. However, poor management in the remainder can negatively impact maternal health and family planning.</w:t>
      </w:r>
      <w:r>
        <w:br/>
      </w:r>
      <w:r>
        <w:br/>
      </w:r>
      <w:r>
        <w:rPr>
          <w:b/>
          <w:bCs/>
        </w:rPr>
        <w:t>Migraine during Breastfeeding</w:t>
      </w:r>
      <w:r>
        <w:br/>
      </w:r>
      <w:r>
        <w:rPr>
          <w:b/>
          <w:bCs/>
        </w:rPr>
        <w:t>Safe Medications:</w:t>
      </w:r>
      <w:r>
        <w:t xml:space="preserve"> Paracetamol, ibuprofen, naproxen, and diclofenac are safe. Triptans and </w:t>
      </w:r>
      <w:proofErr w:type="spellStart"/>
      <w:r>
        <w:t>rimegepant</w:t>
      </w:r>
      <w:proofErr w:type="spellEnd"/>
      <w:r>
        <w:t xml:space="preserve"> are also considered safe due to very low transfer into breast milk.</w:t>
      </w:r>
      <w:r>
        <w:br/>
      </w:r>
      <w:r>
        <w:br/>
      </w:r>
      <w:r>
        <w:rPr>
          <w:b/>
          <w:bCs/>
        </w:rPr>
        <w:t>Medications to Avoid/Use with Caution:</w:t>
      </w:r>
      <w:r>
        <w:t xml:space="preserve"> Experts advise caution with triptans and recommend avoiding aspirin and opioids.</w:t>
      </w:r>
      <w:r>
        <w:br/>
      </w:r>
      <w:r>
        <w:br/>
      </w:r>
      <w:r>
        <w:rPr>
          <w:b/>
          <w:bCs/>
        </w:rPr>
        <w:t>Preventive Options:</w:t>
      </w:r>
      <w:r>
        <w:t xml:space="preserve"> Amitriptyline, beta-blockers, and CGRP antibodies (after the newborn period) can be considered.</w:t>
      </w:r>
      <w:r>
        <w:br/>
      </w:r>
      <w:r>
        <w:br/>
      </w:r>
      <w:r>
        <w:rPr>
          <w:b/>
          <w:bCs/>
        </w:rPr>
        <w:t>Migraine in Menopause</w:t>
      </w:r>
      <w:r>
        <w:br/>
        <w:t>CGRP inhibitors are an effective treatment option for migraine management post-menopause.</w:t>
      </w:r>
      <w:r>
        <w:br/>
      </w:r>
      <w:r>
        <w:br/>
      </w:r>
      <w:r>
        <w:rPr>
          <w:b/>
          <w:bCs/>
        </w:rPr>
        <w:t>Overall Conclusion</w:t>
      </w:r>
      <w:r>
        <w:br/>
        <w:t>- There is a significant lack of high-quality evidence regarding sex-specific differences and migraine treatment across various life stages.</w:t>
      </w:r>
      <w:r>
        <w:br/>
        <w:t>- A clear need exists for evidence-based guidelines and clinical trials with outcomes stratified by sex to improve tailored patient care.</w:t>
      </w:r>
    </w:p>
    <w:p w14:paraId="59025D4A" w14:textId="77777777" w:rsidR="003F5F25" w:rsidRDefault="003F5F25" w:rsidP="003F5F25"/>
    <w:p w14:paraId="507F1363" w14:textId="77777777" w:rsidR="003F5F25" w:rsidRDefault="003F5F25" w:rsidP="00805B85"/>
    <w:sectPr w:rsidR="003F5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6606B"/>
    <w:multiLevelType w:val="multilevel"/>
    <w:tmpl w:val="495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926B9"/>
    <w:multiLevelType w:val="multilevel"/>
    <w:tmpl w:val="5D3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33610"/>
    <w:multiLevelType w:val="multilevel"/>
    <w:tmpl w:val="67F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0275C"/>
    <w:multiLevelType w:val="multilevel"/>
    <w:tmpl w:val="7EB4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00738"/>
    <w:multiLevelType w:val="hybridMultilevel"/>
    <w:tmpl w:val="3B00D320"/>
    <w:lvl w:ilvl="0" w:tplc="AA920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96923">
    <w:abstractNumId w:val="4"/>
  </w:num>
  <w:num w:numId="2" w16cid:durableId="1494570240">
    <w:abstractNumId w:val="3"/>
  </w:num>
  <w:num w:numId="3" w16cid:durableId="441995224">
    <w:abstractNumId w:val="1"/>
  </w:num>
  <w:num w:numId="4" w16cid:durableId="1662151038">
    <w:abstractNumId w:val="0"/>
  </w:num>
  <w:num w:numId="5" w16cid:durableId="116466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85"/>
    <w:rsid w:val="001D7781"/>
    <w:rsid w:val="003F5F25"/>
    <w:rsid w:val="00805B85"/>
    <w:rsid w:val="00B42934"/>
    <w:rsid w:val="00C01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B6BF"/>
  <w15:chartTrackingRefBased/>
  <w15:docId w15:val="{DC61F47E-7771-844E-84FA-834FA53A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85"/>
    <w:pPr>
      <w:ind w:left="720"/>
      <w:contextualSpacing/>
    </w:pPr>
  </w:style>
  <w:style w:type="character" w:styleId="Strong">
    <w:name w:val="Strong"/>
    <w:basedOn w:val="DefaultParagraphFont"/>
    <w:uiPriority w:val="22"/>
    <w:qFormat/>
    <w:rsid w:val="00805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8951">
      <w:bodyDiv w:val="1"/>
      <w:marLeft w:val="0"/>
      <w:marRight w:val="0"/>
      <w:marTop w:val="0"/>
      <w:marBottom w:val="0"/>
      <w:divBdr>
        <w:top w:val="none" w:sz="0" w:space="0" w:color="auto"/>
        <w:left w:val="none" w:sz="0" w:space="0" w:color="auto"/>
        <w:bottom w:val="none" w:sz="0" w:space="0" w:color="auto"/>
        <w:right w:val="none" w:sz="0" w:space="0" w:color="auto"/>
      </w:divBdr>
    </w:div>
    <w:div w:id="512840643">
      <w:bodyDiv w:val="1"/>
      <w:marLeft w:val="0"/>
      <w:marRight w:val="0"/>
      <w:marTop w:val="0"/>
      <w:marBottom w:val="0"/>
      <w:divBdr>
        <w:top w:val="none" w:sz="0" w:space="0" w:color="auto"/>
        <w:left w:val="none" w:sz="0" w:space="0" w:color="auto"/>
        <w:bottom w:val="none" w:sz="0" w:space="0" w:color="auto"/>
        <w:right w:val="none" w:sz="0" w:space="0" w:color="auto"/>
      </w:divBdr>
    </w:div>
    <w:div w:id="775827306">
      <w:bodyDiv w:val="1"/>
      <w:marLeft w:val="0"/>
      <w:marRight w:val="0"/>
      <w:marTop w:val="0"/>
      <w:marBottom w:val="0"/>
      <w:divBdr>
        <w:top w:val="none" w:sz="0" w:space="0" w:color="auto"/>
        <w:left w:val="none" w:sz="0" w:space="0" w:color="auto"/>
        <w:bottom w:val="none" w:sz="0" w:space="0" w:color="auto"/>
        <w:right w:val="none" w:sz="0" w:space="0" w:color="auto"/>
      </w:divBdr>
    </w:div>
    <w:div w:id="952245166">
      <w:bodyDiv w:val="1"/>
      <w:marLeft w:val="0"/>
      <w:marRight w:val="0"/>
      <w:marTop w:val="0"/>
      <w:marBottom w:val="0"/>
      <w:divBdr>
        <w:top w:val="none" w:sz="0" w:space="0" w:color="auto"/>
        <w:left w:val="none" w:sz="0" w:space="0" w:color="auto"/>
        <w:bottom w:val="none" w:sz="0" w:space="0" w:color="auto"/>
        <w:right w:val="none" w:sz="0" w:space="0" w:color="auto"/>
      </w:divBdr>
    </w:div>
    <w:div w:id="1197742232">
      <w:bodyDiv w:val="1"/>
      <w:marLeft w:val="0"/>
      <w:marRight w:val="0"/>
      <w:marTop w:val="0"/>
      <w:marBottom w:val="0"/>
      <w:divBdr>
        <w:top w:val="none" w:sz="0" w:space="0" w:color="auto"/>
        <w:left w:val="none" w:sz="0" w:space="0" w:color="auto"/>
        <w:bottom w:val="none" w:sz="0" w:space="0" w:color="auto"/>
        <w:right w:val="none" w:sz="0" w:space="0" w:color="auto"/>
      </w:divBdr>
    </w:div>
    <w:div w:id="1297563010">
      <w:bodyDiv w:val="1"/>
      <w:marLeft w:val="0"/>
      <w:marRight w:val="0"/>
      <w:marTop w:val="0"/>
      <w:marBottom w:val="0"/>
      <w:divBdr>
        <w:top w:val="none" w:sz="0" w:space="0" w:color="auto"/>
        <w:left w:val="none" w:sz="0" w:space="0" w:color="auto"/>
        <w:bottom w:val="none" w:sz="0" w:space="0" w:color="auto"/>
        <w:right w:val="none" w:sz="0" w:space="0" w:color="auto"/>
      </w:divBdr>
    </w:div>
    <w:div w:id="1345202920">
      <w:bodyDiv w:val="1"/>
      <w:marLeft w:val="0"/>
      <w:marRight w:val="0"/>
      <w:marTop w:val="0"/>
      <w:marBottom w:val="0"/>
      <w:divBdr>
        <w:top w:val="none" w:sz="0" w:space="0" w:color="auto"/>
        <w:left w:val="none" w:sz="0" w:space="0" w:color="auto"/>
        <w:bottom w:val="none" w:sz="0" w:space="0" w:color="auto"/>
        <w:right w:val="none" w:sz="0" w:space="0" w:color="auto"/>
      </w:divBdr>
    </w:div>
    <w:div w:id="1800756546">
      <w:bodyDiv w:val="1"/>
      <w:marLeft w:val="0"/>
      <w:marRight w:val="0"/>
      <w:marTop w:val="0"/>
      <w:marBottom w:val="0"/>
      <w:divBdr>
        <w:top w:val="none" w:sz="0" w:space="0" w:color="auto"/>
        <w:left w:val="none" w:sz="0" w:space="0" w:color="auto"/>
        <w:bottom w:val="none" w:sz="0" w:space="0" w:color="auto"/>
        <w:right w:val="none" w:sz="0" w:space="0" w:color="auto"/>
      </w:divBdr>
    </w:div>
    <w:div w:id="1836916614">
      <w:bodyDiv w:val="1"/>
      <w:marLeft w:val="0"/>
      <w:marRight w:val="0"/>
      <w:marTop w:val="0"/>
      <w:marBottom w:val="0"/>
      <w:divBdr>
        <w:top w:val="none" w:sz="0" w:space="0" w:color="auto"/>
        <w:left w:val="none" w:sz="0" w:space="0" w:color="auto"/>
        <w:bottom w:val="none" w:sz="0" w:space="0" w:color="auto"/>
        <w:right w:val="none" w:sz="0" w:space="0" w:color="auto"/>
      </w:divBdr>
    </w:div>
    <w:div w:id="18818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3984</Words>
  <Characters>22713</Characters>
  <Application>Microsoft Office Word</Application>
  <DocSecurity>0</DocSecurity>
  <Lines>189</Lines>
  <Paragraphs>53</Paragraphs>
  <ScaleCrop>false</ScaleCrop>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Briscoe</dc:creator>
  <cp:keywords/>
  <dc:description/>
  <cp:lastModifiedBy>KERNICK, David (GP LOCUM)</cp:lastModifiedBy>
  <cp:revision>2</cp:revision>
  <dcterms:created xsi:type="dcterms:W3CDTF">2025-12-09T10:35:00Z</dcterms:created>
  <dcterms:modified xsi:type="dcterms:W3CDTF">2025-12-09T10:35:00Z</dcterms:modified>
</cp:coreProperties>
</file>