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2805B" w14:textId="77777777" w:rsidR="00ED3F77" w:rsidRPr="006859DA" w:rsidRDefault="0069364B" w:rsidP="0020038A">
      <w:pPr>
        <w:pStyle w:val="Title"/>
        <w:rPr>
          <w:color w:val="000000"/>
          <w:szCs w:val="24"/>
        </w:rPr>
      </w:pPr>
      <w:bookmarkStart w:id="0" w:name="_GoBack"/>
      <w:bookmarkEnd w:id="0"/>
      <w:r w:rsidRPr="006859DA">
        <w:rPr>
          <w:noProof/>
          <w:color w:val="000000"/>
          <w:szCs w:val="24"/>
        </w:rPr>
        <w:drawing>
          <wp:anchor distT="0" distB="0" distL="114300" distR="114300" simplePos="0" relativeHeight="251657728" behindDoc="1" locked="0" layoutInCell="1" allowOverlap="1" wp14:anchorId="709BB6C2" wp14:editId="20BF27EA">
            <wp:simplePos x="0" y="0"/>
            <wp:positionH relativeFrom="column">
              <wp:posOffset>4939665</wp:posOffset>
            </wp:positionH>
            <wp:positionV relativeFrom="paragraph">
              <wp:posOffset>-314325</wp:posOffset>
            </wp:positionV>
            <wp:extent cx="1666875" cy="571500"/>
            <wp:effectExtent l="19050" t="0" r="9525" b="0"/>
            <wp:wrapNone/>
            <wp:docPr id="6" name="Picture 2" descr="Maxcess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xcessHeader"/>
                    <pic:cNvPicPr>
                      <a:picLocks noChangeAspect="1" noChangeArrowheads="1"/>
                    </pic:cNvPicPr>
                  </pic:nvPicPr>
                  <pic:blipFill>
                    <a:blip r:embed="rId8" cstate="print"/>
                    <a:srcRect b="55224"/>
                    <a:stretch>
                      <a:fillRect/>
                    </a:stretch>
                  </pic:blipFill>
                  <pic:spPr bwMode="auto">
                    <a:xfrm>
                      <a:off x="0" y="0"/>
                      <a:ext cx="1666875" cy="571500"/>
                    </a:xfrm>
                    <a:prstGeom prst="rect">
                      <a:avLst/>
                    </a:prstGeom>
                    <a:noFill/>
                  </pic:spPr>
                </pic:pic>
              </a:graphicData>
            </a:graphic>
          </wp:anchor>
        </w:drawing>
      </w:r>
    </w:p>
    <w:p w14:paraId="29B2EE23" w14:textId="77777777" w:rsidR="00ED3F77" w:rsidRPr="006859DA" w:rsidRDefault="001A0269" w:rsidP="0020038A">
      <w:pPr>
        <w:pStyle w:val="Title"/>
        <w:rPr>
          <w:color w:val="000000"/>
          <w:szCs w:val="24"/>
        </w:rPr>
      </w:pPr>
      <w:r>
        <w:rPr>
          <w:b w:val="0"/>
          <w:noProof/>
          <w:color w:val="005488"/>
        </w:rPr>
        <mc:AlternateContent>
          <mc:Choice Requires="wps">
            <w:drawing>
              <wp:anchor distT="0" distB="0" distL="114300" distR="114300" simplePos="0" relativeHeight="251664384" behindDoc="0" locked="0" layoutInCell="1" allowOverlap="1" wp14:anchorId="606B0429" wp14:editId="048B9607">
                <wp:simplePos x="0" y="0"/>
                <wp:positionH relativeFrom="column">
                  <wp:posOffset>-3810</wp:posOffset>
                </wp:positionH>
                <wp:positionV relativeFrom="paragraph">
                  <wp:posOffset>91440</wp:posOffset>
                </wp:positionV>
                <wp:extent cx="5657850" cy="3429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A8C5D6"/>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B99CF3" w14:textId="77777777" w:rsidR="002124A3" w:rsidRPr="008B648E" w:rsidRDefault="002124A3" w:rsidP="0069364B">
                            <w:pPr>
                              <w:rPr>
                                <w:rFonts w:ascii="Arial" w:hAnsi="Arial"/>
                                <w:b/>
                                <w:color w:val="005488"/>
                                <w:sz w:val="28"/>
                              </w:rPr>
                            </w:pPr>
                            <w:r>
                              <w:rPr>
                                <w:rFonts w:ascii="Arial" w:hAnsi="Arial"/>
                                <w:b/>
                                <w:color w:val="005488"/>
                                <w:sz w:val="28"/>
                              </w:rPr>
                              <w:t>DRAFT 2-- Article for Vaccine Watch Issue 3</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B0429" id="_x0000_t202" coordsize="21600,21600" o:spt="202" path="m,l,21600r21600,l21600,xe">
                <v:stroke joinstyle="miter"/>
                <v:path gradientshapeok="t" o:connecttype="rect"/>
              </v:shapetype>
              <v:shape id="Text Box 14" o:spid="_x0000_s1026" type="#_x0000_t202" style="position:absolute;left:0;text-align:left;margin-left:-.3pt;margin-top:7.2pt;width:445.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y6RwIAAEI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" filled="f" stroked="f">
                <v:textbox inset="0">
                  <w:txbxContent>
                    <w:p w14:paraId="65B99CF3" w14:textId="77777777" w:rsidR="002124A3" w:rsidRPr="008B648E" w:rsidRDefault="002124A3" w:rsidP="0069364B">
                      <w:pPr>
                        <w:rPr>
                          <w:rFonts w:ascii="Arial" w:hAnsi="Arial"/>
                          <w:b/>
                          <w:color w:val="005488"/>
                          <w:sz w:val="28"/>
                        </w:rPr>
                      </w:pPr>
                      <w:r>
                        <w:rPr>
                          <w:rFonts w:ascii="Arial" w:hAnsi="Arial"/>
                          <w:b/>
                          <w:color w:val="005488"/>
                          <w:sz w:val="28"/>
                        </w:rPr>
                        <w:t>DRAFT 2-- Article for Vaccine Watch Issue 3</w:t>
                      </w:r>
                    </w:p>
                  </w:txbxContent>
                </v:textbox>
              </v:shape>
            </w:pict>
          </mc:Fallback>
        </mc:AlternateContent>
      </w:r>
    </w:p>
    <w:p w14:paraId="50668EB4" w14:textId="77777777" w:rsidR="0069364B" w:rsidRDefault="0069364B" w:rsidP="0069364B">
      <w:pPr>
        <w:autoSpaceDE w:val="0"/>
        <w:autoSpaceDN w:val="0"/>
        <w:adjustRightInd w:val="0"/>
        <w:rPr>
          <w:rFonts w:ascii="Arial" w:hAnsi="Arial" w:cs="Arial"/>
          <w:b/>
          <w:color w:val="005488"/>
        </w:rPr>
      </w:pPr>
    </w:p>
    <w:p w14:paraId="097D6F01" w14:textId="77777777" w:rsidR="0040028A" w:rsidRPr="006859DA" w:rsidRDefault="0040028A" w:rsidP="0069364B">
      <w:pPr>
        <w:autoSpaceDE w:val="0"/>
        <w:autoSpaceDN w:val="0"/>
        <w:adjustRightInd w:val="0"/>
        <w:rPr>
          <w:rFonts w:ascii="Arial" w:hAnsi="Arial" w:cs="Arial"/>
          <w:b/>
          <w:color w:val="005488"/>
        </w:rPr>
      </w:pPr>
    </w:p>
    <w:p w14:paraId="2C182426" w14:textId="77777777" w:rsidR="0069364B" w:rsidRPr="006859DA" w:rsidRDefault="0069364B" w:rsidP="0069364B">
      <w:pPr>
        <w:autoSpaceDE w:val="0"/>
        <w:autoSpaceDN w:val="0"/>
        <w:adjustRightInd w:val="0"/>
        <w:rPr>
          <w:rFonts w:ascii="Arial" w:hAnsi="Arial" w:cs="Arial"/>
          <w:b/>
          <w:color w:val="005488"/>
        </w:rPr>
      </w:pPr>
    </w:p>
    <w:p w14:paraId="352F94C8" w14:textId="77777777" w:rsidR="0069364B" w:rsidRPr="006859DA" w:rsidRDefault="0069364B" w:rsidP="0069364B">
      <w:pPr>
        <w:autoSpaceDE w:val="0"/>
        <w:autoSpaceDN w:val="0"/>
        <w:adjustRightInd w:val="0"/>
        <w:rPr>
          <w:rFonts w:ascii="Arial" w:hAnsi="Arial" w:cs="Arial"/>
          <w:color w:val="000000"/>
        </w:rPr>
      </w:pPr>
      <w:r w:rsidRPr="006859DA">
        <w:rPr>
          <w:rFonts w:ascii="Arial" w:hAnsi="Arial" w:cs="Arial"/>
          <w:b/>
          <w:color w:val="005488"/>
        </w:rPr>
        <w:t xml:space="preserve">Date: </w:t>
      </w:r>
      <w:r w:rsidR="006F7907">
        <w:rPr>
          <w:rFonts w:ascii="Arial" w:hAnsi="Arial" w:cs="Arial"/>
          <w:b/>
          <w:color w:val="005488"/>
        </w:rPr>
        <w:t xml:space="preserve">September </w:t>
      </w:r>
      <w:r w:rsidR="00DF3C0A">
        <w:rPr>
          <w:rFonts w:ascii="Arial" w:hAnsi="Arial" w:cs="Arial"/>
          <w:b/>
          <w:color w:val="005488"/>
        </w:rPr>
        <w:t>6</w:t>
      </w:r>
      <w:r w:rsidR="006F7907">
        <w:rPr>
          <w:rFonts w:ascii="Arial" w:hAnsi="Arial" w:cs="Arial"/>
          <w:b/>
          <w:color w:val="005488"/>
        </w:rPr>
        <w:t>, 2013</w:t>
      </w:r>
    </w:p>
    <w:p w14:paraId="7D6B815D" w14:textId="77777777" w:rsidR="005662F8" w:rsidRDefault="001A0269" w:rsidP="00A24A7B">
      <w:pPr>
        <w:spacing w:before="120" w:line="300" w:lineRule="atLeast"/>
        <w:rPr>
          <w:rFonts w:ascii="Arial" w:hAnsi="Arial" w:cs="Arial"/>
          <w:b/>
          <w:color w:val="005488"/>
        </w:rPr>
      </w:pPr>
      <w:r>
        <w:rPr>
          <w:rFonts w:cs="Arial"/>
          <w:bCs/>
          <w:noProof/>
          <w:color w:val="000000"/>
          <w:sz w:val="16"/>
          <w:szCs w:val="16"/>
        </w:rPr>
        <mc:AlternateContent>
          <mc:Choice Requires="wps">
            <w:drawing>
              <wp:anchor distT="0" distB="0" distL="114300" distR="114300" simplePos="0" relativeHeight="251662336" behindDoc="0" locked="0" layoutInCell="1" allowOverlap="1" wp14:anchorId="7A074B0E" wp14:editId="04D740FD">
                <wp:simplePos x="0" y="0"/>
                <wp:positionH relativeFrom="column">
                  <wp:posOffset>-8890</wp:posOffset>
                </wp:positionH>
                <wp:positionV relativeFrom="paragraph">
                  <wp:posOffset>189230</wp:posOffset>
                </wp:positionV>
                <wp:extent cx="6629400" cy="0"/>
                <wp:effectExtent l="13970" t="9525" r="5080" b="9525"/>
                <wp:wrapSquare wrapText="bothSides"/>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548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DEF5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9pt" to="521.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" strokecolor="#005488">
                <w10:wrap type="square"/>
              </v:line>
            </w:pict>
          </mc:Fallback>
        </mc:AlternateContent>
      </w:r>
      <w:r w:rsidR="005662F8">
        <w:rPr>
          <w:rFonts w:ascii="Arial" w:hAnsi="Arial" w:cs="Arial"/>
          <w:b/>
          <w:color w:val="005488"/>
        </w:rPr>
        <w:t>Section</w:t>
      </w:r>
      <w:r w:rsidR="0069364B" w:rsidRPr="006859DA">
        <w:rPr>
          <w:rFonts w:ascii="Arial" w:hAnsi="Arial" w:cs="Arial"/>
          <w:b/>
          <w:color w:val="005488"/>
        </w:rPr>
        <w:t xml:space="preserve">: </w:t>
      </w:r>
      <w:r w:rsidR="005662F8">
        <w:rPr>
          <w:rFonts w:ascii="Arial" w:hAnsi="Arial" w:cs="Arial"/>
          <w:b/>
          <w:color w:val="005488"/>
        </w:rPr>
        <w:t>PREVENTIVE POLICY UPDATE</w:t>
      </w:r>
    </w:p>
    <w:p w14:paraId="204EBC48" w14:textId="77777777" w:rsidR="0069364B" w:rsidRPr="006859DA" w:rsidRDefault="00DF3C0A" w:rsidP="00A24A7B">
      <w:pPr>
        <w:spacing w:before="120" w:line="300" w:lineRule="atLeast"/>
        <w:rPr>
          <w:rFonts w:ascii="Arial" w:hAnsi="Arial" w:cs="Arial"/>
          <w:color w:val="000000"/>
        </w:rPr>
      </w:pPr>
      <w:r>
        <w:rPr>
          <w:rFonts w:ascii="Arial" w:hAnsi="Arial" w:cs="Arial"/>
          <w:b/>
          <w:color w:val="005488"/>
        </w:rPr>
        <w:t>Meningitis…Teens at risk</w:t>
      </w:r>
      <w:r w:rsidR="00733671">
        <w:rPr>
          <w:rFonts w:ascii="Arial" w:hAnsi="Arial" w:cs="Arial"/>
          <w:b/>
          <w:color w:val="005488"/>
        </w:rPr>
        <w:t xml:space="preserve"> </w:t>
      </w:r>
      <w:r w:rsidR="002016B4">
        <w:rPr>
          <w:rFonts w:ascii="Arial" w:hAnsi="Arial" w:cs="Arial"/>
          <w:b/>
          <w:color w:val="005488"/>
        </w:rPr>
        <w:t>[working title]</w:t>
      </w:r>
      <w:r w:rsidR="0017608F">
        <w:rPr>
          <w:rFonts w:ascii="Arial" w:hAnsi="Arial" w:cs="Arial"/>
          <w:b/>
          <w:color w:val="005488"/>
        </w:rPr>
        <w:t xml:space="preserve"> </w:t>
      </w:r>
    </w:p>
    <w:p w14:paraId="0799D46D" w14:textId="77777777" w:rsidR="00A24A7B" w:rsidRPr="00BD01E7" w:rsidRDefault="001A0269" w:rsidP="00BD01E7">
      <w:pPr>
        <w:pStyle w:val="Title"/>
        <w:rPr>
          <w:rFonts w:cs="Arial"/>
          <w:bCs/>
          <w:color w:val="000000"/>
          <w:sz w:val="16"/>
          <w:szCs w:val="16"/>
        </w:rPr>
      </w:pPr>
      <w:r>
        <w:rPr>
          <w:noProof/>
          <w:color w:val="005488"/>
        </w:rPr>
        <mc:AlternateContent>
          <mc:Choice Requires="wps">
            <w:drawing>
              <wp:anchor distT="0" distB="0" distL="114300" distR="114300" simplePos="0" relativeHeight="251665408" behindDoc="0" locked="0" layoutInCell="1" allowOverlap="1" wp14:anchorId="50E4E8C6" wp14:editId="78C2DCFA">
                <wp:simplePos x="0" y="0"/>
                <wp:positionH relativeFrom="column">
                  <wp:posOffset>-8890</wp:posOffset>
                </wp:positionH>
                <wp:positionV relativeFrom="page">
                  <wp:posOffset>2136140</wp:posOffset>
                </wp:positionV>
                <wp:extent cx="6629400" cy="0"/>
                <wp:effectExtent l="13970" t="12065" r="5080" b="6985"/>
                <wp:wrapSquare wrapText="bothSides"/>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548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B9A4"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pt,168.2pt" to="521.3pt,1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" strokecolor="#005488">
                <w10:wrap type="square" anchory="page"/>
              </v:line>
            </w:pict>
          </mc:Fallback>
        </mc:AlternateContent>
      </w:r>
    </w:p>
    <w:p w14:paraId="33770AE7" w14:textId="77777777" w:rsidR="007C3161" w:rsidRDefault="007C3161" w:rsidP="00ED1181">
      <w:pPr>
        <w:pStyle w:val="BodyText"/>
        <w:rPr>
          <w:rFonts w:cs="Arial"/>
          <w:color w:val="000000"/>
          <w:sz w:val="20"/>
          <w:szCs w:val="24"/>
        </w:rPr>
      </w:pPr>
    </w:p>
    <w:p w14:paraId="78EA0752" w14:textId="77777777" w:rsidR="00DF3C0A" w:rsidRDefault="00C06582" w:rsidP="00ED1181">
      <w:pPr>
        <w:pStyle w:val="BodyText"/>
        <w:rPr>
          <w:rFonts w:cs="Arial"/>
          <w:color w:val="000000"/>
          <w:sz w:val="20"/>
          <w:szCs w:val="24"/>
        </w:rPr>
      </w:pPr>
      <w:r>
        <w:rPr>
          <w:rFonts w:cs="Arial"/>
          <w:color w:val="000000"/>
          <w:sz w:val="20"/>
          <w:szCs w:val="24"/>
        </w:rPr>
        <w:t>Bacterial meningitis is sever</w:t>
      </w:r>
      <w:r w:rsidR="00983922">
        <w:rPr>
          <w:rFonts w:cs="Arial"/>
          <w:color w:val="000000"/>
          <w:sz w:val="20"/>
          <w:szCs w:val="24"/>
        </w:rPr>
        <w:t>e</w:t>
      </w:r>
      <w:r>
        <w:rPr>
          <w:rFonts w:cs="Arial"/>
          <w:color w:val="000000"/>
          <w:sz w:val="20"/>
          <w:szCs w:val="24"/>
        </w:rPr>
        <w:t>, usually resulting in serious illness and a rapid deterioration. It can cause serious complications such as brain damage, hearing loss, or learning disabilities.</w:t>
      </w:r>
      <w:r w:rsidR="00DF3C0A">
        <w:rPr>
          <w:rFonts w:cs="Arial"/>
          <w:color w:val="000000"/>
          <w:sz w:val="20"/>
          <w:szCs w:val="24"/>
        </w:rPr>
        <w:t xml:space="preserve"> </w:t>
      </w:r>
      <w:r w:rsidR="00DF3C0A" w:rsidRPr="00B607C8">
        <w:rPr>
          <w:rFonts w:cs="Arial"/>
          <w:color w:val="000000"/>
          <w:sz w:val="20"/>
          <w:szCs w:val="24"/>
        </w:rPr>
        <w:t>In the United States, about 4,100 cases of bacterial meningitis occurred each year between 2003 and 2007.  Within those cases, nearly 12% died from the disease. [CDC Ref]  Adolescents and young adults have an increased incidence, accounting for 15 percent</w:t>
      </w:r>
      <w:r w:rsidR="00DF3C0A">
        <w:rPr>
          <w:rFonts w:cs="Arial"/>
          <w:color w:val="000000"/>
          <w:sz w:val="20"/>
          <w:szCs w:val="24"/>
        </w:rPr>
        <w:t xml:space="preserve"> of all cases [NMA Ref]</w:t>
      </w:r>
      <w:r w:rsidR="00DF3C0A" w:rsidRPr="00B607C8">
        <w:rPr>
          <w:rFonts w:cs="Arial"/>
          <w:color w:val="000000"/>
          <w:sz w:val="20"/>
          <w:szCs w:val="24"/>
        </w:rPr>
        <w:t>.</w:t>
      </w:r>
      <w:r w:rsidR="00DF3C0A">
        <w:rPr>
          <w:rFonts w:cs="Arial"/>
          <w:color w:val="000000"/>
          <w:sz w:val="20"/>
          <w:szCs w:val="24"/>
        </w:rPr>
        <w:t xml:space="preserve"> Within the adolescent group, those ages 16 through 21 years have the highest rates of the disease. [CDC ref 2]</w:t>
      </w:r>
    </w:p>
    <w:p w14:paraId="4527D8F6" w14:textId="77777777" w:rsidR="00DF3C0A" w:rsidRDefault="00DF3C0A" w:rsidP="00ED1181">
      <w:pPr>
        <w:pStyle w:val="BodyText"/>
        <w:rPr>
          <w:rFonts w:cs="Arial"/>
          <w:color w:val="000000"/>
          <w:sz w:val="20"/>
          <w:szCs w:val="24"/>
        </w:rPr>
      </w:pPr>
    </w:p>
    <w:p w14:paraId="24BB3F18" w14:textId="77777777" w:rsidR="00D4315A" w:rsidRDefault="00D4315A" w:rsidP="00DF3C0A">
      <w:pPr>
        <w:pStyle w:val="BodyText"/>
        <w:rPr>
          <w:rFonts w:cs="Arial"/>
          <w:color w:val="000000"/>
          <w:sz w:val="20"/>
          <w:szCs w:val="24"/>
        </w:rPr>
      </w:pPr>
      <w:r>
        <w:rPr>
          <w:rFonts w:cs="Arial"/>
          <w:color w:val="000000"/>
          <w:sz w:val="20"/>
          <w:szCs w:val="24"/>
        </w:rPr>
        <w:t>In study groups tested, at least 98% of children achieved a higher titer following a booster immunization</w:t>
      </w:r>
      <w:r w:rsidR="00682DB2">
        <w:rPr>
          <w:rFonts w:cs="Arial"/>
          <w:color w:val="000000"/>
          <w:sz w:val="20"/>
          <w:szCs w:val="24"/>
        </w:rPr>
        <w:t xml:space="preserve"> for meningitis</w:t>
      </w:r>
      <w:r>
        <w:rPr>
          <w:rFonts w:cs="Arial"/>
          <w:color w:val="000000"/>
          <w:sz w:val="20"/>
          <w:szCs w:val="24"/>
        </w:rPr>
        <w:t>.</w:t>
      </w:r>
      <w:r w:rsidR="00202D06">
        <w:rPr>
          <w:rFonts w:cs="Arial"/>
          <w:color w:val="000000"/>
          <w:sz w:val="20"/>
          <w:szCs w:val="24"/>
        </w:rPr>
        <w:t xml:space="preserve"> Based on this and other compelling</w:t>
      </w:r>
      <w:r>
        <w:rPr>
          <w:rFonts w:cs="Arial"/>
          <w:color w:val="000000"/>
          <w:sz w:val="20"/>
          <w:szCs w:val="24"/>
        </w:rPr>
        <w:t xml:space="preserve"> data, ACIP decided to recommend a booster dose for persons who remain at increased risk for meningococcal disease and for adolescents at age 16 years. [CDC MMWR report]</w:t>
      </w:r>
    </w:p>
    <w:p w14:paraId="3E703A82" w14:textId="77777777" w:rsidR="00D4315A" w:rsidRDefault="00D4315A" w:rsidP="00DF3C0A">
      <w:pPr>
        <w:pStyle w:val="BodyText"/>
        <w:rPr>
          <w:rFonts w:cs="Arial"/>
          <w:color w:val="000000"/>
          <w:sz w:val="20"/>
          <w:szCs w:val="24"/>
        </w:rPr>
      </w:pPr>
    </w:p>
    <w:p w14:paraId="72816F4E" w14:textId="77777777" w:rsidR="00DF3C0A" w:rsidRDefault="00DF3C0A" w:rsidP="00DF3C0A">
      <w:pPr>
        <w:pStyle w:val="BodyText"/>
        <w:rPr>
          <w:rFonts w:cs="Arial"/>
          <w:color w:val="000000"/>
          <w:sz w:val="20"/>
          <w:szCs w:val="24"/>
        </w:rPr>
      </w:pPr>
      <w:r>
        <w:rPr>
          <w:rFonts w:cs="Arial"/>
          <w:color w:val="000000"/>
          <w:sz w:val="20"/>
          <w:szCs w:val="24"/>
        </w:rPr>
        <w:t>In addition to age, some groups are at particular risk:</w:t>
      </w:r>
    </w:p>
    <w:p w14:paraId="6A97FA9F" w14:textId="77777777" w:rsidR="00DF3C0A" w:rsidRDefault="00DF3C0A" w:rsidP="00DF3C0A">
      <w:pPr>
        <w:pStyle w:val="BodyText"/>
        <w:numPr>
          <w:ilvl w:val="0"/>
          <w:numId w:val="11"/>
        </w:numPr>
        <w:rPr>
          <w:rFonts w:cs="Arial"/>
          <w:color w:val="000000"/>
          <w:sz w:val="20"/>
          <w:szCs w:val="24"/>
        </w:rPr>
      </w:pPr>
      <w:r>
        <w:rPr>
          <w:rFonts w:cs="Arial"/>
          <w:color w:val="000000"/>
          <w:sz w:val="20"/>
          <w:szCs w:val="24"/>
        </w:rPr>
        <w:t>College students living in dormitories, personnel on military bases and children in boarding schools and childcare facilities are at increased risk of meningococcal meningitis, likely because the bacterium is spread by the respiratory route.</w:t>
      </w:r>
    </w:p>
    <w:p w14:paraId="63768631" w14:textId="77777777" w:rsidR="00DF3C0A" w:rsidRDefault="00DF3C0A" w:rsidP="00DF3C0A">
      <w:pPr>
        <w:pStyle w:val="BodyText"/>
        <w:numPr>
          <w:ilvl w:val="0"/>
          <w:numId w:val="11"/>
        </w:numPr>
        <w:rPr>
          <w:rFonts w:cs="Arial"/>
          <w:color w:val="000000"/>
          <w:sz w:val="20"/>
          <w:szCs w:val="24"/>
        </w:rPr>
      </w:pPr>
      <w:r>
        <w:rPr>
          <w:rFonts w:cs="Arial"/>
          <w:color w:val="000000"/>
          <w:sz w:val="20"/>
          <w:szCs w:val="24"/>
        </w:rPr>
        <w:t>Pregnant women are at an increased risk of contracting listeriosis, which may also cause meningitis.</w:t>
      </w:r>
    </w:p>
    <w:p w14:paraId="5506FD3C" w14:textId="77777777" w:rsidR="00DF3C0A" w:rsidRDefault="00DF3C0A" w:rsidP="00DF3C0A">
      <w:pPr>
        <w:pStyle w:val="BodyText"/>
        <w:numPr>
          <w:ilvl w:val="0"/>
          <w:numId w:val="11"/>
        </w:numPr>
        <w:rPr>
          <w:rFonts w:cs="Arial"/>
          <w:color w:val="000000"/>
          <w:sz w:val="20"/>
          <w:szCs w:val="24"/>
        </w:rPr>
      </w:pPr>
      <w:r>
        <w:rPr>
          <w:rFonts w:cs="Arial"/>
          <w:color w:val="000000"/>
          <w:sz w:val="20"/>
          <w:szCs w:val="24"/>
        </w:rPr>
        <w:t>Those with a compromised immune system or removal of the spleen are also more susceptible to meningitis.</w:t>
      </w:r>
    </w:p>
    <w:p w14:paraId="082DD52C" w14:textId="77777777" w:rsidR="00DF3C0A" w:rsidRDefault="00DF3C0A" w:rsidP="00DF3C0A">
      <w:pPr>
        <w:pStyle w:val="BodyText"/>
        <w:numPr>
          <w:ilvl w:val="0"/>
          <w:numId w:val="11"/>
        </w:numPr>
        <w:rPr>
          <w:rFonts w:cs="Arial"/>
          <w:color w:val="000000"/>
          <w:sz w:val="20"/>
          <w:szCs w:val="24"/>
        </w:rPr>
      </w:pPr>
      <w:r>
        <w:rPr>
          <w:rFonts w:cs="Arial"/>
          <w:color w:val="000000"/>
          <w:sz w:val="20"/>
          <w:szCs w:val="24"/>
        </w:rPr>
        <w:t>Children and adults who have not completed the recommended vaccination schedule.</w:t>
      </w:r>
    </w:p>
    <w:p w14:paraId="61579B73" w14:textId="77777777" w:rsidR="00DF3C0A" w:rsidRDefault="00DF3C0A" w:rsidP="00ED1181">
      <w:pPr>
        <w:pStyle w:val="BodyText"/>
        <w:rPr>
          <w:rFonts w:cs="Arial"/>
          <w:color w:val="000000"/>
          <w:sz w:val="20"/>
          <w:szCs w:val="24"/>
        </w:rPr>
      </w:pPr>
    </w:p>
    <w:p w14:paraId="78F379E5" w14:textId="77777777" w:rsidR="002D3246" w:rsidRDefault="002D3246" w:rsidP="00ED1181">
      <w:pPr>
        <w:pStyle w:val="BodyText"/>
        <w:rPr>
          <w:rFonts w:cs="Arial"/>
          <w:color w:val="000000"/>
          <w:sz w:val="20"/>
          <w:szCs w:val="24"/>
        </w:rPr>
      </w:pPr>
      <w:r>
        <w:rPr>
          <w:rFonts w:cs="Arial"/>
          <w:color w:val="000000"/>
          <w:sz w:val="20"/>
          <w:szCs w:val="24"/>
        </w:rPr>
        <w:t>A</w:t>
      </w:r>
      <w:r w:rsidR="006D67AF">
        <w:rPr>
          <w:rFonts w:cs="Arial"/>
          <w:color w:val="000000"/>
          <w:sz w:val="20"/>
          <w:szCs w:val="24"/>
        </w:rPr>
        <w:t>ccording to the CDC, all</w:t>
      </w:r>
      <w:r>
        <w:rPr>
          <w:rFonts w:cs="Arial"/>
          <w:color w:val="000000"/>
          <w:sz w:val="20"/>
          <w:szCs w:val="24"/>
        </w:rPr>
        <w:t xml:space="preserve"> 11 to 12 year olds should be vaccinated with meningococcal conjugate vaccine (MCV4) and a booster dose should be given at ag</w:t>
      </w:r>
      <w:r w:rsidR="00202D06">
        <w:rPr>
          <w:rFonts w:cs="Arial"/>
          <w:color w:val="000000"/>
          <w:sz w:val="20"/>
          <w:szCs w:val="24"/>
        </w:rPr>
        <w:t>e 16 years</w:t>
      </w:r>
      <w:r>
        <w:rPr>
          <w:rFonts w:cs="Arial"/>
          <w:color w:val="000000"/>
          <w:sz w:val="20"/>
          <w:szCs w:val="24"/>
        </w:rPr>
        <w:t>. For adolescents who receive the first dose at ages 13 through 15 years, a one-time booster dose should be administered, preferab</w:t>
      </w:r>
      <w:r w:rsidR="006D67AF">
        <w:rPr>
          <w:rFonts w:cs="Arial"/>
          <w:color w:val="000000"/>
          <w:sz w:val="20"/>
          <w:szCs w:val="24"/>
        </w:rPr>
        <w:t>ly at age 16 through 18 y</w:t>
      </w:r>
      <w:r>
        <w:rPr>
          <w:rFonts w:cs="Arial"/>
          <w:color w:val="000000"/>
          <w:sz w:val="20"/>
          <w:szCs w:val="24"/>
        </w:rPr>
        <w:t>ears, before the peak in increased risk. See the full CDC recommended guidelines in the table below:</w:t>
      </w:r>
    </w:p>
    <w:p w14:paraId="2F982E58" w14:textId="77777777" w:rsidR="002124A3" w:rsidRDefault="002124A3" w:rsidP="00ED1181">
      <w:pPr>
        <w:pStyle w:val="BodyText"/>
        <w:rPr>
          <w:rFonts w:cs="Arial"/>
          <w:color w:val="000000"/>
          <w:sz w:val="20"/>
          <w:szCs w:val="24"/>
        </w:rPr>
      </w:pPr>
    </w:p>
    <w:p w14:paraId="7C36AC06" w14:textId="77777777" w:rsidR="002124A3" w:rsidRPr="008E33C7" w:rsidRDefault="002124A3" w:rsidP="00ED1181">
      <w:pPr>
        <w:pStyle w:val="BodyText"/>
        <w:rPr>
          <w:rFonts w:cs="Arial"/>
          <w:b/>
          <w:bCs/>
          <w:color w:val="000000"/>
          <w:sz w:val="20"/>
        </w:rPr>
      </w:pPr>
      <w:r w:rsidRPr="008E33C7">
        <w:rPr>
          <w:rFonts w:cs="Arial"/>
          <w:b/>
          <w:bCs/>
          <w:color w:val="000000"/>
          <w:sz w:val="20"/>
        </w:rPr>
        <w:t>Recommended meningococcal vaccines for use in children and adults—Advisory Committee on Immunization Practices (ACIP), United States, 2012</w:t>
      </w:r>
    </w:p>
    <w:p w14:paraId="58725C03" w14:textId="77777777" w:rsidR="002124A3" w:rsidRDefault="002124A3" w:rsidP="00ED1181">
      <w:pPr>
        <w:pStyle w:val="BodyText"/>
        <w:rPr>
          <w:rFonts w:cs="Arial"/>
          <w:color w:val="000000"/>
          <w:sz w:val="20"/>
          <w:szCs w:val="24"/>
        </w:rPr>
      </w:pPr>
    </w:p>
    <w:tbl>
      <w:tblPr>
        <w:tblStyle w:val="TableGrid"/>
        <w:tblW w:w="0" w:type="auto"/>
        <w:tblLook w:val="04A0" w:firstRow="1" w:lastRow="0" w:firstColumn="1" w:lastColumn="0" w:noHBand="0" w:noVBand="1"/>
      </w:tblPr>
      <w:tblGrid>
        <w:gridCol w:w="3288"/>
        <w:gridCol w:w="3288"/>
        <w:gridCol w:w="3288"/>
      </w:tblGrid>
      <w:tr w:rsidR="002124A3" w14:paraId="5BBD2CD2" w14:textId="77777777" w:rsidTr="002124A3">
        <w:tc>
          <w:tcPr>
            <w:tcW w:w="3288" w:type="dxa"/>
          </w:tcPr>
          <w:p w14:paraId="3640C66B" w14:textId="77777777" w:rsidR="002124A3" w:rsidRDefault="002124A3" w:rsidP="00ED1181">
            <w:pPr>
              <w:pStyle w:val="BodyText"/>
              <w:rPr>
                <w:rFonts w:cs="Arial"/>
                <w:color w:val="000000"/>
                <w:sz w:val="20"/>
                <w:szCs w:val="24"/>
              </w:rPr>
            </w:pPr>
            <w:r>
              <w:rPr>
                <w:rFonts w:cs="Arial"/>
                <w:color w:val="000000"/>
                <w:sz w:val="20"/>
                <w:szCs w:val="24"/>
              </w:rPr>
              <w:t>Age group</w:t>
            </w:r>
          </w:p>
        </w:tc>
        <w:tc>
          <w:tcPr>
            <w:tcW w:w="3288" w:type="dxa"/>
          </w:tcPr>
          <w:p w14:paraId="6E08BCDA" w14:textId="77777777" w:rsidR="002124A3" w:rsidRDefault="002124A3" w:rsidP="00ED1181">
            <w:pPr>
              <w:pStyle w:val="BodyText"/>
              <w:rPr>
                <w:rFonts w:cs="Arial"/>
                <w:color w:val="000000"/>
                <w:sz w:val="20"/>
                <w:szCs w:val="24"/>
              </w:rPr>
            </w:pPr>
            <w:r>
              <w:rPr>
                <w:rFonts w:cs="Arial"/>
                <w:color w:val="000000"/>
                <w:sz w:val="20"/>
                <w:szCs w:val="24"/>
              </w:rPr>
              <w:t>Vaccine</w:t>
            </w:r>
          </w:p>
        </w:tc>
        <w:tc>
          <w:tcPr>
            <w:tcW w:w="3288" w:type="dxa"/>
          </w:tcPr>
          <w:p w14:paraId="6041EA0F" w14:textId="77777777" w:rsidR="002124A3" w:rsidRDefault="002124A3" w:rsidP="00ED1181">
            <w:pPr>
              <w:pStyle w:val="BodyText"/>
              <w:rPr>
                <w:rFonts w:cs="Arial"/>
                <w:color w:val="000000"/>
                <w:sz w:val="20"/>
                <w:szCs w:val="24"/>
              </w:rPr>
            </w:pPr>
            <w:r>
              <w:rPr>
                <w:rFonts w:cs="Arial"/>
                <w:color w:val="000000"/>
                <w:sz w:val="20"/>
                <w:szCs w:val="24"/>
              </w:rPr>
              <w:t>Status</w:t>
            </w:r>
          </w:p>
        </w:tc>
      </w:tr>
      <w:tr w:rsidR="002124A3" w14:paraId="28F73875" w14:textId="77777777" w:rsidTr="002124A3">
        <w:tc>
          <w:tcPr>
            <w:tcW w:w="3288" w:type="dxa"/>
          </w:tcPr>
          <w:p w14:paraId="036D594C" w14:textId="77777777" w:rsidR="002124A3" w:rsidRDefault="002124A3" w:rsidP="00ED1181">
            <w:pPr>
              <w:pStyle w:val="BodyText"/>
              <w:rPr>
                <w:rFonts w:cs="Arial"/>
                <w:color w:val="000000"/>
                <w:sz w:val="20"/>
                <w:szCs w:val="24"/>
              </w:rPr>
            </w:pPr>
            <w:r>
              <w:rPr>
                <w:rFonts w:cs="Arial"/>
                <w:color w:val="000000"/>
                <w:sz w:val="20"/>
                <w:szCs w:val="24"/>
              </w:rPr>
              <w:t>2 mos-10 years</w:t>
            </w:r>
          </w:p>
        </w:tc>
        <w:tc>
          <w:tcPr>
            <w:tcW w:w="3288" w:type="dxa"/>
          </w:tcPr>
          <w:p w14:paraId="15076665" w14:textId="77777777" w:rsidR="002124A3" w:rsidRDefault="002124A3" w:rsidP="00ED1181">
            <w:pPr>
              <w:pStyle w:val="BodyText"/>
              <w:rPr>
                <w:rFonts w:cs="Arial"/>
                <w:color w:val="000000"/>
                <w:sz w:val="20"/>
                <w:szCs w:val="24"/>
              </w:rPr>
            </w:pPr>
            <w:r>
              <w:rPr>
                <w:rFonts w:cs="Arial"/>
                <w:color w:val="000000"/>
                <w:sz w:val="20"/>
                <w:szCs w:val="24"/>
              </w:rPr>
              <w:t>MenACWY-D (Menactra, Sanofi)*</w:t>
            </w:r>
          </w:p>
        </w:tc>
        <w:tc>
          <w:tcPr>
            <w:tcW w:w="3288" w:type="dxa"/>
          </w:tcPr>
          <w:p w14:paraId="57EFE37E" w14:textId="77777777" w:rsidR="002124A3" w:rsidRDefault="00D44E39" w:rsidP="00ED1181">
            <w:pPr>
              <w:pStyle w:val="BodyText"/>
              <w:rPr>
                <w:rFonts w:cs="Arial"/>
                <w:color w:val="000000"/>
                <w:sz w:val="20"/>
                <w:szCs w:val="24"/>
              </w:rPr>
            </w:pPr>
            <w:r>
              <w:rPr>
                <w:rFonts w:cs="Arial"/>
                <w:color w:val="000000"/>
                <w:sz w:val="20"/>
                <w:szCs w:val="24"/>
              </w:rPr>
              <w:t>Not routinely recommended</w:t>
            </w:r>
          </w:p>
        </w:tc>
      </w:tr>
      <w:tr w:rsidR="002124A3" w14:paraId="66A36ACE" w14:textId="77777777" w:rsidTr="002124A3">
        <w:tc>
          <w:tcPr>
            <w:tcW w:w="3288" w:type="dxa"/>
          </w:tcPr>
          <w:p w14:paraId="2F3DB89F" w14:textId="77777777" w:rsidR="002124A3" w:rsidRDefault="002124A3" w:rsidP="00ED1181">
            <w:pPr>
              <w:pStyle w:val="BodyText"/>
              <w:rPr>
                <w:rFonts w:cs="Arial"/>
                <w:color w:val="000000"/>
                <w:sz w:val="20"/>
                <w:szCs w:val="24"/>
              </w:rPr>
            </w:pPr>
          </w:p>
        </w:tc>
        <w:tc>
          <w:tcPr>
            <w:tcW w:w="3288" w:type="dxa"/>
          </w:tcPr>
          <w:p w14:paraId="6DE0769D" w14:textId="77777777" w:rsidR="002124A3" w:rsidRDefault="00D44E39" w:rsidP="00ED1181">
            <w:pPr>
              <w:pStyle w:val="BodyText"/>
              <w:rPr>
                <w:rFonts w:cs="Arial"/>
                <w:color w:val="000000"/>
                <w:sz w:val="20"/>
                <w:szCs w:val="24"/>
              </w:rPr>
            </w:pPr>
            <w:r>
              <w:rPr>
                <w:rFonts w:cs="Arial"/>
                <w:color w:val="000000"/>
                <w:sz w:val="20"/>
                <w:szCs w:val="24"/>
              </w:rPr>
              <w:t>MenACWY-CRM (Meneveo, Novartis)</w:t>
            </w:r>
          </w:p>
        </w:tc>
        <w:tc>
          <w:tcPr>
            <w:tcW w:w="3288" w:type="dxa"/>
          </w:tcPr>
          <w:p w14:paraId="5733507B" w14:textId="77777777" w:rsidR="002124A3" w:rsidRDefault="00D44E39" w:rsidP="00ED1181">
            <w:pPr>
              <w:pStyle w:val="BodyText"/>
              <w:rPr>
                <w:rFonts w:cs="Arial"/>
                <w:color w:val="000000"/>
                <w:sz w:val="20"/>
                <w:szCs w:val="24"/>
              </w:rPr>
            </w:pPr>
            <w:r>
              <w:rPr>
                <w:rFonts w:cs="Arial"/>
                <w:color w:val="000000"/>
                <w:sz w:val="20"/>
                <w:szCs w:val="24"/>
              </w:rPr>
              <w:t>Not routinely recommended</w:t>
            </w:r>
          </w:p>
        </w:tc>
      </w:tr>
      <w:tr w:rsidR="002124A3" w14:paraId="595AC421" w14:textId="77777777" w:rsidTr="002124A3">
        <w:tc>
          <w:tcPr>
            <w:tcW w:w="3288" w:type="dxa"/>
          </w:tcPr>
          <w:p w14:paraId="26453ECC" w14:textId="77777777" w:rsidR="002124A3" w:rsidRDefault="002124A3" w:rsidP="00ED1181">
            <w:pPr>
              <w:pStyle w:val="BodyText"/>
              <w:rPr>
                <w:rFonts w:cs="Arial"/>
                <w:color w:val="000000"/>
                <w:sz w:val="20"/>
                <w:szCs w:val="24"/>
              </w:rPr>
            </w:pPr>
          </w:p>
        </w:tc>
        <w:tc>
          <w:tcPr>
            <w:tcW w:w="3288" w:type="dxa"/>
          </w:tcPr>
          <w:p w14:paraId="4986E968" w14:textId="77777777" w:rsidR="002124A3" w:rsidRDefault="00D44E39" w:rsidP="00ED1181">
            <w:pPr>
              <w:pStyle w:val="BodyText"/>
              <w:rPr>
                <w:rFonts w:cs="Arial"/>
                <w:color w:val="000000"/>
                <w:sz w:val="20"/>
                <w:szCs w:val="24"/>
              </w:rPr>
            </w:pPr>
            <w:r>
              <w:rPr>
                <w:rFonts w:cs="Arial"/>
                <w:color w:val="000000"/>
                <w:sz w:val="20"/>
                <w:szCs w:val="24"/>
              </w:rPr>
              <w:t>HibMenCY-TT (MenHibrix, GSK)</w:t>
            </w:r>
          </w:p>
        </w:tc>
        <w:tc>
          <w:tcPr>
            <w:tcW w:w="3288" w:type="dxa"/>
          </w:tcPr>
          <w:p w14:paraId="57B517B1" w14:textId="77777777" w:rsidR="00D44E39" w:rsidRDefault="00D44E39" w:rsidP="00ED1181">
            <w:pPr>
              <w:pStyle w:val="BodyText"/>
              <w:rPr>
                <w:rFonts w:cs="Arial"/>
                <w:color w:val="000000"/>
                <w:sz w:val="20"/>
                <w:szCs w:val="24"/>
              </w:rPr>
            </w:pPr>
            <w:r>
              <w:rPr>
                <w:rFonts w:cs="Arial"/>
                <w:color w:val="000000"/>
                <w:sz w:val="20"/>
                <w:szCs w:val="24"/>
              </w:rPr>
              <w:t>Not routinely recommended</w:t>
            </w:r>
          </w:p>
        </w:tc>
      </w:tr>
      <w:tr w:rsidR="002124A3" w14:paraId="4A4A9974" w14:textId="77777777" w:rsidTr="002124A3">
        <w:tc>
          <w:tcPr>
            <w:tcW w:w="3288" w:type="dxa"/>
          </w:tcPr>
          <w:p w14:paraId="0A23163C" w14:textId="77777777" w:rsidR="002124A3" w:rsidRDefault="00D44E39" w:rsidP="00ED1181">
            <w:pPr>
              <w:pStyle w:val="BodyText"/>
              <w:rPr>
                <w:rFonts w:cs="Arial"/>
                <w:color w:val="000000"/>
                <w:sz w:val="20"/>
                <w:szCs w:val="24"/>
              </w:rPr>
            </w:pPr>
            <w:r>
              <w:rPr>
                <w:rFonts w:cs="Arial"/>
                <w:color w:val="000000"/>
                <w:sz w:val="20"/>
                <w:szCs w:val="24"/>
              </w:rPr>
              <w:t>11 – 21 years</w:t>
            </w:r>
          </w:p>
        </w:tc>
        <w:tc>
          <w:tcPr>
            <w:tcW w:w="3288" w:type="dxa"/>
          </w:tcPr>
          <w:p w14:paraId="7F18B304" w14:textId="77777777" w:rsidR="002124A3" w:rsidRDefault="00D44E39" w:rsidP="00ED1181">
            <w:pPr>
              <w:pStyle w:val="BodyText"/>
              <w:rPr>
                <w:rFonts w:cs="Arial"/>
                <w:color w:val="000000"/>
                <w:sz w:val="20"/>
                <w:szCs w:val="24"/>
              </w:rPr>
            </w:pPr>
            <w:r>
              <w:rPr>
                <w:rFonts w:cs="Arial"/>
                <w:color w:val="000000"/>
                <w:sz w:val="20"/>
                <w:szCs w:val="24"/>
              </w:rPr>
              <w:t>MenACWY-D or MenACWY-CRM</w:t>
            </w:r>
          </w:p>
        </w:tc>
        <w:tc>
          <w:tcPr>
            <w:tcW w:w="3288" w:type="dxa"/>
          </w:tcPr>
          <w:p w14:paraId="71989BA2" w14:textId="77777777" w:rsidR="002124A3" w:rsidRDefault="00D44E39" w:rsidP="00ED1181">
            <w:pPr>
              <w:pStyle w:val="BodyText"/>
              <w:rPr>
                <w:rFonts w:cs="Arial"/>
                <w:color w:val="000000"/>
                <w:sz w:val="20"/>
                <w:szCs w:val="24"/>
              </w:rPr>
            </w:pPr>
            <w:r>
              <w:rPr>
                <w:rFonts w:cs="Arial"/>
                <w:color w:val="000000"/>
                <w:sz w:val="20"/>
                <w:szCs w:val="24"/>
              </w:rPr>
              <w:t>Primary:</w:t>
            </w:r>
          </w:p>
          <w:p w14:paraId="0697875F" w14:textId="77777777" w:rsidR="00D44E39" w:rsidRDefault="00D44E39" w:rsidP="00D44E39">
            <w:pPr>
              <w:pStyle w:val="BodyText"/>
              <w:numPr>
                <w:ilvl w:val="0"/>
                <w:numId w:val="13"/>
              </w:numPr>
              <w:rPr>
                <w:rFonts w:cs="Arial"/>
                <w:color w:val="000000"/>
                <w:sz w:val="20"/>
                <w:szCs w:val="24"/>
              </w:rPr>
            </w:pPr>
            <w:r>
              <w:rPr>
                <w:rFonts w:cs="Arial"/>
                <w:color w:val="000000"/>
                <w:sz w:val="20"/>
                <w:szCs w:val="24"/>
              </w:rPr>
              <w:t>Age 11-12 years, 1 dose</w:t>
            </w:r>
          </w:p>
          <w:p w14:paraId="7E31022D" w14:textId="77777777" w:rsidR="00D44E39" w:rsidRDefault="00D44E39" w:rsidP="00D44E39">
            <w:pPr>
              <w:pStyle w:val="BodyText"/>
              <w:numPr>
                <w:ilvl w:val="0"/>
                <w:numId w:val="13"/>
              </w:numPr>
              <w:rPr>
                <w:rFonts w:cs="Arial"/>
                <w:color w:val="000000"/>
                <w:sz w:val="20"/>
                <w:szCs w:val="24"/>
              </w:rPr>
            </w:pPr>
            <w:r>
              <w:rPr>
                <w:rFonts w:cs="Arial"/>
                <w:color w:val="000000"/>
                <w:sz w:val="20"/>
                <w:szCs w:val="24"/>
              </w:rPr>
              <w:t>Age 13-18 years, 1 dose if not vaccinated previously</w:t>
            </w:r>
          </w:p>
          <w:p w14:paraId="392D812B" w14:textId="77777777" w:rsidR="00D44E39" w:rsidRDefault="00D44E39" w:rsidP="00D44E39">
            <w:pPr>
              <w:pStyle w:val="BodyText"/>
              <w:numPr>
                <w:ilvl w:val="0"/>
                <w:numId w:val="13"/>
              </w:numPr>
              <w:rPr>
                <w:rFonts w:cs="Arial"/>
                <w:color w:val="000000"/>
                <w:sz w:val="20"/>
                <w:szCs w:val="24"/>
              </w:rPr>
            </w:pPr>
            <w:r>
              <w:rPr>
                <w:rFonts w:cs="Arial"/>
                <w:color w:val="000000"/>
                <w:sz w:val="20"/>
                <w:szCs w:val="24"/>
              </w:rPr>
              <w:t>Age 19-21 years, not routinely recommended but may be administered as catch-up vaccination for those who have not received a dose after their 16</w:t>
            </w:r>
            <w:r w:rsidRPr="00D44E39">
              <w:rPr>
                <w:rFonts w:cs="Arial"/>
                <w:color w:val="000000"/>
                <w:sz w:val="20"/>
                <w:szCs w:val="24"/>
                <w:vertAlign w:val="superscript"/>
              </w:rPr>
              <w:t>th</w:t>
            </w:r>
            <w:r>
              <w:rPr>
                <w:rFonts w:cs="Arial"/>
                <w:color w:val="000000"/>
                <w:sz w:val="20"/>
                <w:szCs w:val="24"/>
              </w:rPr>
              <w:t xml:space="preserve"> birthday</w:t>
            </w:r>
          </w:p>
          <w:p w14:paraId="21C11C2D" w14:textId="77777777" w:rsidR="00D44E39" w:rsidRDefault="00D44E39" w:rsidP="00D44E39">
            <w:pPr>
              <w:pStyle w:val="BodyText"/>
              <w:rPr>
                <w:rFonts w:cs="Arial"/>
                <w:color w:val="000000"/>
                <w:sz w:val="20"/>
                <w:szCs w:val="24"/>
              </w:rPr>
            </w:pPr>
            <w:r>
              <w:rPr>
                <w:rFonts w:cs="Arial"/>
                <w:color w:val="000000"/>
                <w:sz w:val="20"/>
                <w:szCs w:val="24"/>
              </w:rPr>
              <w:t>Booster:</w:t>
            </w:r>
          </w:p>
          <w:p w14:paraId="08629DC1" w14:textId="77777777" w:rsidR="00D44E39" w:rsidRDefault="00D44E39" w:rsidP="00D44E39">
            <w:pPr>
              <w:pStyle w:val="BodyText"/>
              <w:rPr>
                <w:rFonts w:cs="Arial"/>
                <w:color w:val="000000"/>
                <w:sz w:val="20"/>
                <w:szCs w:val="24"/>
              </w:rPr>
            </w:pPr>
            <w:r>
              <w:rPr>
                <w:rFonts w:cs="Arial"/>
                <w:color w:val="000000"/>
                <w:sz w:val="20"/>
                <w:szCs w:val="24"/>
              </w:rPr>
              <w:lastRenderedPageBreak/>
              <w:t>* 1 dose recommended if first dose administered before 16</w:t>
            </w:r>
            <w:r w:rsidRPr="00D44E39">
              <w:rPr>
                <w:rFonts w:cs="Arial"/>
                <w:color w:val="000000"/>
                <w:sz w:val="20"/>
                <w:szCs w:val="24"/>
                <w:vertAlign w:val="superscript"/>
              </w:rPr>
              <w:t>th</w:t>
            </w:r>
            <w:r>
              <w:rPr>
                <w:rFonts w:cs="Arial"/>
                <w:color w:val="000000"/>
                <w:sz w:val="20"/>
                <w:szCs w:val="24"/>
              </w:rPr>
              <w:t xml:space="preserve"> birthday</w:t>
            </w:r>
          </w:p>
        </w:tc>
      </w:tr>
      <w:tr w:rsidR="002124A3" w14:paraId="1C92C271" w14:textId="77777777" w:rsidTr="002124A3">
        <w:tc>
          <w:tcPr>
            <w:tcW w:w="3288" w:type="dxa"/>
          </w:tcPr>
          <w:p w14:paraId="2AEDD4A7" w14:textId="77777777" w:rsidR="002124A3" w:rsidRDefault="00D44E39" w:rsidP="00ED1181">
            <w:pPr>
              <w:pStyle w:val="BodyText"/>
              <w:rPr>
                <w:rFonts w:cs="Arial"/>
                <w:color w:val="000000"/>
                <w:sz w:val="20"/>
                <w:szCs w:val="24"/>
              </w:rPr>
            </w:pPr>
            <w:r>
              <w:rPr>
                <w:rFonts w:cs="Arial"/>
                <w:color w:val="000000"/>
                <w:sz w:val="20"/>
                <w:szCs w:val="24"/>
              </w:rPr>
              <w:lastRenderedPageBreak/>
              <w:t>22-55 years</w:t>
            </w:r>
          </w:p>
        </w:tc>
        <w:tc>
          <w:tcPr>
            <w:tcW w:w="3288" w:type="dxa"/>
          </w:tcPr>
          <w:p w14:paraId="0103D886" w14:textId="77777777" w:rsidR="002124A3" w:rsidRDefault="00D44E39" w:rsidP="00ED1181">
            <w:pPr>
              <w:pStyle w:val="BodyText"/>
              <w:rPr>
                <w:rFonts w:cs="Arial"/>
                <w:color w:val="000000"/>
                <w:sz w:val="20"/>
                <w:szCs w:val="24"/>
              </w:rPr>
            </w:pPr>
            <w:r>
              <w:rPr>
                <w:rFonts w:cs="Arial"/>
                <w:color w:val="000000"/>
                <w:sz w:val="20"/>
                <w:szCs w:val="24"/>
              </w:rPr>
              <w:t>MenACWY-D or MenACWY-CRM</w:t>
            </w:r>
          </w:p>
        </w:tc>
        <w:tc>
          <w:tcPr>
            <w:tcW w:w="3288" w:type="dxa"/>
          </w:tcPr>
          <w:p w14:paraId="0B963598" w14:textId="77777777" w:rsidR="002124A3" w:rsidRDefault="00D44E39" w:rsidP="00ED1181">
            <w:pPr>
              <w:pStyle w:val="BodyText"/>
              <w:rPr>
                <w:rFonts w:cs="Arial"/>
                <w:color w:val="000000"/>
                <w:sz w:val="20"/>
                <w:szCs w:val="24"/>
              </w:rPr>
            </w:pPr>
            <w:r>
              <w:rPr>
                <w:rFonts w:cs="Arial"/>
                <w:color w:val="000000"/>
                <w:sz w:val="20"/>
                <w:szCs w:val="24"/>
              </w:rPr>
              <w:t>Not routinely recommended</w:t>
            </w:r>
          </w:p>
        </w:tc>
      </w:tr>
      <w:tr w:rsidR="002124A3" w14:paraId="0BB3674B" w14:textId="77777777" w:rsidTr="002124A3">
        <w:tc>
          <w:tcPr>
            <w:tcW w:w="3288" w:type="dxa"/>
          </w:tcPr>
          <w:p w14:paraId="453A2D33" w14:textId="77777777" w:rsidR="002124A3" w:rsidRDefault="00D44E39" w:rsidP="00ED1181">
            <w:pPr>
              <w:pStyle w:val="BodyText"/>
              <w:rPr>
                <w:rFonts w:cs="Arial"/>
                <w:color w:val="000000"/>
                <w:sz w:val="20"/>
                <w:szCs w:val="24"/>
              </w:rPr>
            </w:pPr>
            <w:r>
              <w:rPr>
                <w:rFonts w:cs="Arial"/>
                <w:color w:val="000000"/>
                <w:sz w:val="20"/>
                <w:szCs w:val="24"/>
              </w:rPr>
              <w:t>56 years and older</w:t>
            </w:r>
          </w:p>
        </w:tc>
        <w:tc>
          <w:tcPr>
            <w:tcW w:w="3288" w:type="dxa"/>
          </w:tcPr>
          <w:p w14:paraId="63E4CBF0" w14:textId="77777777" w:rsidR="002124A3" w:rsidRDefault="00D44E39" w:rsidP="00ED1181">
            <w:pPr>
              <w:pStyle w:val="BodyText"/>
              <w:rPr>
                <w:rFonts w:cs="Arial"/>
                <w:color w:val="000000"/>
                <w:sz w:val="20"/>
                <w:szCs w:val="24"/>
              </w:rPr>
            </w:pPr>
            <w:r>
              <w:rPr>
                <w:rFonts w:cs="Arial"/>
                <w:color w:val="000000"/>
                <w:sz w:val="20"/>
                <w:szCs w:val="24"/>
              </w:rPr>
              <w:t>MPSV4, MenACWY-D, or MenACWY-CRM</w:t>
            </w:r>
          </w:p>
        </w:tc>
        <w:tc>
          <w:tcPr>
            <w:tcW w:w="3288" w:type="dxa"/>
          </w:tcPr>
          <w:p w14:paraId="5B70A694" w14:textId="77777777" w:rsidR="002124A3" w:rsidRDefault="00D44E39" w:rsidP="00ED1181">
            <w:pPr>
              <w:pStyle w:val="BodyText"/>
              <w:rPr>
                <w:rFonts w:cs="Arial"/>
                <w:color w:val="000000"/>
                <w:sz w:val="20"/>
                <w:szCs w:val="24"/>
              </w:rPr>
            </w:pPr>
            <w:r>
              <w:rPr>
                <w:rFonts w:cs="Arial"/>
                <w:color w:val="000000"/>
                <w:sz w:val="20"/>
                <w:szCs w:val="24"/>
              </w:rPr>
              <w:t>Not routinely recommended</w:t>
            </w:r>
          </w:p>
        </w:tc>
      </w:tr>
      <w:tr w:rsidR="002124A3" w14:paraId="7A57FA44" w14:textId="77777777" w:rsidTr="002124A3">
        <w:tc>
          <w:tcPr>
            <w:tcW w:w="3288" w:type="dxa"/>
          </w:tcPr>
          <w:p w14:paraId="7C8E4E75" w14:textId="77777777" w:rsidR="002124A3" w:rsidRDefault="002124A3" w:rsidP="00ED1181">
            <w:pPr>
              <w:pStyle w:val="BodyText"/>
              <w:rPr>
                <w:rFonts w:cs="Arial"/>
                <w:color w:val="000000"/>
                <w:sz w:val="20"/>
                <w:szCs w:val="24"/>
              </w:rPr>
            </w:pPr>
          </w:p>
        </w:tc>
        <w:tc>
          <w:tcPr>
            <w:tcW w:w="3288" w:type="dxa"/>
          </w:tcPr>
          <w:p w14:paraId="7A64D0C4" w14:textId="77777777" w:rsidR="002124A3" w:rsidRDefault="002124A3" w:rsidP="00ED1181">
            <w:pPr>
              <w:pStyle w:val="BodyText"/>
              <w:rPr>
                <w:rFonts w:cs="Arial"/>
                <w:color w:val="000000"/>
                <w:sz w:val="20"/>
                <w:szCs w:val="24"/>
              </w:rPr>
            </w:pPr>
          </w:p>
        </w:tc>
        <w:tc>
          <w:tcPr>
            <w:tcW w:w="3288" w:type="dxa"/>
          </w:tcPr>
          <w:p w14:paraId="08A9EF8F" w14:textId="77777777" w:rsidR="002124A3" w:rsidRDefault="002124A3" w:rsidP="00ED1181">
            <w:pPr>
              <w:pStyle w:val="BodyText"/>
              <w:rPr>
                <w:rFonts w:cs="Arial"/>
                <w:color w:val="000000"/>
                <w:sz w:val="20"/>
                <w:szCs w:val="24"/>
              </w:rPr>
            </w:pPr>
          </w:p>
        </w:tc>
      </w:tr>
    </w:tbl>
    <w:p w14:paraId="1C29012F" w14:textId="77777777" w:rsidR="002124A3" w:rsidRDefault="002124A3" w:rsidP="00ED1181">
      <w:pPr>
        <w:pStyle w:val="BodyText"/>
        <w:rPr>
          <w:rFonts w:cs="Arial"/>
          <w:color w:val="000000"/>
          <w:sz w:val="20"/>
          <w:szCs w:val="24"/>
        </w:rPr>
      </w:pPr>
    </w:p>
    <w:p w14:paraId="2F262FCD" w14:textId="77777777" w:rsidR="00DF3C0A" w:rsidRDefault="00DF3C0A" w:rsidP="00ED1181">
      <w:pPr>
        <w:pStyle w:val="BodyText"/>
        <w:rPr>
          <w:rFonts w:cs="Arial"/>
          <w:color w:val="000000"/>
          <w:sz w:val="20"/>
          <w:szCs w:val="24"/>
        </w:rPr>
      </w:pPr>
    </w:p>
    <w:p w14:paraId="6704A084" w14:textId="77777777" w:rsidR="002D3246" w:rsidRDefault="002D3246" w:rsidP="00ED1181">
      <w:pPr>
        <w:pStyle w:val="BodyText"/>
        <w:rPr>
          <w:rFonts w:cs="Arial"/>
          <w:color w:val="000000"/>
          <w:sz w:val="20"/>
          <w:szCs w:val="24"/>
        </w:rPr>
      </w:pPr>
    </w:p>
    <w:p w14:paraId="378EC803" w14:textId="77777777" w:rsidR="007C3161" w:rsidRPr="00C06582" w:rsidRDefault="00682DB2" w:rsidP="00ED1181">
      <w:pPr>
        <w:pStyle w:val="BodyText"/>
        <w:rPr>
          <w:rFonts w:cs="Arial"/>
          <w:i/>
          <w:color w:val="000000"/>
          <w:sz w:val="20"/>
          <w:szCs w:val="24"/>
        </w:rPr>
      </w:pPr>
      <w:r>
        <w:rPr>
          <w:rFonts w:cs="Arial"/>
          <w:color w:val="000000"/>
          <w:sz w:val="20"/>
          <w:szCs w:val="24"/>
        </w:rPr>
        <w:t xml:space="preserve">It is important </w:t>
      </w:r>
      <w:r w:rsidR="008B7BB0">
        <w:rPr>
          <w:rFonts w:cs="Arial"/>
          <w:color w:val="000000"/>
          <w:sz w:val="20"/>
          <w:szCs w:val="24"/>
        </w:rPr>
        <w:t xml:space="preserve">for parents and children </w:t>
      </w:r>
      <w:r>
        <w:rPr>
          <w:rFonts w:cs="Arial"/>
          <w:color w:val="000000"/>
          <w:sz w:val="20"/>
          <w:szCs w:val="24"/>
        </w:rPr>
        <w:t xml:space="preserve">to know what can mitigate the spread of this potentially deadly disease. </w:t>
      </w:r>
      <w:r w:rsidR="00F42E6E">
        <w:rPr>
          <w:rFonts w:cs="Arial"/>
          <w:color w:val="000000"/>
          <w:sz w:val="20"/>
          <w:szCs w:val="24"/>
        </w:rPr>
        <w:t>B</w:t>
      </w:r>
      <w:r w:rsidR="00C06582">
        <w:rPr>
          <w:rFonts w:cs="Arial"/>
          <w:color w:val="000000"/>
          <w:sz w:val="20"/>
          <w:szCs w:val="24"/>
        </w:rPr>
        <w:t xml:space="preserve">acterial meningitis presents symptoms very similar to </w:t>
      </w:r>
      <w:r w:rsidR="00DF3C0A">
        <w:rPr>
          <w:rFonts w:cs="Arial"/>
          <w:color w:val="000000"/>
          <w:sz w:val="20"/>
          <w:szCs w:val="24"/>
        </w:rPr>
        <w:t xml:space="preserve">the common cold, </w:t>
      </w:r>
      <w:r w:rsidR="00C06582">
        <w:rPr>
          <w:rFonts w:cs="Arial"/>
          <w:color w:val="000000"/>
          <w:sz w:val="20"/>
          <w:szCs w:val="24"/>
        </w:rPr>
        <w:t>influenza,</w:t>
      </w:r>
      <w:r w:rsidR="00DF3C0A">
        <w:rPr>
          <w:rFonts w:cs="Arial"/>
          <w:color w:val="000000"/>
          <w:sz w:val="20"/>
          <w:szCs w:val="24"/>
        </w:rPr>
        <w:t xml:space="preserve"> and mononucleosis, </w:t>
      </w:r>
      <w:r w:rsidR="00F42E6E">
        <w:rPr>
          <w:rFonts w:cs="Arial"/>
          <w:color w:val="000000"/>
          <w:sz w:val="20"/>
          <w:szCs w:val="24"/>
        </w:rPr>
        <w:t>diseases</w:t>
      </w:r>
      <w:r w:rsidR="00DF3C0A">
        <w:rPr>
          <w:rFonts w:cs="Arial"/>
          <w:color w:val="000000"/>
          <w:sz w:val="20"/>
          <w:szCs w:val="24"/>
        </w:rPr>
        <w:t xml:space="preserve"> very common in </w:t>
      </w:r>
      <w:r w:rsidR="00F42E6E">
        <w:rPr>
          <w:rFonts w:cs="Arial"/>
          <w:color w:val="000000"/>
          <w:sz w:val="20"/>
          <w:szCs w:val="24"/>
        </w:rPr>
        <w:t>adolescents. Because of this,</w:t>
      </w:r>
      <w:r w:rsidR="00C06582">
        <w:rPr>
          <w:rFonts w:cs="Arial"/>
          <w:color w:val="000000"/>
          <w:sz w:val="20"/>
          <w:szCs w:val="24"/>
        </w:rPr>
        <w:t xml:space="preserve"> it can be difficult to diagnose properly.</w:t>
      </w:r>
    </w:p>
    <w:p w14:paraId="7B9BEFAE" w14:textId="77777777" w:rsidR="00C06582" w:rsidRDefault="00C06582" w:rsidP="00ED1181">
      <w:pPr>
        <w:pStyle w:val="BodyText"/>
        <w:rPr>
          <w:rFonts w:cs="Arial"/>
          <w:color w:val="000000"/>
          <w:sz w:val="20"/>
          <w:szCs w:val="24"/>
        </w:rPr>
      </w:pPr>
    </w:p>
    <w:p w14:paraId="2846E930" w14:textId="77777777" w:rsidR="00C06582" w:rsidRDefault="00983922" w:rsidP="00ED1181">
      <w:pPr>
        <w:pStyle w:val="BodyText"/>
        <w:rPr>
          <w:rFonts w:cs="Arial"/>
          <w:color w:val="000000"/>
          <w:sz w:val="20"/>
          <w:szCs w:val="24"/>
        </w:rPr>
      </w:pPr>
      <w:r>
        <w:rPr>
          <w:rFonts w:cs="Arial"/>
          <w:color w:val="000000"/>
          <w:sz w:val="20"/>
          <w:szCs w:val="24"/>
        </w:rPr>
        <w:t>Symptoms of men</w:t>
      </w:r>
      <w:r w:rsidR="006447E1">
        <w:rPr>
          <w:rFonts w:cs="Arial"/>
          <w:color w:val="000000"/>
          <w:sz w:val="20"/>
          <w:szCs w:val="24"/>
        </w:rPr>
        <w:t>ingitis</w:t>
      </w:r>
      <w:r w:rsidR="00F42E6E">
        <w:rPr>
          <w:rFonts w:cs="Arial"/>
          <w:color w:val="000000"/>
          <w:sz w:val="20"/>
          <w:szCs w:val="24"/>
        </w:rPr>
        <w:t xml:space="preserve">, flu, cold or mono could present with </w:t>
      </w:r>
      <w:r w:rsidR="008C5E26">
        <w:rPr>
          <w:rFonts w:cs="Arial"/>
          <w:color w:val="000000"/>
          <w:sz w:val="20"/>
          <w:szCs w:val="24"/>
        </w:rPr>
        <w:t>the following symptoms</w:t>
      </w:r>
      <w:r w:rsidR="00C86757">
        <w:rPr>
          <w:rFonts w:cs="Arial"/>
          <w:color w:val="000000"/>
          <w:sz w:val="20"/>
          <w:szCs w:val="24"/>
        </w:rPr>
        <w:t>:</w:t>
      </w:r>
      <w:r w:rsidR="001312A8">
        <w:rPr>
          <w:rFonts w:cs="Arial"/>
          <w:color w:val="000000"/>
          <w:sz w:val="20"/>
          <w:szCs w:val="24"/>
        </w:rPr>
        <w:t xml:space="preserve">  [</w:t>
      </w:r>
      <w:r w:rsidR="001312A8" w:rsidRPr="001312A8">
        <w:rPr>
          <w:rFonts w:cs="Arial"/>
          <w:i/>
          <w:color w:val="000000"/>
          <w:sz w:val="20"/>
          <w:szCs w:val="24"/>
        </w:rPr>
        <w:t>MayoClinic.com Ref</w:t>
      </w:r>
      <w:r w:rsidR="001312A8">
        <w:rPr>
          <w:rFonts w:cs="Arial"/>
          <w:color w:val="000000"/>
          <w:sz w:val="20"/>
          <w:szCs w:val="24"/>
        </w:rPr>
        <w:t>]</w:t>
      </w:r>
    </w:p>
    <w:p w14:paraId="436C9D65" w14:textId="77777777" w:rsidR="007C3161" w:rsidRDefault="00C86757" w:rsidP="00C86757">
      <w:pPr>
        <w:pStyle w:val="BodyText"/>
        <w:numPr>
          <w:ilvl w:val="0"/>
          <w:numId w:val="10"/>
        </w:numPr>
        <w:rPr>
          <w:rFonts w:cs="Arial"/>
          <w:color w:val="000000"/>
          <w:sz w:val="20"/>
          <w:szCs w:val="24"/>
        </w:rPr>
      </w:pPr>
      <w:r>
        <w:rPr>
          <w:rFonts w:cs="Arial"/>
          <w:color w:val="000000"/>
          <w:sz w:val="20"/>
          <w:szCs w:val="24"/>
        </w:rPr>
        <w:t>Fever</w:t>
      </w:r>
    </w:p>
    <w:p w14:paraId="38DF060E" w14:textId="77777777" w:rsidR="00C86757" w:rsidRDefault="00C86757" w:rsidP="00C86757">
      <w:pPr>
        <w:pStyle w:val="BodyText"/>
        <w:numPr>
          <w:ilvl w:val="0"/>
          <w:numId w:val="10"/>
        </w:numPr>
        <w:rPr>
          <w:rFonts w:cs="Arial"/>
          <w:color w:val="000000"/>
          <w:sz w:val="20"/>
          <w:szCs w:val="24"/>
        </w:rPr>
      </w:pPr>
      <w:r>
        <w:rPr>
          <w:rFonts w:cs="Arial"/>
          <w:color w:val="000000"/>
          <w:sz w:val="20"/>
          <w:szCs w:val="24"/>
        </w:rPr>
        <w:t>Headache</w:t>
      </w:r>
    </w:p>
    <w:p w14:paraId="5EF8232C" w14:textId="77777777" w:rsidR="00C86757" w:rsidRDefault="00C86757" w:rsidP="00C86757">
      <w:pPr>
        <w:pStyle w:val="BodyText"/>
        <w:numPr>
          <w:ilvl w:val="0"/>
          <w:numId w:val="10"/>
        </w:numPr>
        <w:rPr>
          <w:rFonts w:cs="Arial"/>
          <w:color w:val="000000"/>
          <w:sz w:val="20"/>
          <w:szCs w:val="24"/>
        </w:rPr>
      </w:pPr>
      <w:r>
        <w:rPr>
          <w:rFonts w:cs="Arial"/>
          <w:color w:val="000000"/>
          <w:sz w:val="20"/>
          <w:szCs w:val="24"/>
        </w:rPr>
        <w:t>Sleepiness/fatigue/weakness</w:t>
      </w:r>
    </w:p>
    <w:p w14:paraId="706A31E3" w14:textId="77777777" w:rsidR="00C86757" w:rsidRDefault="00C86757" w:rsidP="00C86757">
      <w:pPr>
        <w:pStyle w:val="BodyText"/>
        <w:numPr>
          <w:ilvl w:val="0"/>
          <w:numId w:val="10"/>
        </w:numPr>
        <w:rPr>
          <w:rFonts w:cs="Arial"/>
          <w:color w:val="000000"/>
          <w:sz w:val="20"/>
          <w:szCs w:val="24"/>
        </w:rPr>
      </w:pPr>
      <w:r>
        <w:rPr>
          <w:rFonts w:cs="Arial"/>
          <w:color w:val="000000"/>
          <w:sz w:val="20"/>
          <w:szCs w:val="24"/>
        </w:rPr>
        <w:t>Stiff neck/aching muscles</w:t>
      </w:r>
    </w:p>
    <w:p w14:paraId="3508C8AD" w14:textId="77777777" w:rsidR="00C86757" w:rsidRDefault="002E5838" w:rsidP="00C86757">
      <w:pPr>
        <w:pStyle w:val="BodyText"/>
        <w:numPr>
          <w:ilvl w:val="0"/>
          <w:numId w:val="10"/>
        </w:numPr>
        <w:rPr>
          <w:rFonts w:cs="Arial"/>
          <w:color w:val="000000"/>
          <w:sz w:val="20"/>
          <w:szCs w:val="24"/>
        </w:rPr>
      </w:pPr>
      <w:r>
        <w:rPr>
          <w:rFonts w:cs="Arial"/>
          <w:color w:val="000000"/>
          <w:sz w:val="20"/>
          <w:szCs w:val="24"/>
        </w:rPr>
        <w:t>Vomit</w:t>
      </w:r>
      <w:r w:rsidR="008C5E26">
        <w:rPr>
          <w:rFonts w:cs="Arial"/>
          <w:color w:val="000000"/>
          <w:sz w:val="20"/>
          <w:szCs w:val="24"/>
        </w:rPr>
        <w:t>ing/nausea</w:t>
      </w:r>
    </w:p>
    <w:p w14:paraId="2D076E63" w14:textId="77777777" w:rsidR="00B4618D" w:rsidRDefault="00B4618D" w:rsidP="008C5E26">
      <w:pPr>
        <w:pStyle w:val="BodyText"/>
        <w:rPr>
          <w:rFonts w:cs="Arial"/>
          <w:color w:val="000000"/>
          <w:sz w:val="20"/>
          <w:szCs w:val="24"/>
        </w:rPr>
      </w:pPr>
    </w:p>
    <w:p w14:paraId="1122A821" w14:textId="77777777" w:rsidR="008C5E26" w:rsidRDefault="000D57F5" w:rsidP="008C5E26">
      <w:pPr>
        <w:pStyle w:val="BodyText"/>
        <w:rPr>
          <w:rFonts w:cs="Arial"/>
          <w:color w:val="000000"/>
          <w:sz w:val="20"/>
          <w:szCs w:val="24"/>
        </w:rPr>
      </w:pPr>
      <w:r>
        <w:rPr>
          <w:rFonts w:cs="Arial"/>
          <w:color w:val="000000"/>
          <w:sz w:val="20"/>
          <w:szCs w:val="24"/>
        </w:rPr>
        <w:t xml:space="preserve">One of the biggest </w:t>
      </w:r>
      <w:r w:rsidR="000417C7">
        <w:rPr>
          <w:rFonts w:cs="Arial"/>
          <w:color w:val="000000"/>
          <w:sz w:val="20"/>
          <w:szCs w:val="24"/>
        </w:rPr>
        <w:t xml:space="preserve">risk factors </w:t>
      </w:r>
      <w:r>
        <w:rPr>
          <w:rFonts w:cs="Arial"/>
          <w:color w:val="000000"/>
          <w:sz w:val="20"/>
          <w:szCs w:val="24"/>
        </w:rPr>
        <w:t>regarding</w:t>
      </w:r>
      <w:r w:rsidR="000417C7">
        <w:rPr>
          <w:rFonts w:cs="Arial"/>
          <w:color w:val="000000"/>
          <w:sz w:val="20"/>
          <w:szCs w:val="24"/>
        </w:rPr>
        <w:t xml:space="preserve"> meningitis</w:t>
      </w:r>
      <w:r>
        <w:rPr>
          <w:rFonts w:cs="Arial"/>
          <w:color w:val="000000"/>
          <w:sz w:val="20"/>
          <w:szCs w:val="24"/>
        </w:rPr>
        <w:t xml:space="preserve"> is skipping recommended </w:t>
      </w:r>
      <w:r w:rsidR="004571D3">
        <w:rPr>
          <w:rFonts w:cs="Arial"/>
          <w:color w:val="000000"/>
          <w:sz w:val="20"/>
          <w:szCs w:val="24"/>
        </w:rPr>
        <w:t>immunizations</w:t>
      </w:r>
      <w:r>
        <w:rPr>
          <w:rFonts w:cs="Arial"/>
          <w:color w:val="000000"/>
          <w:sz w:val="20"/>
          <w:szCs w:val="24"/>
        </w:rPr>
        <w:t>. The CDC states, “The most effective way to protect you and your child against certain types of bacterial meningitis is to complete the recommended vaccine schedule.”</w:t>
      </w:r>
      <w:r w:rsidR="007118C0">
        <w:rPr>
          <w:rFonts w:cs="Arial"/>
          <w:color w:val="000000"/>
          <w:sz w:val="20"/>
          <w:szCs w:val="24"/>
        </w:rPr>
        <w:t xml:space="preserve"> Meningococcal vaccination is required to attend many colleges. Thirty-six states and the District of Columbia have mandates requiring education of college students about meningococcal vaccines or proof of meningococcal vaccination for attendance. [CDC MMWR rep]</w:t>
      </w:r>
    </w:p>
    <w:p w14:paraId="7998BD7F" w14:textId="77777777" w:rsidR="000D57F5" w:rsidRDefault="000D57F5" w:rsidP="008C5E26">
      <w:pPr>
        <w:pStyle w:val="BodyText"/>
        <w:rPr>
          <w:rFonts w:cs="Arial"/>
          <w:color w:val="000000"/>
          <w:sz w:val="20"/>
          <w:szCs w:val="24"/>
        </w:rPr>
      </w:pPr>
    </w:p>
    <w:p w14:paraId="73AAA439" w14:textId="77777777" w:rsidR="00327CD8" w:rsidRDefault="00327CD8" w:rsidP="008C5E26">
      <w:pPr>
        <w:pStyle w:val="BodyText"/>
        <w:rPr>
          <w:rFonts w:cs="Arial"/>
          <w:color w:val="000000"/>
          <w:sz w:val="20"/>
          <w:szCs w:val="24"/>
        </w:rPr>
      </w:pPr>
      <w:r>
        <w:rPr>
          <w:rFonts w:cs="Arial"/>
          <w:color w:val="000000"/>
          <w:sz w:val="20"/>
          <w:szCs w:val="24"/>
        </w:rPr>
        <w:t xml:space="preserve">Vaccines can lower the risk of contracting or spreading meningococcal disease, </w:t>
      </w:r>
      <w:r w:rsidR="004571D3">
        <w:rPr>
          <w:rFonts w:cs="Arial"/>
          <w:color w:val="000000"/>
          <w:sz w:val="20"/>
          <w:szCs w:val="24"/>
        </w:rPr>
        <w:t>as well as</w:t>
      </w:r>
      <w:r>
        <w:rPr>
          <w:rFonts w:cs="Arial"/>
          <w:color w:val="000000"/>
          <w:sz w:val="20"/>
          <w:szCs w:val="24"/>
        </w:rPr>
        <w:t xml:space="preserve"> reduce the chance of dying or having severe after-effects, such as deafness, mental retardation, nervous system disorders and seizures or strokes. [</w:t>
      </w:r>
      <w:r w:rsidRPr="00327CD8">
        <w:rPr>
          <w:rFonts w:cs="Arial"/>
          <w:i/>
          <w:color w:val="000000"/>
          <w:sz w:val="20"/>
          <w:szCs w:val="24"/>
        </w:rPr>
        <w:t>Meningitis Center Ref</w:t>
      </w:r>
      <w:r>
        <w:rPr>
          <w:rFonts w:cs="Arial"/>
          <w:color w:val="000000"/>
          <w:sz w:val="20"/>
          <w:szCs w:val="24"/>
        </w:rPr>
        <w:t>]</w:t>
      </w:r>
    </w:p>
    <w:p w14:paraId="746B1EE8" w14:textId="77777777" w:rsidR="00327CD8" w:rsidRDefault="00327CD8" w:rsidP="008C5E26">
      <w:pPr>
        <w:pStyle w:val="BodyText"/>
        <w:rPr>
          <w:rFonts w:cs="Arial"/>
          <w:color w:val="000000"/>
          <w:sz w:val="20"/>
          <w:szCs w:val="24"/>
        </w:rPr>
      </w:pPr>
    </w:p>
    <w:p w14:paraId="4C8DA264" w14:textId="77777777" w:rsidR="007555B5" w:rsidRDefault="007555B5" w:rsidP="008C5E26">
      <w:pPr>
        <w:pStyle w:val="BodyText"/>
        <w:rPr>
          <w:rFonts w:cs="Arial"/>
          <w:color w:val="000000"/>
          <w:sz w:val="20"/>
          <w:szCs w:val="24"/>
        </w:rPr>
      </w:pPr>
    </w:p>
    <w:sectPr w:rsidR="007555B5" w:rsidSect="006859DA">
      <w:footerReference w:type="default" r:id="rId9"/>
      <w:endnotePr>
        <w:numFmt w:val="decimal"/>
      </w:endnotePr>
      <w:pgSz w:w="12240" w:h="15840"/>
      <w:pgMar w:top="900" w:right="1296" w:bottom="5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EE63E" w14:textId="77777777" w:rsidR="005872FE" w:rsidRDefault="005872FE">
      <w:r>
        <w:separator/>
      </w:r>
    </w:p>
  </w:endnote>
  <w:endnote w:type="continuationSeparator" w:id="0">
    <w:p w14:paraId="7B82B60F" w14:textId="77777777" w:rsidR="005872FE" w:rsidRDefault="0058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Light">
    <w:altName w:val="Myriad Pro Semibold It"/>
    <w:panose1 w:val="00000000000000000000"/>
    <w:charset w:val="4D"/>
    <w:family w:val="swiss"/>
    <w:notTrueType/>
    <w:pitch w:val="default"/>
    <w:sig w:usb0="00000003" w:usb1="00000000" w:usb2="00000000" w:usb3="00000000" w:csb0="00000001" w:csb1="00000000"/>
  </w:font>
  <w:font w:name="Myriad Pro">
    <w:charset w:val="00"/>
    <w:family w:val="auto"/>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B974D" w14:textId="1D87BFAE" w:rsidR="002124A3" w:rsidRPr="00D34162" w:rsidRDefault="002124A3" w:rsidP="00D34162">
    <w:pPr>
      <w:pStyle w:val="Footer"/>
    </w:pPr>
    <w:r>
      <w:fldChar w:fldCharType="begin"/>
    </w:r>
    <w:r>
      <w:instrText xml:space="preserve"> DATE \@ "M/d/yyyy" </w:instrText>
    </w:r>
    <w:r>
      <w:fldChar w:fldCharType="separate"/>
    </w:r>
    <w:r w:rsidR="009428C2">
      <w:rPr>
        <w:noProof/>
      </w:rPr>
      <w:t>11/26/2016</w:t>
    </w:r>
    <w:r>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sidR="009428C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80C84" w14:textId="77777777" w:rsidR="005872FE" w:rsidRDefault="005872FE">
      <w:r>
        <w:separator/>
      </w:r>
    </w:p>
  </w:footnote>
  <w:footnote w:type="continuationSeparator" w:id="0">
    <w:p w14:paraId="0A563C26" w14:textId="77777777" w:rsidR="005872FE" w:rsidRDefault="0058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EF4EFB"/>
    <w:multiLevelType w:val="hybridMultilevel"/>
    <w:tmpl w:val="122F99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1D72DC"/>
    <w:multiLevelType w:val="hybridMultilevel"/>
    <w:tmpl w:val="FB941256"/>
    <w:lvl w:ilvl="0" w:tplc="290C31F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E61A23"/>
    <w:multiLevelType w:val="hybridMultilevel"/>
    <w:tmpl w:val="BAA2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554F3"/>
    <w:multiLevelType w:val="hybridMultilevel"/>
    <w:tmpl w:val="8A1A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F416C"/>
    <w:multiLevelType w:val="hybridMultilevel"/>
    <w:tmpl w:val="702E1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292953"/>
    <w:multiLevelType w:val="hybridMultilevel"/>
    <w:tmpl w:val="2B2C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44B9C"/>
    <w:multiLevelType w:val="hybridMultilevel"/>
    <w:tmpl w:val="C3B4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801777"/>
    <w:multiLevelType w:val="hybridMultilevel"/>
    <w:tmpl w:val="9676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0322D3"/>
    <w:multiLevelType w:val="hybridMultilevel"/>
    <w:tmpl w:val="276E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60D5C"/>
    <w:multiLevelType w:val="hybridMultilevel"/>
    <w:tmpl w:val="7974EA1E"/>
    <w:lvl w:ilvl="0" w:tplc="3ED4D40C">
      <w:start w:val="1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63D24"/>
    <w:multiLevelType w:val="hybridMultilevel"/>
    <w:tmpl w:val="75A0D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DE03D8"/>
    <w:multiLevelType w:val="hybridMultilevel"/>
    <w:tmpl w:val="9F46D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A1630"/>
    <w:multiLevelType w:val="hybridMultilevel"/>
    <w:tmpl w:val="91CE1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5"/>
  </w:num>
  <w:num w:numId="4">
    <w:abstractNumId w:val="7"/>
  </w:num>
  <w:num w:numId="5">
    <w:abstractNumId w:val="3"/>
  </w:num>
  <w:num w:numId="6">
    <w:abstractNumId w:val="6"/>
  </w:num>
  <w:num w:numId="7">
    <w:abstractNumId w:val="8"/>
  </w:num>
  <w:num w:numId="8">
    <w:abstractNumId w:val="10"/>
  </w:num>
  <w:num w:numId="9">
    <w:abstractNumId w:val="4"/>
  </w:num>
  <w:num w:numId="10">
    <w:abstractNumId w:val="1"/>
  </w:num>
  <w:num w:numId="11">
    <w:abstractNumId w:val="11"/>
  </w:num>
  <w:num w:numId="12">
    <w:abstractNumId w:val="0"/>
  </w:num>
  <w:num w:numId="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0" w:nlCheck="1" w:checkStyle="0"/>
  <w:activeWritingStyle w:appName="MSWord" w:lang="fr-FR" w:vendorID="64" w:dllVersion="0" w:nlCheck="1" w:checkStyle="1"/>
  <w:activeWritingStyle w:appName="MSWord" w:lang="en-GB"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8A"/>
    <w:rsid w:val="00017C08"/>
    <w:rsid w:val="000203E8"/>
    <w:rsid w:val="000217A0"/>
    <w:rsid w:val="00021E5E"/>
    <w:rsid w:val="00030C33"/>
    <w:rsid w:val="000417C7"/>
    <w:rsid w:val="00043B67"/>
    <w:rsid w:val="000466D7"/>
    <w:rsid w:val="00051F10"/>
    <w:rsid w:val="00067939"/>
    <w:rsid w:val="000859D5"/>
    <w:rsid w:val="000B00ED"/>
    <w:rsid w:val="000C21D4"/>
    <w:rsid w:val="000C6D9E"/>
    <w:rsid w:val="000D011F"/>
    <w:rsid w:val="000D57F5"/>
    <w:rsid w:val="00101D94"/>
    <w:rsid w:val="0010720A"/>
    <w:rsid w:val="00112FBB"/>
    <w:rsid w:val="0011606F"/>
    <w:rsid w:val="00120FAC"/>
    <w:rsid w:val="00122671"/>
    <w:rsid w:val="001312A8"/>
    <w:rsid w:val="00155910"/>
    <w:rsid w:val="00172BB9"/>
    <w:rsid w:val="00175383"/>
    <w:rsid w:val="0017608F"/>
    <w:rsid w:val="0019099E"/>
    <w:rsid w:val="00197990"/>
    <w:rsid w:val="001A0269"/>
    <w:rsid w:val="001A3864"/>
    <w:rsid w:val="001A44A8"/>
    <w:rsid w:val="001A55BD"/>
    <w:rsid w:val="001B31CA"/>
    <w:rsid w:val="001C6F02"/>
    <w:rsid w:val="001E5EE4"/>
    <w:rsid w:val="001F392F"/>
    <w:rsid w:val="0020038A"/>
    <w:rsid w:val="002016B4"/>
    <w:rsid w:val="00202D06"/>
    <w:rsid w:val="002124A3"/>
    <w:rsid w:val="00216320"/>
    <w:rsid w:val="002165F4"/>
    <w:rsid w:val="00221ABA"/>
    <w:rsid w:val="00224D38"/>
    <w:rsid w:val="00226161"/>
    <w:rsid w:val="002316DF"/>
    <w:rsid w:val="00232365"/>
    <w:rsid w:val="00235BA5"/>
    <w:rsid w:val="002417A9"/>
    <w:rsid w:val="00251A87"/>
    <w:rsid w:val="002522FE"/>
    <w:rsid w:val="00263813"/>
    <w:rsid w:val="0028725E"/>
    <w:rsid w:val="00287CCE"/>
    <w:rsid w:val="002936DA"/>
    <w:rsid w:val="002A41A0"/>
    <w:rsid w:val="002A751A"/>
    <w:rsid w:val="002C3856"/>
    <w:rsid w:val="002C78C9"/>
    <w:rsid w:val="002D1049"/>
    <w:rsid w:val="002D3246"/>
    <w:rsid w:val="002E0313"/>
    <w:rsid w:val="002E10C8"/>
    <w:rsid w:val="002E5838"/>
    <w:rsid w:val="002E6806"/>
    <w:rsid w:val="002F414B"/>
    <w:rsid w:val="00307539"/>
    <w:rsid w:val="003211C7"/>
    <w:rsid w:val="00323561"/>
    <w:rsid w:val="00324A4B"/>
    <w:rsid w:val="00327CD8"/>
    <w:rsid w:val="0033089D"/>
    <w:rsid w:val="00334127"/>
    <w:rsid w:val="0035210C"/>
    <w:rsid w:val="003966D0"/>
    <w:rsid w:val="003B0D75"/>
    <w:rsid w:val="003B1973"/>
    <w:rsid w:val="003B7E80"/>
    <w:rsid w:val="003D5AB0"/>
    <w:rsid w:val="003E35A1"/>
    <w:rsid w:val="003E54D7"/>
    <w:rsid w:val="0040028A"/>
    <w:rsid w:val="00400EA7"/>
    <w:rsid w:val="0040106C"/>
    <w:rsid w:val="00403592"/>
    <w:rsid w:val="00425328"/>
    <w:rsid w:val="00426AE5"/>
    <w:rsid w:val="00431F7D"/>
    <w:rsid w:val="004571D3"/>
    <w:rsid w:val="004A4650"/>
    <w:rsid w:val="004B35C7"/>
    <w:rsid w:val="004C148B"/>
    <w:rsid w:val="004C247C"/>
    <w:rsid w:val="004C2B5C"/>
    <w:rsid w:val="004C2D1A"/>
    <w:rsid w:val="004D4DFF"/>
    <w:rsid w:val="004E1C93"/>
    <w:rsid w:val="00521F10"/>
    <w:rsid w:val="00522701"/>
    <w:rsid w:val="00533503"/>
    <w:rsid w:val="005404A7"/>
    <w:rsid w:val="005416B0"/>
    <w:rsid w:val="00547DC2"/>
    <w:rsid w:val="005662F8"/>
    <w:rsid w:val="0057324C"/>
    <w:rsid w:val="005872FE"/>
    <w:rsid w:val="00591B06"/>
    <w:rsid w:val="00592F6C"/>
    <w:rsid w:val="005D044C"/>
    <w:rsid w:val="005D57B9"/>
    <w:rsid w:val="005F45BA"/>
    <w:rsid w:val="00625177"/>
    <w:rsid w:val="006447E1"/>
    <w:rsid w:val="0064619F"/>
    <w:rsid w:val="00653A66"/>
    <w:rsid w:val="00655F79"/>
    <w:rsid w:val="00682DB2"/>
    <w:rsid w:val="006859DA"/>
    <w:rsid w:val="0069364B"/>
    <w:rsid w:val="006965A5"/>
    <w:rsid w:val="006B0855"/>
    <w:rsid w:val="006D67AF"/>
    <w:rsid w:val="006E5998"/>
    <w:rsid w:val="006E7B9F"/>
    <w:rsid w:val="006F7907"/>
    <w:rsid w:val="007118C0"/>
    <w:rsid w:val="007255E4"/>
    <w:rsid w:val="00733671"/>
    <w:rsid w:val="0073502B"/>
    <w:rsid w:val="007555B5"/>
    <w:rsid w:val="0077514F"/>
    <w:rsid w:val="00777CA0"/>
    <w:rsid w:val="007A6967"/>
    <w:rsid w:val="007C3161"/>
    <w:rsid w:val="007E086B"/>
    <w:rsid w:val="007E708D"/>
    <w:rsid w:val="00800075"/>
    <w:rsid w:val="00805B66"/>
    <w:rsid w:val="00806693"/>
    <w:rsid w:val="00814914"/>
    <w:rsid w:val="00817DFE"/>
    <w:rsid w:val="00821C3C"/>
    <w:rsid w:val="0083591A"/>
    <w:rsid w:val="00835DB4"/>
    <w:rsid w:val="0083747B"/>
    <w:rsid w:val="00844C28"/>
    <w:rsid w:val="00862417"/>
    <w:rsid w:val="00882790"/>
    <w:rsid w:val="008973F6"/>
    <w:rsid w:val="008B7BB0"/>
    <w:rsid w:val="008C5E26"/>
    <w:rsid w:val="008D2A3B"/>
    <w:rsid w:val="008D2E7C"/>
    <w:rsid w:val="008E33C7"/>
    <w:rsid w:val="008E7967"/>
    <w:rsid w:val="008F7D24"/>
    <w:rsid w:val="009428C2"/>
    <w:rsid w:val="00952A64"/>
    <w:rsid w:val="00956CBF"/>
    <w:rsid w:val="00963F7A"/>
    <w:rsid w:val="00981880"/>
    <w:rsid w:val="00983922"/>
    <w:rsid w:val="009D6B4B"/>
    <w:rsid w:val="009F4861"/>
    <w:rsid w:val="00A07101"/>
    <w:rsid w:val="00A130A9"/>
    <w:rsid w:val="00A14811"/>
    <w:rsid w:val="00A173E6"/>
    <w:rsid w:val="00A24A7B"/>
    <w:rsid w:val="00A31BBA"/>
    <w:rsid w:val="00A337D6"/>
    <w:rsid w:val="00A3451F"/>
    <w:rsid w:val="00A54027"/>
    <w:rsid w:val="00A7133D"/>
    <w:rsid w:val="00A7656C"/>
    <w:rsid w:val="00A91926"/>
    <w:rsid w:val="00A95F2C"/>
    <w:rsid w:val="00AA2B0C"/>
    <w:rsid w:val="00AB15C8"/>
    <w:rsid w:val="00AB6576"/>
    <w:rsid w:val="00AC174F"/>
    <w:rsid w:val="00AE41BA"/>
    <w:rsid w:val="00AF7C73"/>
    <w:rsid w:val="00B00349"/>
    <w:rsid w:val="00B05173"/>
    <w:rsid w:val="00B07022"/>
    <w:rsid w:val="00B14427"/>
    <w:rsid w:val="00B2077E"/>
    <w:rsid w:val="00B304DD"/>
    <w:rsid w:val="00B4618D"/>
    <w:rsid w:val="00B47170"/>
    <w:rsid w:val="00B51138"/>
    <w:rsid w:val="00B607C8"/>
    <w:rsid w:val="00B75A41"/>
    <w:rsid w:val="00B83875"/>
    <w:rsid w:val="00B86D63"/>
    <w:rsid w:val="00B93B50"/>
    <w:rsid w:val="00B9651A"/>
    <w:rsid w:val="00B975DB"/>
    <w:rsid w:val="00BA1F4B"/>
    <w:rsid w:val="00BB26C9"/>
    <w:rsid w:val="00BB370B"/>
    <w:rsid w:val="00BB5C66"/>
    <w:rsid w:val="00BB70AD"/>
    <w:rsid w:val="00BB7896"/>
    <w:rsid w:val="00BD01E7"/>
    <w:rsid w:val="00BD42CA"/>
    <w:rsid w:val="00C01E50"/>
    <w:rsid w:val="00C06582"/>
    <w:rsid w:val="00C11C9B"/>
    <w:rsid w:val="00C325AA"/>
    <w:rsid w:val="00C522E5"/>
    <w:rsid w:val="00C656F0"/>
    <w:rsid w:val="00C82618"/>
    <w:rsid w:val="00C86757"/>
    <w:rsid w:val="00C93925"/>
    <w:rsid w:val="00C93A73"/>
    <w:rsid w:val="00CD13D3"/>
    <w:rsid w:val="00D118B4"/>
    <w:rsid w:val="00D34162"/>
    <w:rsid w:val="00D369E3"/>
    <w:rsid w:val="00D41CD1"/>
    <w:rsid w:val="00D4315A"/>
    <w:rsid w:val="00D44319"/>
    <w:rsid w:val="00D44E39"/>
    <w:rsid w:val="00D469A0"/>
    <w:rsid w:val="00D646AE"/>
    <w:rsid w:val="00D86751"/>
    <w:rsid w:val="00DA1EFC"/>
    <w:rsid w:val="00DA233F"/>
    <w:rsid w:val="00DB58D1"/>
    <w:rsid w:val="00DE0C19"/>
    <w:rsid w:val="00DE0C4B"/>
    <w:rsid w:val="00DE5E52"/>
    <w:rsid w:val="00DF3C0A"/>
    <w:rsid w:val="00DF750D"/>
    <w:rsid w:val="00E01323"/>
    <w:rsid w:val="00E115DF"/>
    <w:rsid w:val="00E1341F"/>
    <w:rsid w:val="00E329D1"/>
    <w:rsid w:val="00E62EB7"/>
    <w:rsid w:val="00E63EEC"/>
    <w:rsid w:val="00E65332"/>
    <w:rsid w:val="00E85CB4"/>
    <w:rsid w:val="00EA4C99"/>
    <w:rsid w:val="00EA72B3"/>
    <w:rsid w:val="00EB744A"/>
    <w:rsid w:val="00ED1181"/>
    <w:rsid w:val="00ED3F77"/>
    <w:rsid w:val="00EE0D8F"/>
    <w:rsid w:val="00F02B3E"/>
    <w:rsid w:val="00F14569"/>
    <w:rsid w:val="00F20209"/>
    <w:rsid w:val="00F366C4"/>
    <w:rsid w:val="00F42E6E"/>
    <w:rsid w:val="00F432EB"/>
    <w:rsid w:val="00F46148"/>
    <w:rsid w:val="00F54250"/>
    <w:rsid w:val="00F666DF"/>
    <w:rsid w:val="00F72AB2"/>
    <w:rsid w:val="00F77F1E"/>
    <w:rsid w:val="00FA249D"/>
    <w:rsid w:val="00FA34F2"/>
    <w:rsid w:val="00FA3EC6"/>
    <w:rsid w:val="00FC422E"/>
    <w:rsid w:val="00FE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9AE0C"/>
  <w15:docId w15:val="{72705F56-BD2E-4D23-B408-858D9785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B0855"/>
    <w:rPr>
      <w:rFonts w:eastAsia="Times New Roman"/>
    </w:rPr>
  </w:style>
  <w:style w:type="paragraph" w:styleId="Heading4">
    <w:name w:val="heading 4"/>
    <w:basedOn w:val="Normal"/>
    <w:next w:val="Normal"/>
    <w:qFormat/>
    <w:rsid w:val="006B0855"/>
    <w:pPr>
      <w:keepNext/>
      <w:jc w:val="center"/>
      <w:outlineLvl w:val="3"/>
    </w:pPr>
    <w:rPr>
      <w:rFonts w:ascii="Tahoma" w:hAnsi="Tahom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B0855"/>
    <w:rPr>
      <w:rFonts w:ascii="Arial" w:hAnsi="Arial"/>
      <w:sz w:val="24"/>
    </w:rPr>
  </w:style>
  <w:style w:type="paragraph" w:styleId="Footer">
    <w:name w:val="footer"/>
    <w:basedOn w:val="Normal"/>
    <w:rsid w:val="006B0855"/>
    <w:pPr>
      <w:tabs>
        <w:tab w:val="center" w:pos="4320"/>
        <w:tab w:val="right" w:pos="8640"/>
      </w:tabs>
    </w:pPr>
  </w:style>
  <w:style w:type="character" w:styleId="PageNumber">
    <w:name w:val="page number"/>
    <w:basedOn w:val="DefaultParagraphFont"/>
    <w:rsid w:val="006B0855"/>
  </w:style>
  <w:style w:type="paragraph" w:styleId="Title">
    <w:name w:val="Title"/>
    <w:basedOn w:val="Normal"/>
    <w:qFormat/>
    <w:rsid w:val="006B0855"/>
    <w:pPr>
      <w:jc w:val="center"/>
    </w:pPr>
    <w:rPr>
      <w:rFonts w:ascii="Arial" w:hAnsi="Arial"/>
      <w:b/>
      <w:sz w:val="24"/>
    </w:rPr>
  </w:style>
  <w:style w:type="paragraph" w:styleId="BodyText2">
    <w:name w:val="Body Text 2"/>
    <w:basedOn w:val="Normal"/>
    <w:rsid w:val="006B0855"/>
    <w:rPr>
      <w:rFonts w:ascii="Arial" w:hAnsi="Arial"/>
      <w:sz w:val="22"/>
    </w:rPr>
  </w:style>
  <w:style w:type="paragraph" w:styleId="Subtitle">
    <w:name w:val="Subtitle"/>
    <w:basedOn w:val="Normal"/>
    <w:qFormat/>
    <w:rsid w:val="006B0855"/>
    <w:pPr>
      <w:jc w:val="center"/>
    </w:pPr>
    <w:rPr>
      <w:rFonts w:ascii="Arial" w:hAnsi="Arial"/>
      <w:b/>
      <w:sz w:val="22"/>
    </w:rPr>
  </w:style>
  <w:style w:type="paragraph" w:styleId="BalloonText">
    <w:name w:val="Balloon Text"/>
    <w:basedOn w:val="Normal"/>
    <w:semiHidden/>
    <w:rsid w:val="006B0855"/>
    <w:rPr>
      <w:rFonts w:ascii="Tahoma" w:hAnsi="Tahoma" w:cs="Tahoma"/>
      <w:sz w:val="16"/>
      <w:szCs w:val="16"/>
    </w:rPr>
  </w:style>
  <w:style w:type="paragraph" w:styleId="Header">
    <w:name w:val="header"/>
    <w:basedOn w:val="Normal"/>
    <w:link w:val="HeaderChar"/>
    <w:rsid w:val="0020038A"/>
    <w:pPr>
      <w:tabs>
        <w:tab w:val="center" w:pos="4320"/>
        <w:tab w:val="right" w:pos="8640"/>
      </w:tabs>
    </w:pPr>
  </w:style>
  <w:style w:type="paragraph" w:styleId="DocumentMap">
    <w:name w:val="Document Map"/>
    <w:basedOn w:val="Normal"/>
    <w:link w:val="DocumentMapChar"/>
    <w:rsid w:val="00101D94"/>
    <w:rPr>
      <w:rFonts w:ascii="Tahoma" w:hAnsi="Tahoma" w:cs="Tahoma"/>
      <w:sz w:val="16"/>
      <w:szCs w:val="16"/>
    </w:rPr>
  </w:style>
  <w:style w:type="character" w:customStyle="1" w:styleId="DocumentMapChar">
    <w:name w:val="Document Map Char"/>
    <w:basedOn w:val="DefaultParagraphFont"/>
    <w:link w:val="DocumentMap"/>
    <w:rsid w:val="00101D94"/>
    <w:rPr>
      <w:rFonts w:ascii="Tahoma" w:eastAsia="Times New Roman" w:hAnsi="Tahoma" w:cs="Tahoma"/>
      <w:sz w:val="16"/>
      <w:szCs w:val="16"/>
    </w:rPr>
  </w:style>
  <w:style w:type="table" w:styleId="TableGrid">
    <w:name w:val="Table Grid"/>
    <w:basedOn w:val="TableNormal"/>
    <w:rsid w:val="00C11C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F4861"/>
    <w:pPr>
      <w:ind w:left="720"/>
      <w:contextualSpacing/>
    </w:pPr>
  </w:style>
  <w:style w:type="character" w:customStyle="1" w:styleId="HeaderChar">
    <w:name w:val="Header Char"/>
    <w:basedOn w:val="DefaultParagraphFont"/>
    <w:link w:val="Header"/>
    <w:uiPriority w:val="99"/>
    <w:rsid w:val="00733671"/>
    <w:rPr>
      <w:rFonts w:eastAsia="Times New Roman"/>
    </w:rPr>
  </w:style>
  <w:style w:type="character" w:styleId="CommentReference">
    <w:name w:val="annotation reference"/>
    <w:basedOn w:val="DefaultParagraphFont"/>
    <w:uiPriority w:val="99"/>
    <w:rsid w:val="005D57B9"/>
    <w:rPr>
      <w:sz w:val="16"/>
      <w:szCs w:val="16"/>
    </w:rPr>
  </w:style>
  <w:style w:type="paragraph" w:styleId="CommentText">
    <w:name w:val="annotation text"/>
    <w:basedOn w:val="Normal"/>
    <w:link w:val="CommentTextChar"/>
    <w:uiPriority w:val="99"/>
    <w:rsid w:val="005D57B9"/>
  </w:style>
  <w:style w:type="character" w:customStyle="1" w:styleId="CommentTextChar">
    <w:name w:val="Comment Text Char"/>
    <w:basedOn w:val="DefaultParagraphFont"/>
    <w:link w:val="CommentText"/>
    <w:uiPriority w:val="99"/>
    <w:rsid w:val="005D57B9"/>
    <w:rPr>
      <w:rFonts w:eastAsia="Times New Roman"/>
    </w:rPr>
  </w:style>
  <w:style w:type="paragraph" w:styleId="CommentSubject">
    <w:name w:val="annotation subject"/>
    <w:basedOn w:val="CommentText"/>
    <w:next w:val="CommentText"/>
    <w:link w:val="CommentSubjectChar"/>
    <w:rsid w:val="005D57B9"/>
    <w:rPr>
      <w:b/>
      <w:bCs/>
    </w:rPr>
  </w:style>
  <w:style w:type="character" w:customStyle="1" w:styleId="CommentSubjectChar">
    <w:name w:val="Comment Subject Char"/>
    <w:basedOn w:val="CommentTextChar"/>
    <w:link w:val="CommentSubject"/>
    <w:rsid w:val="005D57B9"/>
    <w:rPr>
      <w:rFonts w:eastAsia="Times New Roman"/>
      <w:b/>
      <w:bCs/>
    </w:rPr>
  </w:style>
  <w:style w:type="paragraph" w:customStyle="1" w:styleId="Default">
    <w:name w:val="Default"/>
    <w:rsid w:val="002124A3"/>
    <w:pPr>
      <w:widowControl w:val="0"/>
      <w:autoSpaceDE w:val="0"/>
      <w:autoSpaceDN w:val="0"/>
      <w:adjustRightInd w:val="0"/>
    </w:pPr>
    <w:rPr>
      <w:rFonts w:ascii="Myriad Pro Light" w:hAnsi="Myriad Pro Light" w:cs="Myriad Pro Light"/>
      <w:color w:val="000000"/>
      <w:sz w:val="24"/>
      <w:szCs w:val="24"/>
    </w:rPr>
  </w:style>
  <w:style w:type="paragraph" w:customStyle="1" w:styleId="Pa23">
    <w:name w:val="Pa23"/>
    <w:basedOn w:val="Default"/>
    <w:next w:val="Default"/>
    <w:uiPriority w:val="99"/>
    <w:rsid w:val="002124A3"/>
    <w:pPr>
      <w:spacing w:line="181" w:lineRule="atLeast"/>
    </w:pPr>
    <w:rPr>
      <w:rFonts w:cs="Times New Roman"/>
      <w:color w:val="auto"/>
    </w:rPr>
  </w:style>
  <w:style w:type="paragraph" w:customStyle="1" w:styleId="Pa19">
    <w:name w:val="Pa19"/>
    <w:basedOn w:val="Default"/>
    <w:next w:val="Default"/>
    <w:uiPriority w:val="99"/>
    <w:rsid w:val="002124A3"/>
    <w:pPr>
      <w:spacing w:line="161" w:lineRule="atLeast"/>
    </w:pPr>
    <w:rPr>
      <w:rFonts w:cs="Times New Roman"/>
      <w:color w:val="auto"/>
    </w:rPr>
  </w:style>
  <w:style w:type="paragraph" w:customStyle="1" w:styleId="Pa9">
    <w:name w:val="Pa9"/>
    <w:basedOn w:val="Default"/>
    <w:next w:val="Default"/>
    <w:uiPriority w:val="99"/>
    <w:rsid w:val="002124A3"/>
    <w:pPr>
      <w:spacing w:line="161" w:lineRule="atLeast"/>
    </w:pPr>
    <w:rPr>
      <w:rFonts w:cs="Times New Roman"/>
      <w:color w:val="auto"/>
    </w:rPr>
  </w:style>
  <w:style w:type="paragraph" w:customStyle="1" w:styleId="Pa52">
    <w:name w:val="Pa52"/>
    <w:basedOn w:val="Default"/>
    <w:next w:val="Default"/>
    <w:uiPriority w:val="99"/>
    <w:rsid w:val="002124A3"/>
    <w:pPr>
      <w:spacing w:line="161" w:lineRule="atLeast"/>
    </w:pPr>
    <w:rPr>
      <w:rFonts w:cs="Times New Roman"/>
      <w:color w:val="auto"/>
    </w:rPr>
  </w:style>
  <w:style w:type="character" w:customStyle="1" w:styleId="A14">
    <w:name w:val="A14"/>
    <w:uiPriority w:val="99"/>
    <w:rsid w:val="002124A3"/>
    <w:rPr>
      <w:rFonts w:ascii="Myriad Pro" w:hAnsi="Myriad Pro" w:cs="Myriad Pro"/>
      <w:color w:val="000000"/>
      <w:sz w:val="12"/>
      <w:szCs w:val="12"/>
    </w:rPr>
  </w:style>
  <w:style w:type="character" w:customStyle="1" w:styleId="A5">
    <w:name w:val="A5"/>
    <w:uiPriority w:val="99"/>
    <w:rsid w:val="002124A3"/>
    <w:rPr>
      <w:rFonts w:ascii="Myriad Pro" w:hAnsi="Myriad Pro" w:cs="Myriad Pro"/>
      <w:color w:val="000000"/>
      <w:sz w:val="16"/>
      <w:szCs w:val="16"/>
    </w:rPr>
  </w:style>
  <w:style w:type="paragraph" w:customStyle="1" w:styleId="Pa35">
    <w:name w:val="Pa35"/>
    <w:basedOn w:val="Default"/>
    <w:next w:val="Default"/>
    <w:uiPriority w:val="99"/>
    <w:rsid w:val="002124A3"/>
    <w:pPr>
      <w:spacing w:line="161" w:lineRule="atLeast"/>
    </w:pPr>
    <w:rPr>
      <w:rFonts w:cs="Times New Roman"/>
      <w:color w:val="auto"/>
    </w:rPr>
  </w:style>
  <w:style w:type="table" w:styleId="Table3Deffects1">
    <w:name w:val="Table 3D effects 1"/>
    <w:basedOn w:val="TableNormal"/>
    <w:rsid w:val="002124A3"/>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le3Deffects2">
    <w:name w:val="Table 3D effects 2"/>
    <w:basedOn w:val="TableNormal"/>
    <w:rsid w:val="002124A3"/>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rsid w:val="002124A3"/>
    <w:tblPr>
      <w:tblStyleRowBandSize w:val="1"/>
      <w:tblStyleCol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8499">
      <w:bodyDiv w:val="1"/>
      <w:marLeft w:val="0"/>
      <w:marRight w:val="0"/>
      <w:marTop w:val="0"/>
      <w:marBottom w:val="0"/>
      <w:divBdr>
        <w:top w:val="none" w:sz="0" w:space="0" w:color="auto"/>
        <w:left w:val="none" w:sz="0" w:space="0" w:color="auto"/>
        <w:bottom w:val="none" w:sz="0" w:space="0" w:color="auto"/>
        <w:right w:val="none" w:sz="0" w:space="0" w:color="auto"/>
      </w:divBdr>
      <w:divsChild>
        <w:div w:id="1560165384">
          <w:marLeft w:val="907"/>
          <w:marRight w:val="0"/>
          <w:marTop w:val="77"/>
          <w:marBottom w:val="0"/>
          <w:divBdr>
            <w:top w:val="none" w:sz="0" w:space="0" w:color="auto"/>
            <w:left w:val="none" w:sz="0" w:space="0" w:color="auto"/>
            <w:bottom w:val="none" w:sz="0" w:space="0" w:color="auto"/>
            <w:right w:val="none" w:sz="0" w:space="0" w:color="auto"/>
          </w:divBdr>
        </w:div>
        <w:div w:id="376898814">
          <w:marLeft w:val="907"/>
          <w:marRight w:val="0"/>
          <w:marTop w:val="77"/>
          <w:marBottom w:val="0"/>
          <w:divBdr>
            <w:top w:val="none" w:sz="0" w:space="0" w:color="auto"/>
            <w:left w:val="none" w:sz="0" w:space="0" w:color="auto"/>
            <w:bottom w:val="none" w:sz="0" w:space="0" w:color="auto"/>
            <w:right w:val="none" w:sz="0" w:space="0" w:color="auto"/>
          </w:divBdr>
        </w:div>
      </w:divsChild>
    </w:div>
    <w:div w:id="788357720">
      <w:bodyDiv w:val="1"/>
      <w:marLeft w:val="0"/>
      <w:marRight w:val="0"/>
      <w:marTop w:val="0"/>
      <w:marBottom w:val="0"/>
      <w:divBdr>
        <w:top w:val="none" w:sz="0" w:space="0" w:color="auto"/>
        <w:left w:val="none" w:sz="0" w:space="0" w:color="auto"/>
        <w:bottom w:val="none" w:sz="0" w:space="0" w:color="auto"/>
        <w:right w:val="none" w:sz="0" w:space="0" w:color="auto"/>
      </w:divBdr>
      <w:divsChild>
        <w:div w:id="1153178282">
          <w:marLeft w:val="360"/>
          <w:marRight w:val="0"/>
          <w:marTop w:val="36"/>
          <w:marBottom w:val="0"/>
          <w:divBdr>
            <w:top w:val="none" w:sz="0" w:space="0" w:color="auto"/>
            <w:left w:val="none" w:sz="0" w:space="0" w:color="auto"/>
            <w:bottom w:val="none" w:sz="0" w:space="0" w:color="auto"/>
            <w:right w:val="none" w:sz="0" w:space="0" w:color="auto"/>
          </w:divBdr>
        </w:div>
        <w:div w:id="1891959420">
          <w:marLeft w:val="360"/>
          <w:marRight w:val="0"/>
          <w:marTop w:val="108"/>
          <w:marBottom w:val="0"/>
          <w:divBdr>
            <w:top w:val="none" w:sz="0" w:space="0" w:color="auto"/>
            <w:left w:val="none" w:sz="0" w:space="0" w:color="auto"/>
            <w:bottom w:val="none" w:sz="0" w:space="0" w:color="auto"/>
            <w:right w:val="none" w:sz="0" w:space="0" w:color="auto"/>
          </w:divBdr>
        </w:div>
        <w:div w:id="1174996473">
          <w:marLeft w:val="360"/>
          <w:marRight w:val="0"/>
          <w:marTop w:val="108"/>
          <w:marBottom w:val="0"/>
          <w:divBdr>
            <w:top w:val="none" w:sz="0" w:space="0" w:color="auto"/>
            <w:left w:val="none" w:sz="0" w:space="0" w:color="auto"/>
            <w:bottom w:val="none" w:sz="0" w:space="0" w:color="auto"/>
            <w:right w:val="none" w:sz="0" w:space="0" w:color="auto"/>
          </w:divBdr>
        </w:div>
      </w:divsChild>
    </w:div>
    <w:div w:id="813909825">
      <w:bodyDiv w:val="1"/>
      <w:marLeft w:val="0"/>
      <w:marRight w:val="0"/>
      <w:marTop w:val="0"/>
      <w:marBottom w:val="0"/>
      <w:divBdr>
        <w:top w:val="none" w:sz="0" w:space="0" w:color="auto"/>
        <w:left w:val="none" w:sz="0" w:space="0" w:color="auto"/>
        <w:bottom w:val="none" w:sz="0" w:space="0" w:color="auto"/>
        <w:right w:val="none" w:sz="0" w:space="0" w:color="auto"/>
      </w:divBdr>
      <w:divsChild>
        <w:div w:id="1616517944">
          <w:marLeft w:val="173"/>
          <w:marRight w:val="0"/>
          <w:marTop w:val="132"/>
          <w:marBottom w:val="0"/>
          <w:divBdr>
            <w:top w:val="none" w:sz="0" w:space="0" w:color="auto"/>
            <w:left w:val="none" w:sz="0" w:space="0" w:color="auto"/>
            <w:bottom w:val="none" w:sz="0" w:space="0" w:color="auto"/>
            <w:right w:val="none" w:sz="0" w:space="0" w:color="auto"/>
          </w:divBdr>
        </w:div>
      </w:divsChild>
    </w:div>
    <w:div w:id="1715622349">
      <w:bodyDiv w:val="1"/>
      <w:marLeft w:val="0"/>
      <w:marRight w:val="0"/>
      <w:marTop w:val="0"/>
      <w:marBottom w:val="0"/>
      <w:divBdr>
        <w:top w:val="none" w:sz="0" w:space="0" w:color="auto"/>
        <w:left w:val="none" w:sz="0" w:space="0" w:color="auto"/>
        <w:bottom w:val="none" w:sz="0" w:space="0" w:color="auto"/>
        <w:right w:val="none" w:sz="0" w:space="0" w:color="auto"/>
      </w:divBdr>
      <w:divsChild>
        <w:div w:id="1792163701">
          <w:marLeft w:val="360"/>
          <w:marRight w:val="0"/>
          <w:marTop w:val="36"/>
          <w:marBottom w:val="0"/>
          <w:divBdr>
            <w:top w:val="none" w:sz="0" w:space="0" w:color="auto"/>
            <w:left w:val="none" w:sz="0" w:space="0" w:color="auto"/>
            <w:bottom w:val="none" w:sz="0" w:space="0" w:color="auto"/>
            <w:right w:val="none" w:sz="0" w:space="0" w:color="auto"/>
          </w:divBdr>
        </w:div>
        <w:div w:id="90636594">
          <w:marLeft w:val="360"/>
          <w:marRight w:val="0"/>
          <w:marTop w:val="108"/>
          <w:marBottom w:val="0"/>
          <w:divBdr>
            <w:top w:val="none" w:sz="0" w:space="0" w:color="auto"/>
            <w:left w:val="none" w:sz="0" w:space="0" w:color="auto"/>
            <w:bottom w:val="none" w:sz="0" w:space="0" w:color="auto"/>
            <w:right w:val="none" w:sz="0" w:space="0" w:color="auto"/>
          </w:divBdr>
        </w:div>
      </w:divsChild>
    </w:div>
    <w:div w:id="1728993559">
      <w:bodyDiv w:val="1"/>
      <w:marLeft w:val="0"/>
      <w:marRight w:val="0"/>
      <w:marTop w:val="0"/>
      <w:marBottom w:val="0"/>
      <w:divBdr>
        <w:top w:val="none" w:sz="0" w:space="0" w:color="auto"/>
        <w:left w:val="none" w:sz="0" w:space="0" w:color="auto"/>
        <w:bottom w:val="none" w:sz="0" w:space="0" w:color="auto"/>
        <w:right w:val="none" w:sz="0" w:space="0" w:color="auto"/>
      </w:divBdr>
    </w:div>
    <w:div w:id="1732579139">
      <w:bodyDiv w:val="1"/>
      <w:marLeft w:val="0"/>
      <w:marRight w:val="0"/>
      <w:marTop w:val="0"/>
      <w:marBottom w:val="0"/>
      <w:divBdr>
        <w:top w:val="none" w:sz="0" w:space="0" w:color="auto"/>
        <w:left w:val="none" w:sz="0" w:space="0" w:color="auto"/>
        <w:bottom w:val="none" w:sz="0" w:space="0" w:color="auto"/>
        <w:right w:val="none" w:sz="0" w:space="0" w:color="auto"/>
      </w:divBdr>
      <w:divsChild>
        <w:div w:id="1346707562">
          <w:marLeft w:val="0"/>
          <w:marRight w:val="0"/>
          <w:marTop w:val="0"/>
          <w:marBottom w:val="0"/>
          <w:divBdr>
            <w:top w:val="none" w:sz="0" w:space="0" w:color="auto"/>
            <w:left w:val="none" w:sz="0" w:space="0" w:color="auto"/>
            <w:bottom w:val="none" w:sz="0" w:space="0" w:color="auto"/>
            <w:right w:val="none" w:sz="0" w:space="0" w:color="auto"/>
          </w:divBdr>
        </w:div>
        <w:div w:id="491606448">
          <w:marLeft w:val="0"/>
          <w:marRight w:val="0"/>
          <w:marTop w:val="0"/>
          <w:marBottom w:val="0"/>
          <w:divBdr>
            <w:top w:val="none" w:sz="0" w:space="0" w:color="auto"/>
            <w:left w:val="none" w:sz="0" w:space="0" w:color="auto"/>
            <w:bottom w:val="none" w:sz="0" w:space="0" w:color="auto"/>
            <w:right w:val="none" w:sz="0" w:space="0" w:color="auto"/>
          </w:divBdr>
        </w:div>
        <w:div w:id="1856505106">
          <w:marLeft w:val="0"/>
          <w:marRight w:val="0"/>
          <w:marTop w:val="0"/>
          <w:marBottom w:val="0"/>
          <w:divBdr>
            <w:top w:val="none" w:sz="0" w:space="0" w:color="auto"/>
            <w:left w:val="none" w:sz="0" w:space="0" w:color="auto"/>
            <w:bottom w:val="none" w:sz="0" w:space="0" w:color="auto"/>
            <w:right w:val="none" w:sz="0" w:space="0" w:color="auto"/>
          </w:divBdr>
        </w:div>
        <w:div w:id="2110463455">
          <w:marLeft w:val="0"/>
          <w:marRight w:val="0"/>
          <w:marTop w:val="0"/>
          <w:marBottom w:val="0"/>
          <w:divBdr>
            <w:top w:val="none" w:sz="0" w:space="0" w:color="auto"/>
            <w:left w:val="none" w:sz="0" w:space="0" w:color="auto"/>
            <w:bottom w:val="none" w:sz="0" w:space="0" w:color="auto"/>
            <w:right w:val="none" w:sz="0" w:space="0" w:color="auto"/>
          </w:divBdr>
        </w:div>
        <w:div w:id="2076199181">
          <w:marLeft w:val="0"/>
          <w:marRight w:val="0"/>
          <w:marTop w:val="0"/>
          <w:marBottom w:val="0"/>
          <w:divBdr>
            <w:top w:val="none" w:sz="0" w:space="0" w:color="auto"/>
            <w:left w:val="none" w:sz="0" w:space="0" w:color="auto"/>
            <w:bottom w:val="none" w:sz="0" w:space="0" w:color="auto"/>
            <w:right w:val="none" w:sz="0" w:space="0" w:color="auto"/>
          </w:divBdr>
        </w:div>
        <w:div w:id="545333386">
          <w:marLeft w:val="0"/>
          <w:marRight w:val="0"/>
          <w:marTop w:val="0"/>
          <w:marBottom w:val="0"/>
          <w:divBdr>
            <w:top w:val="none" w:sz="0" w:space="0" w:color="auto"/>
            <w:left w:val="none" w:sz="0" w:space="0" w:color="auto"/>
            <w:bottom w:val="none" w:sz="0" w:space="0" w:color="auto"/>
            <w:right w:val="none" w:sz="0" w:space="0" w:color="auto"/>
          </w:divBdr>
        </w:div>
        <w:div w:id="1437360241">
          <w:marLeft w:val="0"/>
          <w:marRight w:val="0"/>
          <w:marTop w:val="0"/>
          <w:marBottom w:val="0"/>
          <w:divBdr>
            <w:top w:val="none" w:sz="0" w:space="0" w:color="auto"/>
            <w:left w:val="none" w:sz="0" w:space="0" w:color="auto"/>
            <w:bottom w:val="none" w:sz="0" w:space="0" w:color="auto"/>
            <w:right w:val="none" w:sz="0" w:space="0" w:color="auto"/>
          </w:divBdr>
        </w:div>
        <w:div w:id="894776453">
          <w:marLeft w:val="0"/>
          <w:marRight w:val="0"/>
          <w:marTop w:val="0"/>
          <w:marBottom w:val="0"/>
          <w:divBdr>
            <w:top w:val="none" w:sz="0" w:space="0" w:color="auto"/>
            <w:left w:val="none" w:sz="0" w:space="0" w:color="auto"/>
            <w:bottom w:val="none" w:sz="0" w:space="0" w:color="auto"/>
            <w:right w:val="none" w:sz="0" w:space="0" w:color="auto"/>
          </w:divBdr>
          <w:divsChild>
            <w:div w:id="1692491885">
              <w:marLeft w:val="0"/>
              <w:marRight w:val="0"/>
              <w:marTop w:val="0"/>
              <w:marBottom w:val="0"/>
              <w:divBdr>
                <w:top w:val="none" w:sz="0" w:space="0" w:color="auto"/>
                <w:left w:val="none" w:sz="0" w:space="0" w:color="auto"/>
                <w:bottom w:val="none" w:sz="0" w:space="0" w:color="auto"/>
                <w:right w:val="none" w:sz="0" w:space="0" w:color="auto"/>
              </w:divBdr>
            </w:div>
            <w:div w:id="17876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5773">
      <w:bodyDiv w:val="1"/>
      <w:marLeft w:val="0"/>
      <w:marRight w:val="0"/>
      <w:marTop w:val="0"/>
      <w:marBottom w:val="0"/>
      <w:divBdr>
        <w:top w:val="none" w:sz="0" w:space="0" w:color="auto"/>
        <w:left w:val="none" w:sz="0" w:space="0" w:color="auto"/>
        <w:bottom w:val="none" w:sz="0" w:space="0" w:color="auto"/>
        <w:right w:val="none" w:sz="0" w:space="0" w:color="auto"/>
      </w:divBdr>
    </w:div>
    <w:div w:id="1847138114">
      <w:bodyDiv w:val="1"/>
      <w:marLeft w:val="0"/>
      <w:marRight w:val="0"/>
      <w:marTop w:val="0"/>
      <w:marBottom w:val="0"/>
      <w:divBdr>
        <w:top w:val="none" w:sz="0" w:space="0" w:color="auto"/>
        <w:left w:val="none" w:sz="0" w:space="0" w:color="auto"/>
        <w:bottom w:val="none" w:sz="0" w:space="0" w:color="auto"/>
        <w:right w:val="none" w:sz="0" w:space="0" w:color="auto"/>
      </w:divBdr>
      <w:divsChild>
        <w:div w:id="393048960">
          <w:marLeft w:val="360"/>
          <w:marRight w:val="0"/>
          <w:marTop w:val="192"/>
          <w:marBottom w:val="0"/>
          <w:divBdr>
            <w:top w:val="none" w:sz="0" w:space="0" w:color="auto"/>
            <w:left w:val="none" w:sz="0" w:space="0" w:color="auto"/>
            <w:bottom w:val="none" w:sz="0" w:space="0" w:color="auto"/>
            <w:right w:val="none" w:sz="0" w:space="0" w:color="auto"/>
          </w:divBdr>
        </w:div>
        <w:div w:id="288780465">
          <w:marLeft w:val="360"/>
          <w:marRight w:val="0"/>
          <w:marTop w:val="192"/>
          <w:marBottom w:val="0"/>
          <w:divBdr>
            <w:top w:val="none" w:sz="0" w:space="0" w:color="auto"/>
            <w:left w:val="none" w:sz="0" w:space="0" w:color="auto"/>
            <w:bottom w:val="none" w:sz="0" w:space="0" w:color="auto"/>
            <w:right w:val="none" w:sz="0" w:space="0" w:color="auto"/>
          </w:divBdr>
        </w:div>
        <w:div w:id="1544559759">
          <w:marLeft w:val="360"/>
          <w:marRight w:val="0"/>
          <w:marTop w:val="192"/>
          <w:marBottom w:val="0"/>
          <w:divBdr>
            <w:top w:val="none" w:sz="0" w:space="0" w:color="auto"/>
            <w:left w:val="none" w:sz="0" w:space="0" w:color="auto"/>
            <w:bottom w:val="none" w:sz="0" w:space="0" w:color="auto"/>
            <w:right w:val="none" w:sz="0" w:space="0" w:color="auto"/>
          </w:divBdr>
        </w:div>
        <w:div w:id="511724354">
          <w:marLeft w:val="360"/>
          <w:marRight w:val="0"/>
          <w:marTop w:val="192"/>
          <w:marBottom w:val="0"/>
          <w:divBdr>
            <w:top w:val="none" w:sz="0" w:space="0" w:color="auto"/>
            <w:left w:val="none" w:sz="0" w:space="0" w:color="auto"/>
            <w:bottom w:val="none" w:sz="0" w:space="0" w:color="auto"/>
            <w:right w:val="none" w:sz="0" w:space="0" w:color="auto"/>
          </w:divBdr>
        </w:div>
        <w:div w:id="1184976782">
          <w:marLeft w:val="360"/>
          <w:marRight w:val="0"/>
          <w:marTop w:val="192"/>
          <w:marBottom w:val="0"/>
          <w:divBdr>
            <w:top w:val="none" w:sz="0" w:space="0" w:color="auto"/>
            <w:left w:val="none" w:sz="0" w:space="0" w:color="auto"/>
            <w:bottom w:val="none" w:sz="0" w:space="0" w:color="auto"/>
            <w:right w:val="none" w:sz="0" w:space="0" w:color="auto"/>
          </w:divBdr>
        </w:div>
        <w:div w:id="450367892">
          <w:marLeft w:val="907"/>
          <w:marRight w:val="0"/>
          <w:marTop w:val="77"/>
          <w:marBottom w:val="0"/>
          <w:divBdr>
            <w:top w:val="none" w:sz="0" w:space="0" w:color="auto"/>
            <w:left w:val="none" w:sz="0" w:space="0" w:color="auto"/>
            <w:bottom w:val="none" w:sz="0" w:space="0" w:color="auto"/>
            <w:right w:val="none" w:sz="0" w:space="0" w:color="auto"/>
          </w:divBdr>
        </w:div>
        <w:div w:id="1831020477">
          <w:marLeft w:val="360"/>
          <w:marRight w:val="0"/>
          <w:marTop w:val="192"/>
          <w:marBottom w:val="0"/>
          <w:divBdr>
            <w:top w:val="none" w:sz="0" w:space="0" w:color="auto"/>
            <w:left w:val="none" w:sz="0" w:space="0" w:color="auto"/>
            <w:bottom w:val="none" w:sz="0" w:space="0" w:color="auto"/>
            <w:right w:val="none" w:sz="0" w:space="0" w:color="auto"/>
          </w:divBdr>
        </w:div>
        <w:div w:id="264114780">
          <w:marLeft w:val="36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B264-4CE8-4043-AE1F-FB02EB8E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Lyrica Creative Brief for AJMC</vt:lpstr>
    </vt:vector>
  </TitlesOfParts>
  <Company>Publicis Groupe, SA</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Lyrica Creative Brief for AJMC</dc:title>
  <dc:creator>JSante</dc:creator>
  <cp:lastModifiedBy>Linda Presto</cp:lastModifiedBy>
  <cp:revision>2</cp:revision>
  <cp:lastPrinted>2013-09-06T15:58:00Z</cp:lastPrinted>
  <dcterms:created xsi:type="dcterms:W3CDTF">2016-11-26T18:24:00Z</dcterms:created>
  <dcterms:modified xsi:type="dcterms:W3CDTF">2016-11-26T18:24:00Z</dcterms:modified>
</cp:coreProperties>
</file>