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A99" w:rsidRPr="00E03A99" w:rsidRDefault="00E03A99" w:rsidP="00E03A99">
      <w:pPr>
        <w:ind w:right="80"/>
        <w:rPr>
          <w:sz w:val="20"/>
          <w:szCs w:val="20"/>
          <w:u w:val="single"/>
          <w:lang w:val="fr-FR"/>
        </w:rPr>
      </w:pPr>
      <w:r w:rsidRPr="00E03A99">
        <w:rPr>
          <w:rFonts w:eastAsia="Times New Roman"/>
          <w:b/>
          <w:bCs/>
          <w:sz w:val="20"/>
          <w:szCs w:val="20"/>
          <w:u w:val="single"/>
          <w:lang w:val="fr-FR"/>
        </w:rPr>
        <w:t>LA DIFFÉRENCE  ENTRE  LE  GINSENG  EN  CHAMP ET  SOUS  COUVERT  FORESTIER</w:t>
      </w:r>
    </w:p>
    <w:p w:rsidR="00E03A99" w:rsidRPr="00E03A99" w:rsidRDefault="00E03A99" w:rsidP="00E03A99">
      <w:pPr>
        <w:rPr>
          <w:lang w:val="fr-FR"/>
        </w:rPr>
      </w:pPr>
    </w:p>
    <w:p w:rsidR="00E03A99" w:rsidRPr="008E648E" w:rsidRDefault="00E03A99" w:rsidP="00E03A99">
      <w:pPr>
        <w:spacing w:line="159" w:lineRule="exact"/>
        <w:rPr>
          <w:sz w:val="20"/>
          <w:szCs w:val="20"/>
          <w:lang w:val="fr-FR"/>
        </w:rPr>
      </w:pPr>
    </w:p>
    <w:p w:rsidR="00E03A99" w:rsidRDefault="00E03A99" w:rsidP="00E03A99">
      <w:pPr>
        <w:spacing w:line="239" w:lineRule="auto"/>
        <w:ind w:left="20"/>
        <w:jc w:val="both"/>
        <w:rPr>
          <w:rFonts w:eastAsia="Times New Roman"/>
          <w:sz w:val="20"/>
          <w:szCs w:val="20"/>
          <w:lang w:val="fr-FR"/>
        </w:rPr>
      </w:pPr>
      <w:r w:rsidRPr="008E648E">
        <w:rPr>
          <w:rFonts w:eastAsia="Times New Roman"/>
          <w:sz w:val="20"/>
          <w:szCs w:val="20"/>
          <w:lang w:val="fr-FR"/>
        </w:rPr>
        <w:t>La culture du ginseng en champ a débuté à la fin des années 1880 due à la pénurie de ginseng sauvage (Bai et al. 1997). Le ginseng sous couvert forestier peut rester dans le sol beaucoup plus de temps que le ginseng en champ car celui en forêt pousse dans son habitat naturel. Par contre, le ginseng en champ obtient sa dose de nutriments optimale, une humidité et un ombrage idéals résultant une croissance nettement plus rapide que le ginseng sous couvert forestier (Anderson, 2002).</w:t>
      </w:r>
    </w:p>
    <w:p w:rsidR="00E03A99" w:rsidRDefault="00E03A99" w:rsidP="00E03A99">
      <w:pPr>
        <w:spacing w:line="239" w:lineRule="auto"/>
        <w:ind w:left="20"/>
        <w:jc w:val="both"/>
        <w:rPr>
          <w:rFonts w:eastAsia="Times New Roman"/>
          <w:sz w:val="20"/>
          <w:szCs w:val="20"/>
          <w:lang w:val="fr-FR"/>
        </w:rPr>
      </w:pPr>
    </w:p>
    <w:p w:rsidR="00E03A99" w:rsidRDefault="00E03A99" w:rsidP="00E03A99">
      <w:pPr>
        <w:spacing w:line="239" w:lineRule="auto"/>
        <w:ind w:left="20"/>
        <w:jc w:val="both"/>
        <w:rPr>
          <w:rFonts w:eastAsia="Times New Roman"/>
          <w:sz w:val="20"/>
          <w:szCs w:val="20"/>
          <w:lang w:val="fr-FR"/>
        </w:rPr>
      </w:pPr>
      <w:r w:rsidRPr="008E648E">
        <w:rPr>
          <w:rFonts w:eastAsia="Times New Roman"/>
          <w:sz w:val="20"/>
          <w:szCs w:val="20"/>
          <w:lang w:val="fr-FR"/>
        </w:rPr>
        <w:t xml:space="preserve">Le ginseng sous couvert-forestier (10 ans d’âge) aura une racine d’un diamètre, d’une longueur et d’un poids plus petit qu’une racine cultivé en champ de 3 ans d’âge (Choi et al. 2007). Le bas niveau de phosphore dans les sols forestiers expliquerait la raison pour laquelle le ginseng en forêt prendrait autant de temps à croître (Choi et al. 2007). Ce bas niveau de phosphore pourrait être aussi dû à l’érosion et au ruissellement. </w:t>
      </w:r>
      <w:r>
        <w:rPr>
          <w:rFonts w:eastAsia="Times New Roman"/>
          <w:sz w:val="20"/>
          <w:szCs w:val="20"/>
          <w:lang w:val="fr-FR"/>
        </w:rPr>
        <w:t xml:space="preserve"> </w:t>
      </w:r>
      <w:r w:rsidRPr="008E648E">
        <w:rPr>
          <w:rFonts w:eastAsia="Times New Roman"/>
          <w:sz w:val="20"/>
          <w:szCs w:val="20"/>
          <w:lang w:val="fr-FR"/>
        </w:rPr>
        <w:t>En revanche, le prix du ginseng en champ est nettement inférieur au prix du ginseng  cultivé sous couvert forestier (13-26$/lb vs 125-500$/lb) (Anderson, 2002).</w:t>
      </w:r>
    </w:p>
    <w:p w:rsidR="00E03A99" w:rsidRDefault="00E03A99" w:rsidP="00E03A99">
      <w:pPr>
        <w:spacing w:line="239" w:lineRule="auto"/>
        <w:ind w:left="20"/>
        <w:jc w:val="both"/>
        <w:rPr>
          <w:rFonts w:eastAsia="Times New Roman"/>
          <w:sz w:val="20"/>
          <w:szCs w:val="20"/>
          <w:lang w:val="fr-FR"/>
        </w:rPr>
      </w:pPr>
    </w:p>
    <w:p w:rsidR="00E03A99" w:rsidRPr="008E648E" w:rsidRDefault="00E03A99" w:rsidP="00E03A99">
      <w:pPr>
        <w:spacing w:line="20" w:lineRule="exact"/>
        <w:rPr>
          <w:sz w:val="20"/>
          <w:szCs w:val="20"/>
          <w:lang w:val="fr-FR"/>
        </w:rPr>
      </w:pPr>
    </w:p>
    <w:p w:rsidR="00E03A99" w:rsidRPr="008E648E" w:rsidRDefault="00E03A99" w:rsidP="00E03A99">
      <w:pPr>
        <w:spacing w:line="139" w:lineRule="exact"/>
        <w:rPr>
          <w:sz w:val="20"/>
          <w:szCs w:val="20"/>
          <w:lang w:val="fr-FR"/>
        </w:rPr>
      </w:pPr>
    </w:p>
    <w:p w:rsidR="00E03A99" w:rsidRPr="008E648E" w:rsidRDefault="00E03A99" w:rsidP="00E03A99">
      <w:pPr>
        <w:spacing w:line="238" w:lineRule="auto"/>
        <w:jc w:val="both"/>
        <w:rPr>
          <w:sz w:val="20"/>
          <w:szCs w:val="20"/>
          <w:lang w:val="fr-FR"/>
        </w:rPr>
      </w:pPr>
      <w:r w:rsidRPr="008E648E">
        <w:rPr>
          <w:rFonts w:eastAsia="Times New Roman"/>
          <w:sz w:val="20"/>
          <w:szCs w:val="20"/>
          <w:lang w:val="fr-FR"/>
        </w:rPr>
        <w:t xml:space="preserve">La racine du ginseng cultivé en champ est plus lisse et contient moins de radicelles et d’embranchements racinaires que son homologue en forêt (Anderson, 2002). Des analyses biochimiques de la racine de ginseng en Corée du Sud ont révélé une plus grande concentration de </w:t>
      </w:r>
      <w:proofErr w:type="spellStart"/>
      <w:r w:rsidRPr="008E648E">
        <w:rPr>
          <w:rFonts w:eastAsia="Times New Roman"/>
          <w:sz w:val="20"/>
          <w:szCs w:val="20"/>
          <w:lang w:val="fr-FR"/>
        </w:rPr>
        <w:t>ginsenosides</w:t>
      </w:r>
      <w:proofErr w:type="spellEnd"/>
      <w:r w:rsidRPr="008E648E">
        <w:rPr>
          <w:rFonts w:eastAsia="Times New Roman"/>
          <w:sz w:val="20"/>
          <w:szCs w:val="20"/>
          <w:lang w:val="fr-FR"/>
        </w:rPr>
        <w:t xml:space="preserve"> (ingrédient actif du ginseng) dans le ginseng sous couvert forestier que dans le ginseng cultivé en champ (Choi et al. 2007).</w:t>
      </w:r>
    </w:p>
    <w:p w:rsidR="00E03A99" w:rsidRPr="008E648E" w:rsidRDefault="00E03A99" w:rsidP="00E03A99">
      <w:pPr>
        <w:spacing w:line="292" w:lineRule="exact"/>
        <w:rPr>
          <w:sz w:val="20"/>
          <w:szCs w:val="20"/>
          <w:lang w:val="fr-FR"/>
        </w:rPr>
      </w:pPr>
    </w:p>
    <w:p w:rsidR="00E03A99" w:rsidRDefault="00E03A99" w:rsidP="00E03A99">
      <w:pPr>
        <w:rPr>
          <w:rFonts w:eastAsia="Times New Roman"/>
          <w:sz w:val="20"/>
          <w:szCs w:val="20"/>
          <w:lang w:val="fr-FR"/>
        </w:rPr>
      </w:pPr>
      <w:r w:rsidRPr="008E648E">
        <w:rPr>
          <w:rFonts w:eastAsia="Times New Roman"/>
          <w:sz w:val="20"/>
          <w:szCs w:val="20"/>
          <w:lang w:val="fr-FR"/>
        </w:rPr>
        <w:t xml:space="preserve">Le </w:t>
      </w:r>
      <w:proofErr w:type="spellStart"/>
      <w:r w:rsidRPr="008E648E">
        <w:rPr>
          <w:rFonts w:eastAsia="Times New Roman"/>
          <w:sz w:val="20"/>
          <w:szCs w:val="20"/>
          <w:lang w:val="fr-FR"/>
        </w:rPr>
        <w:t>ginsenoside</w:t>
      </w:r>
      <w:proofErr w:type="spellEnd"/>
      <w:r w:rsidRPr="008E648E">
        <w:rPr>
          <w:rFonts w:eastAsia="Times New Roman"/>
          <w:sz w:val="20"/>
          <w:szCs w:val="20"/>
          <w:lang w:val="fr-FR"/>
        </w:rPr>
        <w:t xml:space="preserve"> s’avère à augmenter avec l’âge (Choi et al. 2007). De plus, le </w:t>
      </w:r>
      <w:proofErr w:type="spellStart"/>
      <w:r w:rsidRPr="008E648E">
        <w:rPr>
          <w:rFonts w:eastAsia="Times New Roman"/>
          <w:sz w:val="20"/>
          <w:szCs w:val="20"/>
          <w:lang w:val="fr-FR"/>
        </w:rPr>
        <w:t>ginsenoside</w:t>
      </w:r>
      <w:proofErr w:type="spellEnd"/>
      <w:r w:rsidRPr="008E648E">
        <w:rPr>
          <w:rFonts w:eastAsia="Times New Roman"/>
          <w:sz w:val="20"/>
          <w:szCs w:val="20"/>
          <w:lang w:val="fr-FR"/>
        </w:rPr>
        <w:t xml:space="preserve"> Rh2 arrête la croissance de plusieurs cellules cancéreuses. Une étude démontre que ce principe actif est complètement absent dans le ginseng cultivé en champ (Choi et al. 2007). La forte densité de plants en champ et une monoculture de ginseng peuvent entraîner des problèmes phytosanitaires dont des maladies fongiques (Anderson. 2002).</w:t>
      </w:r>
    </w:p>
    <w:p w:rsidR="00E03A99" w:rsidRDefault="00E03A99" w:rsidP="00E03A99">
      <w:pPr>
        <w:rPr>
          <w:rFonts w:eastAsia="Times New Roman"/>
          <w:sz w:val="20"/>
          <w:szCs w:val="20"/>
          <w:lang w:val="fr-FR"/>
        </w:rPr>
      </w:pPr>
    </w:p>
    <w:p w:rsidR="00E03A99" w:rsidRDefault="00E03A99" w:rsidP="00E03A99">
      <w:pPr>
        <w:rPr>
          <w:rFonts w:eastAsia="Times New Roman"/>
          <w:sz w:val="20"/>
          <w:szCs w:val="20"/>
          <w:lang w:val="fr-FR"/>
        </w:rPr>
      </w:pPr>
      <w:r w:rsidRPr="008E648E">
        <w:rPr>
          <w:rFonts w:eastAsia="Times New Roman"/>
          <w:sz w:val="20"/>
          <w:szCs w:val="20"/>
          <w:lang w:val="fr-FR"/>
        </w:rPr>
        <w:t>Pour éviter les maladies fongiques lors d’une culture de ginseng sous couvert forestier, il est suggéré de ne pas élimer toutes les autres plantes herbacées autour pour privilégier une biodiversité dans votre plantation (Anderson, 2002</w:t>
      </w:r>
      <w:r>
        <w:rPr>
          <w:rFonts w:eastAsia="Times New Roman"/>
          <w:sz w:val="20"/>
          <w:szCs w:val="20"/>
          <w:lang w:val="fr-FR"/>
        </w:rPr>
        <w:t>).</w:t>
      </w:r>
    </w:p>
    <w:p w:rsidR="00E03A99" w:rsidRDefault="00E03A99" w:rsidP="00E03A99">
      <w:pPr>
        <w:rPr>
          <w:rFonts w:eastAsia="Times New Roman"/>
          <w:sz w:val="20"/>
          <w:szCs w:val="20"/>
          <w:lang w:val="fr-FR"/>
        </w:rPr>
      </w:pPr>
    </w:p>
    <w:p w:rsidR="00E03A99" w:rsidRDefault="00E03A99" w:rsidP="00E03A99">
      <w:pPr>
        <w:rPr>
          <w:rFonts w:eastAsia="Times New Roman"/>
          <w:b/>
          <w:bCs/>
          <w:sz w:val="20"/>
          <w:szCs w:val="20"/>
          <w:lang w:val="fr-FR"/>
        </w:rPr>
      </w:pPr>
      <w:r w:rsidRPr="00E03A99">
        <w:rPr>
          <w:rFonts w:eastAsia="Times New Roman"/>
          <w:b/>
          <w:bCs/>
          <w:sz w:val="20"/>
          <w:szCs w:val="20"/>
          <w:lang w:val="fr-FR"/>
        </w:rPr>
        <w:t>RÉFÉRENCES</w:t>
      </w:r>
    </w:p>
    <w:p w:rsidR="00E03A99" w:rsidRPr="00E03A99" w:rsidRDefault="00E03A99" w:rsidP="00E03A99">
      <w:pPr>
        <w:rPr>
          <w:rFonts w:eastAsia="Times New Roman"/>
          <w:sz w:val="20"/>
          <w:szCs w:val="20"/>
        </w:rPr>
      </w:pPr>
    </w:p>
    <w:p w:rsidR="00E03A99" w:rsidRDefault="00E03A99" w:rsidP="00E03A99">
      <w:pPr>
        <w:rPr>
          <w:sz w:val="20"/>
          <w:szCs w:val="20"/>
        </w:rPr>
      </w:pPr>
      <w:r>
        <w:rPr>
          <w:rFonts w:eastAsia="Times New Roman"/>
          <w:sz w:val="16"/>
          <w:szCs w:val="16"/>
        </w:rPr>
        <w:t xml:space="preserve">Anderson, R., R. Anderson and G. Houseman. 2002. Wild American ginseng. </w:t>
      </w:r>
      <w:r>
        <w:rPr>
          <w:rFonts w:eastAsia="Times New Roman"/>
          <w:i/>
          <w:iCs/>
          <w:sz w:val="16"/>
          <w:szCs w:val="16"/>
        </w:rPr>
        <w:t>Native Plants Journal</w:t>
      </w:r>
      <w:r>
        <w:rPr>
          <w:rFonts w:eastAsia="Times New Roman"/>
          <w:sz w:val="16"/>
          <w:szCs w:val="16"/>
        </w:rPr>
        <w:t xml:space="preserve"> 3(2): 93 - 105.</w:t>
      </w:r>
    </w:p>
    <w:p w:rsidR="00E03A99" w:rsidRDefault="00E03A99" w:rsidP="00E03A99">
      <w:pPr>
        <w:spacing w:line="46" w:lineRule="exact"/>
        <w:rPr>
          <w:sz w:val="20"/>
          <w:szCs w:val="20"/>
        </w:rPr>
      </w:pPr>
    </w:p>
    <w:p w:rsidR="00E03A99" w:rsidRDefault="00E03A99" w:rsidP="00E03A99">
      <w:pPr>
        <w:rPr>
          <w:sz w:val="20"/>
          <w:szCs w:val="20"/>
        </w:rPr>
      </w:pPr>
      <w:r>
        <w:rPr>
          <w:rFonts w:eastAsia="Times New Roman"/>
          <w:sz w:val="16"/>
          <w:szCs w:val="16"/>
        </w:rPr>
        <w:t>Bai, D., J. Brandle and R. Reeleder. 1997. Genetic diversity in North American ginseng (</w:t>
      </w:r>
      <w:r>
        <w:rPr>
          <w:rFonts w:eastAsia="Times New Roman"/>
          <w:i/>
          <w:iCs/>
          <w:sz w:val="16"/>
          <w:szCs w:val="16"/>
        </w:rPr>
        <w:t>Panax quinquefolius</w:t>
      </w:r>
      <w:r>
        <w:rPr>
          <w:rFonts w:eastAsia="Times New Roman"/>
          <w:sz w:val="16"/>
          <w:szCs w:val="16"/>
        </w:rPr>
        <w:t xml:space="preserve"> L.) grown in Ontario detected by RAPD analysis.</w:t>
      </w:r>
    </w:p>
    <w:p w:rsidR="00E03A99" w:rsidRDefault="00E03A99" w:rsidP="00E03A99">
      <w:pPr>
        <w:spacing w:line="46" w:lineRule="exact"/>
        <w:rPr>
          <w:sz w:val="20"/>
          <w:szCs w:val="20"/>
        </w:rPr>
      </w:pPr>
    </w:p>
    <w:p w:rsidR="00E03A99" w:rsidRDefault="00E03A99" w:rsidP="00E03A99">
      <w:pPr>
        <w:ind w:left="560"/>
        <w:rPr>
          <w:sz w:val="20"/>
          <w:szCs w:val="20"/>
        </w:rPr>
      </w:pPr>
      <w:r>
        <w:rPr>
          <w:rFonts w:eastAsia="Times New Roman"/>
          <w:i/>
          <w:iCs/>
          <w:sz w:val="16"/>
          <w:szCs w:val="16"/>
        </w:rPr>
        <w:t>Genome</w:t>
      </w:r>
      <w:r>
        <w:rPr>
          <w:rFonts w:eastAsia="Times New Roman"/>
          <w:sz w:val="16"/>
          <w:szCs w:val="16"/>
        </w:rPr>
        <w:t xml:space="preserve"> 40: 111 - 115.</w:t>
      </w:r>
    </w:p>
    <w:p w:rsidR="00E03A99" w:rsidRDefault="00E03A99" w:rsidP="00E03A99">
      <w:pPr>
        <w:spacing w:line="57" w:lineRule="exact"/>
        <w:rPr>
          <w:sz w:val="20"/>
          <w:szCs w:val="20"/>
        </w:rPr>
      </w:pPr>
    </w:p>
    <w:p w:rsidR="00E03A99" w:rsidRDefault="00E03A99" w:rsidP="00E03A99">
      <w:pPr>
        <w:spacing w:line="22" w:lineRule="exact"/>
        <w:rPr>
          <w:sz w:val="20"/>
          <w:szCs w:val="20"/>
        </w:rPr>
      </w:pPr>
    </w:p>
    <w:p w:rsidR="00E03A99" w:rsidRDefault="00E03A99" w:rsidP="00E03A99">
      <w:pPr>
        <w:spacing w:line="286" w:lineRule="auto"/>
        <w:ind w:left="560" w:right="180" w:hanging="565"/>
        <w:rPr>
          <w:sz w:val="20"/>
          <w:szCs w:val="20"/>
        </w:rPr>
      </w:pPr>
      <w:proofErr w:type="gramStart"/>
      <w:r>
        <w:rPr>
          <w:rFonts w:eastAsia="Times New Roman"/>
          <w:sz w:val="16"/>
          <w:szCs w:val="16"/>
        </w:rPr>
        <w:t xml:space="preserve">Case, M. A., K. M. Flinn, J. </w:t>
      </w:r>
      <w:proofErr w:type="spellStart"/>
      <w:r>
        <w:rPr>
          <w:rFonts w:eastAsia="Times New Roman"/>
          <w:sz w:val="16"/>
          <w:szCs w:val="16"/>
        </w:rPr>
        <w:t>Jancaitis</w:t>
      </w:r>
      <w:proofErr w:type="spellEnd"/>
      <w:r>
        <w:rPr>
          <w:rFonts w:eastAsia="Times New Roman"/>
          <w:sz w:val="16"/>
          <w:szCs w:val="16"/>
        </w:rPr>
        <w:t>, A. Alley and A. Paxton.</w:t>
      </w:r>
      <w:proofErr w:type="gramEnd"/>
      <w:r>
        <w:rPr>
          <w:rFonts w:eastAsia="Times New Roman"/>
          <w:sz w:val="16"/>
          <w:szCs w:val="16"/>
        </w:rPr>
        <w:t xml:space="preserve"> 2007. Declining abundance of American ginseng (</w:t>
      </w:r>
      <w:proofErr w:type="spellStart"/>
      <w:r>
        <w:rPr>
          <w:rFonts w:eastAsia="Times New Roman"/>
          <w:i/>
          <w:iCs/>
          <w:sz w:val="16"/>
          <w:szCs w:val="16"/>
        </w:rPr>
        <w:t>Panax</w:t>
      </w:r>
      <w:proofErr w:type="spellEnd"/>
      <w:r>
        <w:rPr>
          <w:rFonts w:eastAsia="Times New Roman"/>
          <w:i/>
          <w:iCs/>
          <w:sz w:val="16"/>
          <w:szCs w:val="16"/>
        </w:rPr>
        <w:t xml:space="preserve"> </w:t>
      </w:r>
      <w:proofErr w:type="spellStart"/>
      <w:r>
        <w:rPr>
          <w:rFonts w:eastAsia="Times New Roman"/>
          <w:i/>
          <w:iCs/>
          <w:sz w:val="16"/>
          <w:szCs w:val="16"/>
        </w:rPr>
        <w:t>quinquefolius</w:t>
      </w:r>
      <w:proofErr w:type="spellEnd"/>
      <w:r>
        <w:rPr>
          <w:rFonts w:eastAsia="Times New Roman"/>
          <w:sz w:val="16"/>
          <w:szCs w:val="16"/>
        </w:rPr>
        <w:t xml:space="preserve"> L.) documented by herbarium specimens. </w:t>
      </w:r>
      <w:r>
        <w:rPr>
          <w:rFonts w:eastAsia="Times New Roman"/>
          <w:i/>
          <w:iCs/>
          <w:sz w:val="16"/>
          <w:szCs w:val="16"/>
        </w:rPr>
        <w:t>Biological Conservation</w:t>
      </w:r>
      <w:r>
        <w:rPr>
          <w:rFonts w:eastAsia="Times New Roman"/>
          <w:sz w:val="16"/>
          <w:szCs w:val="16"/>
        </w:rPr>
        <w:t xml:space="preserve"> 34: 22 - 30.</w:t>
      </w:r>
    </w:p>
    <w:p w:rsidR="00E03A99" w:rsidRDefault="00E03A99" w:rsidP="00E03A99">
      <w:pPr>
        <w:spacing w:line="22" w:lineRule="exact"/>
        <w:rPr>
          <w:sz w:val="20"/>
          <w:szCs w:val="20"/>
        </w:rPr>
      </w:pPr>
    </w:p>
    <w:p w:rsidR="00E03A99" w:rsidRDefault="00E03A99" w:rsidP="00E03A99">
      <w:pPr>
        <w:spacing w:line="286" w:lineRule="auto"/>
        <w:ind w:left="560" w:right="260" w:hanging="565"/>
        <w:rPr>
          <w:sz w:val="20"/>
          <w:szCs w:val="20"/>
        </w:rPr>
      </w:pPr>
      <w:proofErr w:type="spellStart"/>
      <w:r>
        <w:rPr>
          <w:rFonts w:eastAsia="Times New Roman"/>
          <w:sz w:val="16"/>
          <w:szCs w:val="16"/>
        </w:rPr>
        <w:t>Choi</w:t>
      </w:r>
      <w:proofErr w:type="spellEnd"/>
      <w:r>
        <w:rPr>
          <w:rFonts w:eastAsia="Times New Roman"/>
          <w:sz w:val="16"/>
          <w:szCs w:val="16"/>
        </w:rPr>
        <w:t xml:space="preserve">, Y. E., Y. S. Kim, M. J. Yi, W. G. Park, J. S. Yi, S. R. Chun, S. S. Han and S. J. Lee. 2007. Physiological and chemical characteristics of field- and mountain-cultivated ginseng roots. </w:t>
      </w:r>
      <w:r>
        <w:rPr>
          <w:rFonts w:eastAsia="Times New Roman"/>
          <w:i/>
          <w:iCs/>
          <w:sz w:val="16"/>
          <w:szCs w:val="16"/>
        </w:rPr>
        <w:t>Journal of Plant Biology</w:t>
      </w:r>
      <w:r>
        <w:rPr>
          <w:rFonts w:eastAsia="Times New Roman"/>
          <w:sz w:val="16"/>
          <w:szCs w:val="16"/>
        </w:rPr>
        <w:t xml:space="preserve"> 50(2): 198 - 205.</w:t>
      </w:r>
    </w:p>
    <w:p w:rsidR="00E03A99" w:rsidRDefault="00E03A99" w:rsidP="00E03A99">
      <w:pPr>
        <w:spacing w:line="12" w:lineRule="exact"/>
        <w:rPr>
          <w:sz w:val="20"/>
          <w:szCs w:val="20"/>
        </w:rPr>
      </w:pPr>
    </w:p>
    <w:p w:rsidR="00E03A99" w:rsidRDefault="00E03A99" w:rsidP="00E03A99">
      <w:pPr>
        <w:spacing w:line="22" w:lineRule="exact"/>
        <w:rPr>
          <w:sz w:val="20"/>
          <w:szCs w:val="20"/>
        </w:rPr>
      </w:pPr>
    </w:p>
    <w:p w:rsidR="00E03A99" w:rsidRPr="008E648E" w:rsidRDefault="00E03A99" w:rsidP="00E03A99">
      <w:pPr>
        <w:spacing w:line="286" w:lineRule="auto"/>
        <w:ind w:left="560" w:right="220" w:hanging="565"/>
        <w:rPr>
          <w:sz w:val="20"/>
          <w:szCs w:val="20"/>
          <w:lang w:val="fr-FR"/>
        </w:rPr>
      </w:pPr>
      <w:proofErr w:type="spellStart"/>
      <w:proofErr w:type="gramStart"/>
      <w:r>
        <w:rPr>
          <w:rFonts w:eastAsia="Times New Roman"/>
          <w:sz w:val="16"/>
          <w:szCs w:val="16"/>
        </w:rPr>
        <w:t>Nault</w:t>
      </w:r>
      <w:proofErr w:type="spellEnd"/>
      <w:r>
        <w:rPr>
          <w:rFonts w:eastAsia="Times New Roman"/>
          <w:sz w:val="16"/>
          <w:szCs w:val="16"/>
        </w:rPr>
        <w:t>, A. and D. J. White.</w:t>
      </w:r>
      <w:proofErr w:type="gramEnd"/>
      <w:r>
        <w:rPr>
          <w:rFonts w:eastAsia="Times New Roman"/>
          <w:sz w:val="16"/>
          <w:szCs w:val="16"/>
        </w:rPr>
        <w:t xml:space="preserve"> 1999. </w:t>
      </w:r>
      <w:r>
        <w:rPr>
          <w:rFonts w:eastAsia="Times New Roman"/>
          <w:i/>
          <w:iCs/>
          <w:sz w:val="16"/>
          <w:szCs w:val="16"/>
        </w:rPr>
        <w:t xml:space="preserve">Update COSEWIC </w:t>
      </w:r>
      <w:proofErr w:type="gramStart"/>
      <w:r>
        <w:rPr>
          <w:rFonts w:eastAsia="Times New Roman"/>
          <w:i/>
          <w:iCs/>
          <w:sz w:val="16"/>
          <w:szCs w:val="16"/>
        </w:rPr>
        <w:t>status repost</w:t>
      </w:r>
      <w:proofErr w:type="gramEnd"/>
      <w:r>
        <w:rPr>
          <w:rFonts w:eastAsia="Times New Roman"/>
          <w:i/>
          <w:iCs/>
          <w:sz w:val="16"/>
          <w:szCs w:val="16"/>
        </w:rPr>
        <w:t xml:space="preserve"> on the American ginseng </w:t>
      </w:r>
      <w:proofErr w:type="spellStart"/>
      <w:r>
        <w:rPr>
          <w:rFonts w:eastAsia="Times New Roman"/>
          <w:i/>
          <w:iCs/>
          <w:sz w:val="16"/>
          <w:szCs w:val="16"/>
        </w:rPr>
        <w:t>Panax</w:t>
      </w:r>
      <w:proofErr w:type="spellEnd"/>
      <w:r>
        <w:rPr>
          <w:rFonts w:eastAsia="Times New Roman"/>
          <w:i/>
          <w:iCs/>
          <w:sz w:val="16"/>
          <w:szCs w:val="16"/>
        </w:rPr>
        <w:t xml:space="preserve"> </w:t>
      </w:r>
      <w:proofErr w:type="spellStart"/>
      <w:r>
        <w:rPr>
          <w:rFonts w:eastAsia="Times New Roman"/>
          <w:i/>
          <w:iCs/>
          <w:sz w:val="16"/>
          <w:szCs w:val="16"/>
        </w:rPr>
        <w:t>quinquefolius</w:t>
      </w:r>
      <w:proofErr w:type="spellEnd"/>
      <w:r>
        <w:rPr>
          <w:rFonts w:eastAsia="Times New Roman"/>
          <w:i/>
          <w:iCs/>
          <w:sz w:val="16"/>
          <w:szCs w:val="16"/>
        </w:rPr>
        <w:t xml:space="preserve"> in Canada.</w:t>
      </w:r>
      <w:r>
        <w:rPr>
          <w:rFonts w:eastAsia="Times New Roman"/>
          <w:sz w:val="16"/>
          <w:szCs w:val="16"/>
        </w:rPr>
        <w:t xml:space="preserve"> </w:t>
      </w:r>
      <w:proofErr w:type="gramStart"/>
      <w:r>
        <w:rPr>
          <w:rFonts w:eastAsia="Times New Roman"/>
          <w:sz w:val="16"/>
          <w:szCs w:val="16"/>
        </w:rPr>
        <w:t>Committee on the Status of Endangered Wildlife in Canada.</w:t>
      </w:r>
      <w:proofErr w:type="gramEnd"/>
      <w:r>
        <w:rPr>
          <w:rFonts w:eastAsia="Times New Roman"/>
          <w:sz w:val="16"/>
          <w:szCs w:val="16"/>
        </w:rPr>
        <w:t xml:space="preserve"> Ottawa. </w:t>
      </w:r>
      <w:r w:rsidRPr="008E648E">
        <w:rPr>
          <w:rFonts w:eastAsia="Times New Roman"/>
          <w:sz w:val="16"/>
          <w:szCs w:val="16"/>
          <w:lang w:val="fr-FR"/>
        </w:rPr>
        <w:t>1 - 17 pp.</w:t>
      </w:r>
    </w:p>
    <w:p w:rsidR="00E03A99" w:rsidRPr="00E03A99" w:rsidRDefault="00E03A99" w:rsidP="00E03A99">
      <w:pPr>
        <w:rPr>
          <w:lang w:val="fr-FR"/>
        </w:rPr>
      </w:pPr>
    </w:p>
    <w:sectPr w:rsidR="00E03A99" w:rsidRPr="00E03A99" w:rsidSect="009F2A8B">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characterSpacingControl w:val="doNotCompress"/>
  <w:compat/>
  <w:rsids>
    <w:rsidRoot w:val="00E03A99"/>
    <w:rsid w:val="009F2A8B"/>
    <w:rsid w:val="00E03A9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A99"/>
    <w:pPr>
      <w:spacing w:after="0" w:line="240" w:lineRule="auto"/>
    </w:pPr>
    <w:rPr>
      <w:rFonts w:ascii="Times New Roman" w:eastAsiaTheme="minorEastAsia" w:hAnsi="Times New Roman" w:cs="Times New Roman"/>
      <w:lang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475</Words>
  <Characters>2709</Characters>
  <Application>Microsoft Office Word</Application>
  <DocSecurity>0</DocSecurity>
  <Lines>22</Lines>
  <Paragraphs>6</Paragraphs>
  <ScaleCrop>false</ScaleCrop>
  <Company>Radialpoint</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dc:creator>
  <cp:lastModifiedBy>France</cp:lastModifiedBy>
  <cp:revision>1</cp:revision>
  <dcterms:created xsi:type="dcterms:W3CDTF">2022-04-07T01:55:00Z</dcterms:created>
  <dcterms:modified xsi:type="dcterms:W3CDTF">2022-04-07T02:12:00Z</dcterms:modified>
</cp:coreProperties>
</file>