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73B" w:rsidRPr="00735B8A" w:rsidRDefault="00735B8A">
      <w:pPr>
        <w:ind w:right="-119"/>
        <w:jc w:val="center"/>
        <w:rPr>
          <w:sz w:val="20"/>
          <w:szCs w:val="20"/>
          <w:lang w:val="fr-FR"/>
        </w:rPr>
      </w:pPr>
      <w:bookmarkStart w:id="0" w:name="page2"/>
      <w:bookmarkEnd w:id="0"/>
      <w:r>
        <w:rPr>
          <w:rFonts w:eastAsia="Times New Roman"/>
          <w:b/>
          <w:bCs/>
          <w:noProof/>
          <w:color w:val="006599"/>
          <w:sz w:val="27"/>
          <w:szCs w:val="27"/>
        </w:rPr>
        <w:drawing>
          <wp:anchor distT="0" distB="0" distL="114300" distR="114300" simplePos="0" relativeHeight="251653120" behindDoc="1" locked="0" layoutInCell="0" allowOverlap="1">
            <wp:simplePos x="0" y="0"/>
            <wp:positionH relativeFrom="page">
              <wp:posOffset>228600</wp:posOffset>
            </wp:positionH>
            <wp:positionV relativeFrom="page">
              <wp:posOffset>228600</wp:posOffset>
            </wp:positionV>
            <wp:extent cx="7316470" cy="96024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cstate="print">
                      <a:extLst>
                        <a:ext uri="{28A0092B-C50C-407E-A947-70E740481C1C}"/>
                      </a:extLst>
                    </a:blip>
                    <a:srcRect/>
                    <a:stretch>
                      <a:fillRect/>
                    </a:stretch>
                  </pic:blipFill>
                  <pic:spPr bwMode="auto">
                    <a:xfrm>
                      <a:off x="0" y="0"/>
                      <a:ext cx="7316470" cy="9602470"/>
                    </a:xfrm>
                    <a:prstGeom prst="rect">
                      <a:avLst/>
                    </a:prstGeom>
                    <a:noFill/>
                  </pic:spPr>
                </pic:pic>
              </a:graphicData>
            </a:graphic>
          </wp:anchor>
        </w:drawing>
      </w:r>
      <w:r>
        <w:rPr>
          <w:rFonts w:eastAsia="Times New Roman"/>
          <w:b/>
          <w:bCs/>
          <w:color w:val="006599"/>
          <w:sz w:val="27"/>
          <w:szCs w:val="27"/>
          <w:lang w:val="fr-FR"/>
        </w:rPr>
        <w:t>L</w:t>
      </w:r>
      <w:r w:rsidRPr="00735B8A">
        <w:rPr>
          <w:rFonts w:eastAsia="Times New Roman"/>
          <w:b/>
          <w:bCs/>
          <w:color w:val="006599"/>
          <w:sz w:val="27"/>
          <w:szCs w:val="27"/>
          <w:lang w:val="fr-FR"/>
        </w:rPr>
        <w:t>ES DOMMAGES CAUSÉS PAR LES LIMACES</w:t>
      </w:r>
    </w:p>
    <w:p w:rsidR="005C273B" w:rsidRPr="00735B8A" w:rsidRDefault="005C273B">
      <w:pPr>
        <w:rPr>
          <w:lang w:val="fr-FR"/>
        </w:rPr>
        <w:sectPr w:rsidR="005C273B" w:rsidRPr="00735B8A">
          <w:pgSz w:w="12240" w:h="15840"/>
          <w:pgMar w:top="659" w:right="680" w:bottom="61" w:left="600" w:header="0" w:footer="0" w:gutter="0"/>
          <w:cols w:space="720" w:equalWidth="0">
            <w:col w:w="10960"/>
          </w:cols>
        </w:sectPr>
      </w:pPr>
    </w:p>
    <w:p w:rsidR="005C273B" w:rsidRPr="00735B8A" w:rsidRDefault="005C273B">
      <w:pPr>
        <w:spacing w:line="182" w:lineRule="exact"/>
        <w:rPr>
          <w:sz w:val="20"/>
          <w:szCs w:val="20"/>
          <w:lang w:val="fr-FR"/>
        </w:rPr>
      </w:pPr>
    </w:p>
    <w:p w:rsidR="005C273B" w:rsidRPr="00735B8A" w:rsidRDefault="00735B8A">
      <w:pPr>
        <w:spacing w:line="239" w:lineRule="auto"/>
        <w:ind w:left="80"/>
        <w:jc w:val="both"/>
        <w:rPr>
          <w:sz w:val="20"/>
          <w:szCs w:val="20"/>
          <w:lang w:val="fr-FR"/>
        </w:rPr>
      </w:pPr>
      <w:r w:rsidRPr="00735B8A">
        <w:rPr>
          <w:rFonts w:eastAsia="Times New Roman"/>
          <w:sz w:val="20"/>
          <w:szCs w:val="20"/>
          <w:lang w:val="fr-FR"/>
        </w:rPr>
        <w:t xml:space="preserve">La présence des limaces est l’une des plus grandes menaces lors des </w:t>
      </w:r>
      <w:r w:rsidRPr="00735B8A">
        <w:rPr>
          <w:rFonts w:eastAsia="Times New Roman"/>
          <w:sz w:val="20"/>
          <w:szCs w:val="20"/>
          <w:lang w:val="fr-FR"/>
        </w:rPr>
        <w:t>premières années d’implantation du ginseng. Cet herbivore peut réduire considérablement la densité des jeunes pousses du ginseng et même entrainer la mortalité des celles-ci. Leur présence est remarquée par des trous irréguliers sur les feuilles suite au b</w:t>
      </w:r>
      <w:r w:rsidRPr="00735B8A">
        <w:rPr>
          <w:rFonts w:eastAsia="Times New Roman"/>
          <w:sz w:val="20"/>
          <w:szCs w:val="20"/>
          <w:lang w:val="fr-FR"/>
        </w:rPr>
        <w:t xml:space="preserve">routage et les sentiers gluants qu’elles tracent sur leur chemin. Les limaces préfèrent les jeunes plantes et les plantes herbacées (Flint and </w:t>
      </w:r>
      <w:proofErr w:type="spellStart"/>
      <w:r w:rsidRPr="00735B8A">
        <w:rPr>
          <w:rFonts w:eastAsia="Times New Roman"/>
          <w:sz w:val="20"/>
          <w:szCs w:val="20"/>
          <w:lang w:val="fr-FR"/>
        </w:rPr>
        <w:t>Wilen</w:t>
      </w:r>
      <w:proofErr w:type="spellEnd"/>
      <w:r w:rsidRPr="00735B8A">
        <w:rPr>
          <w:rFonts w:eastAsia="Times New Roman"/>
          <w:sz w:val="20"/>
          <w:szCs w:val="20"/>
          <w:lang w:val="fr-FR"/>
        </w:rPr>
        <w:t xml:space="preserve"> 2009). Elles sont hermaphrodites donc chaque limace peut pondre des œufs et vivre de 1 à 2 ans (Flint and </w:t>
      </w:r>
      <w:proofErr w:type="spellStart"/>
      <w:r w:rsidRPr="00735B8A">
        <w:rPr>
          <w:rFonts w:eastAsia="Times New Roman"/>
          <w:sz w:val="20"/>
          <w:szCs w:val="20"/>
          <w:lang w:val="fr-FR"/>
        </w:rPr>
        <w:t>W</w:t>
      </w:r>
      <w:r w:rsidRPr="00735B8A">
        <w:rPr>
          <w:rFonts w:eastAsia="Times New Roman"/>
          <w:sz w:val="20"/>
          <w:szCs w:val="20"/>
          <w:lang w:val="fr-FR"/>
        </w:rPr>
        <w:t>ilen</w:t>
      </w:r>
      <w:proofErr w:type="spellEnd"/>
      <w:r w:rsidRPr="00735B8A">
        <w:rPr>
          <w:rFonts w:eastAsia="Times New Roman"/>
          <w:sz w:val="20"/>
          <w:szCs w:val="20"/>
          <w:lang w:val="fr-FR"/>
        </w:rPr>
        <w:t xml:space="preserve"> 2009). Les espèces les plus communes sont la limace des jardins (), la limace grise (</w:t>
      </w:r>
      <w:proofErr w:type="spellStart"/>
      <w:r w:rsidRPr="00735B8A">
        <w:rPr>
          <w:rFonts w:eastAsia="Times New Roman"/>
          <w:sz w:val="20"/>
          <w:szCs w:val="20"/>
          <w:lang w:val="fr-FR"/>
        </w:rPr>
        <w:t>Deroceras</w:t>
      </w:r>
      <w:proofErr w:type="spellEnd"/>
      <w:r w:rsidRPr="00735B8A">
        <w:rPr>
          <w:rFonts w:eastAsia="Times New Roman"/>
          <w:sz w:val="20"/>
          <w:szCs w:val="20"/>
          <w:lang w:val="fr-FR"/>
        </w:rPr>
        <w:t xml:space="preserve"> </w:t>
      </w:r>
      <w:proofErr w:type="spellStart"/>
      <w:r w:rsidRPr="00735B8A">
        <w:rPr>
          <w:rFonts w:eastAsia="Times New Roman"/>
          <w:sz w:val="20"/>
          <w:szCs w:val="20"/>
          <w:lang w:val="fr-FR"/>
        </w:rPr>
        <w:t>reticulatum</w:t>
      </w:r>
      <w:proofErr w:type="spellEnd"/>
      <w:r w:rsidRPr="00735B8A">
        <w:rPr>
          <w:rFonts w:eastAsia="Times New Roman"/>
          <w:sz w:val="20"/>
          <w:szCs w:val="20"/>
          <w:lang w:val="fr-FR"/>
        </w:rPr>
        <w:t>), la limace des marais (</w:t>
      </w:r>
      <w:proofErr w:type="spellStart"/>
      <w:r w:rsidRPr="00735B8A">
        <w:rPr>
          <w:rFonts w:eastAsia="Times New Roman"/>
          <w:sz w:val="20"/>
          <w:szCs w:val="20"/>
          <w:lang w:val="fr-FR"/>
        </w:rPr>
        <w:t>Deroceras</w:t>
      </w:r>
      <w:proofErr w:type="spellEnd"/>
      <w:r w:rsidRPr="00735B8A">
        <w:rPr>
          <w:rFonts w:eastAsia="Times New Roman"/>
          <w:sz w:val="20"/>
          <w:szCs w:val="20"/>
          <w:lang w:val="fr-FR"/>
        </w:rPr>
        <w:t xml:space="preserve"> </w:t>
      </w:r>
      <w:proofErr w:type="spellStart"/>
      <w:r w:rsidRPr="00735B8A">
        <w:rPr>
          <w:rFonts w:eastAsia="Times New Roman"/>
          <w:sz w:val="20"/>
          <w:szCs w:val="20"/>
          <w:lang w:val="fr-FR"/>
        </w:rPr>
        <w:t>laeve</w:t>
      </w:r>
      <w:proofErr w:type="spellEnd"/>
      <w:r w:rsidRPr="00735B8A">
        <w:rPr>
          <w:rFonts w:eastAsia="Times New Roman"/>
          <w:sz w:val="20"/>
          <w:szCs w:val="20"/>
          <w:lang w:val="fr-FR"/>
        </w:rPr>
        <w:t xml:space="preserve">) et la limace striée (Arion </w:t>
      </w:r>
      <w:proofErr w:type="spellStart"/>
      <w:r w:rsidRPr="00735B8A">
        <w:rPr>
          <w:rFonts w:eastAsia="Times New Roman"/>
          <w:sz w:val="20"/>
          <w:szCs w:val="20"/>
          <w:lang w:val="fr-FR"/>
        </w:rPr>
        <w:t>fasciatus</w:t>
      </w:r>
      <w:proofErr w:type="spellEnd"/>
      <w:r w:rsidRPr="00735B8A">
        <w:rPr>
          <w:rFonts w:eastAsia="Times New Roman"/>
          <w:sz w:val="20"/>
          <w:szCs w:val="20"/>
          <w:lang w:val="fr-FR"/>
        </w:rPr>
        <w:t xml:space="preserve">) (Ellis and </w:t>
      </w:r>
      <w:proofErr w:type="spellStart"/>
      <w:r w:rsidRPr="00735B8A">
        <w:rPr>
          <w:rFonts w:eastAsia="Times New Roman"/>
          <w:sz w:val="20"/>
          <w:szCs w:val="20"/>
          <w:lang w:val="fr-FR"/>
        </w:rPr>
        <w:t>Rathwell</w:t>
      </w:r>
      <w:proofErr w:type="spellEnd"/>
      <w:r w:rsidRPr="00735B8A">
        <w:rPr>
          <w:rFonts w:eastAsia="Times New Roman"/>
          <w:sz w:val="20"/>
          <w:szCs w:val="20"/>
          <w:lang w:val="fr-FR"/>
        </w:rPr>
        <w:t xml:space="preserve"> 2012). La limace grise et la limace des jardi</w:t>
      </w:r>
      <w:r w:rsidRPr="00735B8A">
        <w:rPr>
          <w:rFonts w:eastAsia="Times New Roman"/>
          <w:sz w:val="20"/>
          <w:szCs w:val="20"/>
          <w:lang w:val="fr-FR"/>
        </w:rPr>
        <w:t xml:space="preserve">ns sont des espèces présentes dans les endroits cultivés tandis que la limace des marais peut survivre dans différents habitats. Cette dernière est la seule limace terrestre qui peut survivre plusieurs jours sous l’eau. Les limaces striées, des jardins et </w:t>
      </w:r>
      <w:r w:rsidRPr="00735B8A">
        <w:rPr>
          <w:rFonts w:eastAsia="Times New Roman"/>
          <w:sz w:val="20"/>
          <w:szCs w:val="20"/>
          <w:lang w:val="fr-FR"/>
        </w:rPr>
        <w:t>grises originaires de l’Europe et furent introduites en Amérique de diverses façons.</w:t>
      </w:r>
    </w:p>
    <w:p w:rsidR="005C273B" w:rsidRPr="00735B8A" w:rsidRDefault="005C273B">
      <w:pPr>
        <w:spacing w:line="26" w:lineRule="exact"/>
        <w:rPr>
          <w:sz w:val="20"/>
          <w:szCs w:val="20"/>
          <w:lang w:val="fr-FR"/>
        </w:rPr>
      </w:pPr>
    </w:p>
    <w:p w:rsidR="005C273B" w:rsidRPr="00735B8A" w:rsidRDefault="00735B8A">
      <w:pPr>
        <w:spacing w:line="239" w:lineRule="auto"/>
        <w:ind w:left="80"/>
        <w:jc w:val="both"/>
        <w:rPr>
          <w:sz w:val="20"/>
          <w:szCs w:val="20"/>
          <w:lang w:val="fr-FR"/>
        </w:rPr>
      </w:pPr>
      <w:r w:rsidRPr="00735B8A">
        <w:rPr>
          <w:rFonts w:eastAsia="Times New Roman"/>
          <w:sz w:val="20"/>
          <w:szCs w:val="20"/>
          <w:lang w:val="fr-FR"/>
        </w:rPr>
        <w:t>Comme vous le savez sûrement, les limaces sont l’ennemi numéro 1 des jardiniers, car celles-ci peuvent faire des ravages dans les jardins de légumes et de fleurs. La lima</w:t>
      </w:r>
      <w:r w:rsidRPr="00735B8A">
        <w:rPr>
          <w:rFonts w:eastAsia="Times New Roman"/>
          <w:sz w:val="20"/>
          <w:szCs w:val="20"/>
          <w:lang w:val="fr-FR"/>
        </w:rPr>
        <w:t>ce se nourrit la nuit, dévorant les pétunias, zinnias, haricots, laitues, choux, poivrons, les fruits des tomates et des fraisiers. Les prédateurs des limaces sont les crapauds, serpents, coléoptères, tortues, oiseaux et canards. Le crapaud est le prédateu</w:t>
      </w:r>
      <w:r w:rsidRPr="00735B8A">
        <w:rPr>
          <w:rFonts w:eastAsia="Times New Roman"/>
          <w:sz w:val="20"/>
          <w:szCs w:val="20"/>
          <w:lang w:val="fr-FR"/>
        </w:rPr>
        <w:t>r le plus vorace des limaces, il est donc intéressant qu’il soit abondant. La présence de limaces est favorisée en temps pluvieux et en présence de canopées denses, de paillis, de débris de bois et de feuilles en décomposition. L’environnement forestier es</w:t>
      </w:r>
      <w:r w:rsidRPr="00735B8A">
        <w:rPr>
          <w:rFonts w:eastAsia="Times New Roman"/>
          <w:sz w:val="20"/>
          <w:szCs w:val="20"/>
          <w:lang w:val="fr-FR"/>
        </w:rPr>
        <w:t xml:space="preserve">t alors l’endroit idéal pour cette petite bibitte (Ellis and </w:t>
      </w:r>
      <w:proofErr w:type="spellStart"/>
      <w:r w:rsidRPr="00735B8A">
        <w:rPr>
          <w:rFonts w:eastAsia="Times New Roman"/>
          <w:sz w:val="20"/>
          <w:szCs w:val="20"/>
          <w:lang w:val="fr-FR"/>
        </w:rPr>
        <w:t>Rathwell</w:t>
      </w:r>
      <w:proofErr w:type="spellEnd"/>
      <w:r w:rsidRPr="00735B8A">
        <w:rPr>
          <w:rFonts w:eastAsia="Times New Roman"/>
          <w:sz w:val="20"/>
          <w:szCs w:val="20"/>
          <w:lang w:val="fr-FR"/>
        </w:rPr>
        <w:t xml:space="preserve"> 2012)!</w:t>
      </w:r>
    </w:p>
    <w:p w:rsidR="005C273B" w:rsidRPr="00735B8A" w:rsidRDefault="005C273B">
      <w:pPr>
        <w:spacing w:line="247" w:lineRule="exact"/>
        <w:rPr>
          <w:sz w:val="20"/>
          <w:szCs w:val="20"/>
          <w:lang w:val="fr-FR"/>
        </w:rPr>
      </w:pPr>
    </w:p>
    <w:p w:rsidR="005C273B" w:rsidRPr="00735B8A" w:rsidRDefault="00735B8A">
      <w:pPr>
        <w:spacing w:line="236" w:lineRule="auto"/>
        <w:ind w:left="80"/>
        <w:jc w:val="both"/>
        <w:rPr>
          <w:sz w:val="20"/>
          <w:szCs w:val="20"/>
          <w:lang w:val="fr-FR"/>
        </w:rPr>
      </w:pPr>
      <w:r w:rsidRPr="00735B8A">
        <w:rPr>
          <w:rFonts w:eastAsia="Times New Roman"/>
          <w:sz w:val="20"/>
          <w:szCs w:val="20"/>
          <w:lang w:val="fr-FR"/>
        </w:rPr>
        <w:t>Pour protéger vos jeunes plants de ginseng, il est possible de créer des barrières et de placer des pièges pour inventorier et réduire la population des limaces. Celles-ci éviten</w:t>
      </w:r>
      <w:r w:rsidRPr="00735B8A">
        <w:rPr>
          <w:rFonts w:eastAsia="Times New Roman"/>
          <w:sz w:val="20"/>
          <w:szCs w:val="20"/>
          <w:lang w:val="fr-FR"/>
        </w:rPr>
        <w:t>t le matériel sec et abrasif comme la cendre de bois, la chaux, le sable, le gravier</w:t>
      </w:r>
    </w:p>
    <w:p w:rsidR="005C273B" w:rsidRPr="00735B8A" w:rsidRDefault="00735B8A">
      <w:pPr>
        <w:spacing w:line="20" w:lineRule="exact"/>
        <w:rPr>
          <w:sz w:val="20"/>
          <w:szCs w:val="20"/>
          <w:lang w:val="fr-FR"/>
        </w:rPr>
      </w:pPr>
      <w:r w:rsidRPr="00735B8A">
        <w:rPr>
          <w:sz w:val="20"/>
          <w:szCs w:val="20"/>
          <w:lang w:val="fr-FR"/>
        </w:rPr>
        <w:br w:type="column"/>
      </w:r>
    </w:p>
    <w:p w:rsidR="005C273B" w:rsidRPr="00735B8A" w:rsidRDefault="005C273B">
      <w:pPr>
        <w:spacing w:line="162" w:lineRule="exact"/>
        <w:rPr>
          <w:sz w:val="20"/>
          <w:szCs w:val="20"/>
          <w:lang w:val="fr-FR"/>
        </w:rPr>
      </w:pPr>
    </w:p>
    <w:p w:rsidR="005C273B" w:rsidRPr="00735B8A" w:rsidRDefault="00735B8A">
      <w:pPr>
        <w:spacing w:line="236" w:lineRule="auto"/>
        <w:jc w:val="both"/>
        <w:rPr>
          <w:sz w:val="20"/>
          <w:szCs w:val="20"/>
          <w:lang w:val="fr-FR"/>
        </w:rPr>
      </w:pPr>
      <w:proofErr w:type="gramStart"/>
      <w:r w:rsidRPr="00735B8A">
        <w:rPr>
          <w:rFonts w:eastAsia="Times New Roman"/>
          <w:sz w:val="20"/>
          <w:szCs w:val="20"/>
          <w:lang w:val="fr-FR"/>
        </w:rPr>
        <w:t>et</w:t>
      </w:r>
      <w:proofErr w:type="gramEnd"/>
      <w:r w:rsidRPr="00735B8A">
        <w:rPr>
          <w:rFonts w:eastAsia="Times New Roman"/>
          <w:sz w:val="20"/>
          <w:szCs w:val="20"/>
          <w:lang w:val="fr-FR"/>
        </w:rPr>
        <w:t xml:space="preserve"> la terre de diatomées qui est composée de fossiles d’algues microscopiques très coupants (Ellis and </w:t>
      </w:r>
      <w:proofErr w:type="spellStart"/>
      <w:r w:rsidRPr="00735B8A">
        <w:rPr>
          <w:rFonts w:eastAsia="Times New Roman"/>
          <w:sz w:val="20"/>
          <w:szCs w:val="20"/>
          <w:lang w:val="fr-FR"/>
        </w:rPr>
        <w:t>Rathwell</w:t>
      </w:r>
      <w:proofErr w:type="spellEnd"/>
      <w:r w:rsidRPr="00735B8A">
        <w:rPr>
          <w:rFonts w:eastAsia="Times New Roman"/>
          <w:sz w:val="20"/>
          <w:szCs w:val="20"/>
          <w:lang w:val="fr-FR"/>
        </w:rPr>
        <w:t xml:space="preserve"> 2012). Une barrière d’un pied de large d’un de ces matér</w:t>
      </w:r>
      <w:r w:rsidRPr="00735B8A">
        <w:rPr>
          <w:rFonts w:eastAsia="Times New Roman"/>
          <w:sz w:val="20"/>
          <w:szCs w:val="20"/>
          <w:lang w:val="fr-FR"/>
        </w:rPr>
        <w:t>iels autour du jardin peut-être efficace contre les limaces.</w:t>
      </w:r>
    </w:p>
    <w:p w:rsidR="005C273B" w:rsidRPr="00735B8A" w:rsidRDefault="005C273B">
      <w:pPr>
        <w:spacing w:line="247" w:lineRule="exact"/>
        <w:rPr>
          <w:sz w:val="20"/>
          <w:szCs w:val="20"/>
          <w:lang w:val="fr-FR"/>
        </w:rPr>
      </w:pPr>
    </w:p>
    <w:p w:rsidR="005C273B" w:rsidRPr="00735B8A" w:rsidRDefault="00735B8A">
      <w:pPr>
        <w:spacing w:line="238" w:lineRule="auto"/>
        <w:jc w:val="both"/>
        <w:rPr>
          <w:sz w:val="20"/>
          <w:szCs w:val="20"/>
          <w:lang w:val="fr-FR"/>
        </w:rPr>
      </w:pPr>
      <w:r w:rsidRPr="00735B8A">
        <w:rPr>
          <w:rFonts w:eastAsia="Times New Roman"/>
          <w:sz w:val="20"/>
          <w:szCs w:val="20"/>
          <w:lang w:val="fr-FR"/>
        </w:rPr>
        <w:t>Le ruban de cuivre est aussi un moyen efficace pour réduire la population des limaces. Étant donné qu’elles sont gluantes, celles-ci subiraient des petites décharges électriques au contact du cu</w:t>
      </w:r>
      <w:r w:rsidRPr="00735B8A">
        <w:rPr>
          <w:rFonts w:eastAsia="Times New Roman"/>
          <w:sz w:val="20"/>
          <w:szCs w:val="20"/>
          <w:lang w:val="fr-FR"/>
        </w:rPr>
        <w:t xml:space="preserve">ivre (Flint and </w:t>
      </w:r>
      <w:proofErr w:type="spellStart"/>
      <w:r w:rsidRPr="00735B8A">
        <w:rPr>
          <w:rFonts w:eastAsia="Times New Roman"/>
          <w:sz w:val="20"/>
          <w:szCs w:val="20"/>
          <w:lang w:val="fr-FR"/>
        </w:rPr>
        <w:t>Wilen</w:t>
      </w:r>
      <w:proofErr w:type="spellEnd"/>
      <w:r w:rsidRPr="00735B8A">
        <w:rPr>
          <w:rFonts w:eastAsia="Times New Roman"/>
          <w:sz w:val="20"/>
          <w:szCs w:val="20"/>
          <w:lang w:val="fr-FR"/>
        </w:rPr>
        <w:t xml:space="preserve"> 2009). La mouture de café ou une pulvérisation d’extrait de café peut aussi être un moyen de dissuasion envers les limaces, ainsi que l’ail en pulvérisation. Les pièges peuvent être efficaces sur de petites surfaces, et peuvent égalem</w:t>
      </w:r>
      <w:r w:rsidRPr="00735B8A">
        <w:rPr>
          <w:rFonts w:eastAsia="Times New Roman"/>
          <w:sz w:val="20"/>
          <w:szCs w:val="20"/>
          <w:lang w:val="fr-FR"/>
        </w:rPr>
        <w:t>ent aider à surveiller les niveaux de la population. Vérifiez sous le bois pourri pour voir s’il y a présence de limaces dans votre forêt.</w:t>
      </w:r>
    </w:p>
    <w:p w:rsidR="005C273B" w:rsidRPr="00735B8A" w:rsidRDefault="005C273B">
      <w:pPr>
        <w:spacing w:line="251" w:lineRule="exact"/>
        <w:rPr>
          <w:sz w:val="20"/>
          <w:szCs w:val="20"/>
          <w:lang w:val="fr-FR"/>
        </w:rPr>
      </w:pPr>
    </w:p>
    <w:p w:rsidR="005C273B" w:rsidRPr="00735B8A" w:rsidRDefault="00735B8A">
      <w:pPr>
        <w:spacing w:line="238" w:lineRule="auto"/>
        <w:jc w:val="both"/>
        <w:rPr>
          <w:sz w:val="20"/>
          <w:szCs w:val="20"/>
          <w:lang w:val="fr-FR"/>
        </w:rPr>
      </w:pPr>
      <w:r w:rsidRPr="00735B8A">
        <w:rPr>
          <w:rFonts w:eastAsia="Times New Roman"/>
          <w:sz w:val="20"/>
          <w:szCs w:val="20"/>
          <w:lang w:val="fr-FR"/>
        </w:rPr>
        <w:t>Les planches en bois qui sont légèrement surélevées en utilisant des petits morceaux de bois peuvent attirer les lim</w:t>
      </w:r>
      <w:r w:rsidRPr="00735B8A">
        <w:rPr>
          <w:rFonts w:eastAsia="Times New Roman"/>
          <w:sz w:val="20"/>
          <w:szCs w:val="20"/>
          <w:lang w:val="fr-FR"/>
        </w:rPr>
        <w:t>aces qui sont ensuite enlevées et écrasées. La bière vidée dans un contenant peut attirer les limaces. Celles-ci ramperont dans le contenant pour ensuite se noyer dans l’alcool. Dans l’exemple ci-dessous, un récipient en plastique avec un couvercle est uti</w:t>
      </w:r>
      <w:r w:rsidRPr="00735B8A">
        <w:rPr>
          <w:rFonts w:eastAsia="Times New Roman"/>
          <w:sz w:val="20"/>
          <w:szCs w:val="20"/>
          <w:lang w:val="fr-FR"/>
        </w:rPr>
        <w:t xml:space="preserve">lisé pour prévenir que la bière se dilue en cas de pluie. Alternativement, une bouteille de soda en plastique avec les extrémités coupées et inversées peut aussi fonctionner comme piège à limace (initialement présenté dans le bulletin V1 N2) (Ellis et </w:t>
      </w:r>
      <w:proofErr w:type="spellStart"/>
      <w:r w:rsidRPr="00735B8A">
        <w:rPr>
          <w:rFonts w:eastAsia="Times New Roman"/>
          <w:sz w:val="20"/>
          <w:szCs w:val="20"/>
          <w:lang w:val="fr-FR"/>
        </w:rPr>
        <w:t>Rath</w:t>
      </w:r>
      <w:r w:rsidRPr="00735B8A">
        <w:rPr>
          <w:rFonts w:eastAsia="Times New Roman"/>
          <w:sz w:val="20"/>
          <w:szCs w:val="20"/>
          <w:lang w:val="fr-FR"/>
        </w:rPr>
        <w:t>well</w:t>
      </w:r>
      <w:proofErr w:type="spellEnd"/>
      <w:r w:rsidRPr="00735B8A">
        <w:rPr>
          <w:rFonts w:eastAsia="Times New Roman"/>
          <w:sz w:val="20"/>
          <w:szCs w:val="20"/>
          <w:lang w:val="fr-FR"/>
        </w:rPr>
        <w:t xml:space="preserve"> 2012).</w:t>
      </w:r>
    </w:p>
    <w:p w:rsidR="005C273B" w:rsidRPr="00735B8A" w:rsidRDefault="005C273B">
      <w:pPr>
        <w:spacing w:line="299" w:lineRule="exact"/>
        <w:rPr>
          <w:sz w:val="20"/>
          <w:szCs w:val="20"/>
          <w:lang w:val="fr-FR"/>
        </w:rPr>
      </w:pPr>
    </w:p>
    <w:p w:rsidR="005C273B" w:rsidRPr="00735B8A" w:rsidRDefault="00735B8A">
      <w:pPr>
        <w:spacing w:line="238" w:lineRule="auto"/>
        <w:jc w:val="both"/>
        <w:rPr>
          <w:sz w:val="20"/>
          <w:szCs w:val="20"/>
          <w:lang w:val="fr-FR"/>
        </w:rPr>
      </w:pPr>
      <w:r w:rsidRPr="00735B8A">
        <w:rPr>
          <w:rFonts w:eastAsia="Times New Roman"/>
          <w:sz w:val="20"/>
          <w:szCs w:val="20"/>
          <w:lang w:val="fr-FR"/>
        </w:rPr>
        <w:t>L’utilisation d’appâts qui sont toxiques pour les escargots et les limaces peuvent également réduire les populations. Les produits à base de métaldéhyde sont communs, mais sont toxiques pour les chiens et les chats. Ceux-ci devraient donc être</w:t>
      </w:r>
      <w:r w:rsidRPr="00735B8A">
        <w:rPr>
          <w:rFonts w:eastAsia="Times New Roman"/>
          <w:sz w:val="20"/>
          <w:szCs w:val="20"/>
          <w:lang w:val="fr-FR"/>
        </w:rPr>
        <w:t xml:space="preserve"> évités. Les appâts à base de métaldéhyde contenant du </w:t>
      </w:r>
      <w:proofErr w:type="spellStart"/>
      <w:r w:rsidRPr="00735B8A">
        <w:rPr>
          <w:rFonts w:eastAsia="Times New Roman"/>
          <w:sz w:val="20"/>
          <w:szCs w:val="20"/>
          <w:lang w:val="fr-FR"/>
        </w:rPr>
        <w:t>carbaryl</w:t>
      </w:r>
      <w:proofErr w:type="spellEnd"/>
      <w:r w:rsidRPr="00735B8A">
        <w:rPr>
          <w:rFonts w:eastAsia="Times New Roman"/>
          <w:sz w:val="20"/>
          <w:szCs w:val="20"/>
          <w:lang w:val="fr-FR"/>
        </w:rPr>
        <w:t xml:space="preserve"> sont encore plus toxiques! Les effets des appâts à base de phosphate de fer (et </w:t>
      </w:r>
      <w:proofErr w:type="spellStart"/>
      <w:r w:rsidRPr="00735B8A">
        <w:rPr>
          <w:rFonts w:eastAsia="Times New Roman"/>
          <w:sz w:val="20"/>
          <w:szCs w:val="20"/>
          <w:lang w:val="fr-FR"/>
        </w:rPr>
        <w:t>Sluggo</w:t>
      </w:r>
      <w:proofErr w:type="spellEnd"/>
      <w:r w:rsidRPr="00735B8A">
        <w:rPr>
          <w:rFonts w:eastAsia="Times New Roman"/>
          <w:sz w:val="20"/>
          <w:szCs w:val="20"/>
          <w:lang w:val="fr-FR"/>
        </w:rPr>
        <w:t xml:space="preserve"> </w:t>
      </w:r>
      <w:proofErr w:type="spellStart"/>
      <w:r w:rsidRPr="00735B8A">
        <w:rPr>
          <w:rFonts w:eastAsia="Times New Roman"/>
          <w:sz w:val="20"/>
          <w:szCs w:val="20"/>
          <w:lang w:val="fr-FR"/>
        </w:rPr>
        <w:t>Escar</w:t>
      </w:r>
      <w:proofErr w:type="spellEnd"/>
      <w:r w:rsidRPr="00735B8A">
        <w:rPr>
          <w:rFonts w:eastAsia="Times New Roman"/>
          <w:sz w:val="20"/>
          <w:szCs w:val="20"/>
          <w:lang w:val="fr-FR"/>
        </w:rPr>
        <w:t>-Go) ingérés par les enfants, les animaux domestiques et sauvages n’ont pas été suffisamment étudiés</w:t>
      </w:r>
      <w:r w:rsidRPr="00735B8A">
        <w:rPr>
          <w:rFonts w:eastAsia="Times New Roman"/>
          <w:sz w:val="20"/>
          <w:szCs w:val="20"/>
          <w:lang w:val="fr-FR"/>
        </w:rPr>
        <w:t>.</w:t>
      </w:r>
    </w:p>
    <w:p w:rsidR="005C273B" w:rsidRPr="00735B8A" w:rsidRDefault="005C273B">
      <w:pPr>
        <w:spacing w:line="234" w:lineRule="exact"/>
        <w:rPr>
          <w:sz w:val="20"/>
          <w:szCs w:val="20"/>
          <w:lang w:val="fr-FR"/>
        </w:rPr>
      </w:pPr>
    </w:p>
    <w:p w:rsidR="005C273B" w:rsidRDefault="00735B8A">
      <w:pPr>
        <w:ind w:left="3600"/>
        <w:rPr>
          <w:sz w:val="20"/>
          <w:szCs w:val="20"/>
        </w:rPr>
      </w:pPr>
      <w:r>
        <w:rPr>
          <w:rFonts w:eastAsia="Times New Roman"/>
          <w:i/>
          <w:iCs/>
          <w:sz w:val="20"/>
          <w:szCs w:val="20"/>
        </w:rPr>
        <w:t xml:space="preserve">- Rudi </w:t>
      </w:r>
      <w:proofErr w:type="spellStart"/>
      <w:r>
        <w:rPr>
          <w:rFonts w:eastAsia="Times New Roman"/>
          <w:i/>
          <w:iCs/>
          <w:sz w:val="20"/>
          <w:szCs w:val="20"/>
        </w:rPr>
        <w:t>Markgraf</w:t>
      </w:r>
      <w:proofErr w:type="spellEnd"/>
    </w:p>
    <w:p w:rsidR="005C273B" w:rsidRDefault="005C273B">
      <w:pPr>
        <w:spacing w:line="200" w:lineRule="exact"/>
        <w:rPr>
          <w:sz w:val="20"/>
          <w:szCs w:val="20"/>
        </w:rPr>
      </w:pPr>
    </w:p>
    <w:p w:rsidR="005C273B" w:rsidRDefault="005C273B">
      <w:pPr>
        <w:sectPr w:rsidR="005C273B">
          <w:type w:val="continuous"/>
          <w:pgSz w:w="12240" w:h="15840"/>
          <w:pgMar w:top="659" w:right="680" w:bottom="61" w:left="600" w:header="0" w:footer="0" w:gutter="0"/>
          <w:cols w:num="2" w:space="720" w:equalWidth="0">
            <w:col w:w="5380" w:space="200"/>
            <w:col w:w="5380"/>
          </w:cols>
        </w:sectPr>
      </w:pPr>
    </w:p>
    <w:p w:rsidR="005C273B" w:rsidRDefault="005C273B">
      <w:pPr>
        <w:spacing w:line="200" w:lineRule="exact"/>
        <w:rPr>
          <w:sz w:val="20"/>
          <w:szCs w:val="20"/>
        </w:rPr>
      </w:pPr>
    </w:p>
    <w:p w:rsidR="005C273B" w:rsidRDefault="005C273B">
      <w:pPr>
        <w:spacing w:line="200" w:lineRule="exact"/>
        <w:rPr>
          <w:sz w:val="20"/>
          <w:szCs w:val="20"/>
        </w:rPr>
      </w:pPr>
    </w:p>
    <w:p w:rsidR="005C273B" w:rsidRDefault="005C273B">
      <w:pPr>
        <w:spacing w:line="200" w:lineRule="exact"/>
        <w:rPr>
          <w:sz w:val="20"/>
          <w:szCs w:val="20"/>
        </w:rPr>
      </w:pPr>
    </w:p>
    <w:p w:rsidR="005C273B" w:rsidRDefault="005C273B">
      <w:pPr>
        <w:spacing w:line="200" w:lineRule="exact"/>
        <w:rPr>
          <w:sz w:val="20"/>
          <w:szCs w:val="20"/>
        </w:rPr>
      </w:pPr>
    </w:p>
    <w:p w:rsidR="005C273B" w:rsidRDefault="005C273B">
      <w:pPr>
        <w:spacing w:line="200" w:lineRule="exact"/>
        <w:rPr>
          <w:sz w:val="20"/>
          <w:szCs w:val="20"/>
        </w:rPr>
      </w:pPr>
    </w:p>
    <w:p w:rsidR="005C273B" w:rsidRDefault="005C273B">
      <w:pPr>
        <w:spacing w:line="200" w:lineRule="exact"/>
        <w:rPr>
          <w:sz w:val="20"/>
          <w:szCs w:val="20"/>
        </w:rPr>
      </w:pPr>
    </w:p>
    <w:p w:rsidR="005C273B" w:rsidRDefault="005C273B">
      <w:pPr>
        <w:spacing w:line="200" w:lineRule="exact"/>
        <w:rPr>
          <w:sz w:val="20"/>
          <w:szCs w:val="20"/>
        </w:rPr>
      </w:pPr>
    </w:p>
    <w:p w:rsidR="005C273B" w:rsidRDefault="005C273B">
      <w:pPr>
        <w:spacing w:line="200" w:lineRule="exact"/>
        <w:rPr>
          <w:sz w:val="20"/>
          <w:szCs w:val="20"/>
        </w:rPr>
      </w:pPr>
    </w:p>
    <w:p w:rsidR="005C273B" w:rsidRDefault="005C273B">
      <w:pPr>
        <w:spacing w:line="200" w:lineRule="exact"/>
        <w:rPr>
          <w:sz w:val="20"/>
          <w:szCs w:val="20"/>
        </w:rPr>
      </w:pPr>
    </w:p>
    <w:p w:rsidR="005C273B" w:rsidRDefault="005C273B">
      <w:pPr>
        <w:spacing w:line="200" w:lineRule="exact"/>
        <w:rPr>
          <w:sz w:val="20"/>
          <w:szCs w:val="20"/>
        </w:rPr>
      </w:pPr>
    </w:p>
    <w:p w:rsidR="005C273B" w:rsidRDefault="005C273B">
      <w:pPr>
        <w:spacing w:line="200" w:lineRule="exact"/>
        <w:rPr>
          <w:sz w:val="20"/>
          <w:szCs w:val="20"/>
        </w:rPr>
      </w:pPr>
    </w:p>
    <w:p w:rsidR="005C273B" w:rsidRDefault="005C273B">
      <w:pPr>
        <w:spacing w:line="200" w:lineRule="exact"/>
        <w:rPr>
          <w:sz w:val="20"/>
          <w:szCs w:val="20"/>
        </w:rPr>
      </w:pPr>
    </w:p>
    <w:p w:rsidR="005C273B" w:rsidRDefault="005C273B">
      <w:pPr>
        <w:spacing w:line="200" w:lineRule="exact"/>
        <w:rPr>
          <w:sz w:val="20"/>
          <w:szCs w:val="20"/>
        </w:rPr>
      </w:pPr>
    </w:p>
    <w:p w:rsidR="005C273B" w:rsidRDefault="005C273B">
      <w:pPr>
        <w:spacing w:line="200" w:lineRule="exact"/>
        <w:rPr>
          <w:sz w:val="20"/>
          <w:szCs w:val="20"/>
        </w:rPr>
      </w:pPr>
    </w:p>
    <w:p w:rsidR="005C273B" w:rsidRDefault="005C273B">
      <w:pPr>
        <w:spacing w:line="200" w:lineRule="exact"/>
        <w:rPr>
          <w:sz w:val="20"/>
          <w:szCs w:val="20"/>
        </w:rPr>
      </w:pPr>
    </w:p>
    <w:p w:rsidR="005C273B" w:rsidRDefault="005C273B">
      <w:pPr>
        <w:spacing w:line="200" w:lineRule="exact"/>
        <w:rPr>
          <w:sz w:val="20"/>
          <w:szCs w:val="20"/>
        </w:rPr>
      </w:pPr>
    </w:p>
    <w:p w:rsidR="005C273B" w:rsidRDefault="005C273B">
      <w:pPr>
        <w:spacing w:line="200" w:lineRule="exact"/>
        <w:rPr>
          <w:sz w:val="20"/>
          <w:szCs w:val="20"/>
        </w:rPr>
      </w:pPr>
    </w:p>
    <w:p w:rsidR="005C273B" w:rsidRDefault="005C273B">
      <w:pPr>
        <w:spacing w:line="200" w:lineRule="exact"/>
        <w:rPr>
          <w:sz w:val="20"/>
          <w:szCs w:val="20"/>
        </w:rPr>
      </w:pPr>
    </w:p>
    <w:p w:rsidR="005C273B" w:rsidRDefault="005C273B">
      <w:pPr>
        <w:spacing w:line="286" w:lineRule="exact"/>
        <w:rPr>
          <w:sz w:val="20"/>
          <w:szCs w:val="20"/>
        </w:rPr>
      </w:pPr>
    </w:p>
    <w:p w:rsidR="005C273B" w:rsidRDefault="00735B8A">
      <w:pPr>
        <w:rPr>
          <w:sz w:val="20"/>
          <w:szCs w:val="20"/>
        </w:rPr>
      </w:pPr>
      <w:r>
        <w:rPr>
          <w:rFonts w:eastAsia="Times New Roman"/>
          <w:b/>
          <w:bCs/>
          <w:color w:val="006599"/>
          <w:sz w:val="24"/>
          <w:szCs w:val="24"/>
        </w:rPr>
        <w:t>RÉFÉRENCES</w:t>
      </w:r>
    </w:p>
    <w:p w:rsidR="005C273B" w:rsidRDefault="005C273B">
      <w:pPr>
        <w:spacing w:line="240" w:lineRule="exact"/>
        <w:rPr>
          <w:sz w:val="20"/>
          <w:szCs w:val="20"/>
        </w:rPr>
      </w:pPr>
    </w:p>
    <w:p w:rsidR="005C273B" w:rsidRDefault="00735B8A">
      <w:pPr>
        <w:spacing w:line="232" w:lineRule="auto"/>
        <w:ind w:right="1920"/>
        <w:rPr>
          <w:sz w:val="20"/>
          <w:szCs w:val="20"/>
        </w:rPr>
      </w:pPr>
      <w:r>
        <w:rPr>
          <w:rFonts w:eastAsia="Times New Roman"/>
          <w:sz w:val="20"/>
          <w:szCs w:val="20"/>
        </w:rPr>
        <w:t>Ellis, C. R. and B. W. Rathwell, 2012, Pest diagnostic clinic, Laboratory services division, University of Guelph, www.guelphlabservices.com/files/PDC/034SlugSnail.pdf</w:t>
      </w:r>
    </w:p>
    <w:p w:rsidR="005C273B" w:rsidRDefault="005C273B">
      <w:pPr>
        <w:spacing w:line="247" w:lineRule="exact"/>
        <w:rPr>
          <w:sz w:val="20"/>
          <w:szCs w:val="20"/>
        </w:rPr>
      </w:pPr>
    </w:p>
    <w:p w:rsidR="005C273B" w:rsidRDefault="00735B8A">
      <w:pPr>
        <w:spacing w:line="232" w:lineRule="auto"/>
        <w:ind w:right="2200"/>
        <w:rPr>
          <w:sz w:val="20"/>
          <w:szCs w:val="20"/>
        </w:rPr>
      </w:pPr>
      <w:r>
        <w:rPr>
          <w:rFonts w:eastAsia="Times New Roman"/>
          <w:sz w:val="20"/>
          <w:szCs w:val="20"/>
        </w:rPr>
        <w:t>Flint, M.</w:t>
      </w:r>
      <w:r>
        <w:rPr>
          <w:rFonts w:eastAsia="Times New Roman"/>
          <w:sz w:val="20"/>
          <w:szCs w:val="20"/>
        </w:rPr>
        <w:t xml:space="preserve"> L. and C. A. Wilen, 2009, University of California Statewide Integrated Pest Management program, www.ipm.ucdavis.edu/PMG/PESTNOTES/pn7427.html</w:t>
      </w:r>
    </w:p>
    <w:p w:rsidR="005C273B" w:rsidRDefault="005C273B">
      <w:pPr>
        <w:sectPr w:rsidR="005C273B">
          <w:type w:val="continuous"/>
          <w:pgSz w:w="12240" w:h="15840"/>
          <w:pgMar w:top="659" w:right="680" w:bottom="61" w:left="600" w:header="0" w:footer="0" w:gutter="0"/>
          <w:cols w:space="720" w:equalWidth="0">
            <w:col w:w="10960"/>
          </w:cols>
        </w:sectPr>
      </w:pPr>
    </w:p>
    <w:p w:rsidR="005C273B" w:rsidRPr="00735B8A" w:rsidRDefault="005C273B">
      <w:pPr>
        <w:ind w:left="1880"/>
        <w:rPr>
          <w:sz w:val="20"/>
          <w:szCs w:val="20"/>
          <w:lang w:val="fr-FR"/>
        </w:rPr>
      </w:pPr>
      <w:bookmarkStart w:id="1" w:name="page3"/>
      <w:bookmarkEnd w:id="1"/>
      <w:r w:rsidRPr="005C273B">
        <w:rPr>
          <w:rFonts w:eastAsia="Times New Roman"/>
          <w:b/>
          <w:bCs/>
          <w:color w:val="006599"/>
          <w:sz w:val="28"/>
          <w:szCs w:val="28"/>
        </w:rPr>
        <w:lastRenderedPageBreak/>
        <w:pict>
          <v:rect id="Shape 9" o:spid="_x0000_s1034" style="position:absolute;left:0;text-align:left;margin-left:18pt;margin-top:18pt;width:6pt;height:756.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006599" stroked="f">
            <w10:wrap anchorx="page" anchory="page"/>
          </v:rect>
        </w:pict>
      </w:r>
      <w:r w:rsidRPr="005C273B">
        <w:rPr>
          <w:rFonts w:eastAsia="Times New Roman"/>
          <w:b/>
          <w:bCs/>
          <w:color w:val="006599"/>
          <w:sz w:val="28"/>
          <w:szCs w:val="28"/>
        </w:rPr>
        <w:pict>
          <v:rect id="Shape 10" o:spid="_x0000_s1035" style="position:absolute;left:0;text-align:left;margin-left:588.1pt;margin-top:18pt;width:6pt;height:756.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006599" stroked="f">
            <w10:wrap anchorx="page" anchory="page"/>
          </v:rect>
        </w:pict>
      </w:r>
      <w:r w:rsidRPr="005C273B">
        <w:rPr>
          <w:rFonts w:eastAsia="Times New Roman"/>
          <w:b/>
          <w:bCs/>
          <w:color w:val="006599"/>
          <w:sz w:val="28"/>
          <w:szCs w:val="28"/>
        </w:rPr>
        <w:pict>
          <v:rect id="Shape 11" o:spid="_x0000_s1036" style="position:absolute;left:0;text-align:left;margin-left:18pt;margin-top:18pt;width:576.1pt;height:6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006599" stroked="f">
            <w10:wrap anchorx="page" anchory="page"/>
          </v:rect>
        </w:pict>
      </w:r>
      <w:r w:rsidR="00735B8A" w:rsidRPr="00735B8A">
        <w:rPr>
          <w:rFonts w:eastAsia="Times New Roman"/>
          <w:b/>
          <w:bCs/>
          <w:color w:val="006599"/>
          <w:sz w:val="28"/>
          <w:szCs w:val="28"/>
          <w:lang w:val="fr-FR"/>
        </w:rPr>
        <w:t>QUELQUES OUTILS POUR CONTRÔLER LES LIMACES</w:t>
      </w:r>
    </w:p>
    <w:p w:rsidR="005C273B" w:rsidRPr="00735B8A" w:rsidRDefault="00735B8A">
      <w:pPr>
        <w:spacing w:line="20" w:lineRule="exact"/>
        <w:rPr>
          <w:sz w:val="20"/>
          <w:szCs w:val="20"/>
          <w:lang w:val="fr-FR"/>
        </w:rPr>
      </w:pPr>
      <w:r>
        <w:rPr>
          <w:noProof/>
          <w:sz w:val="20"/>
          <w:szCs w:val="20"/>
        </w:rPr>
        <w:drawing>
          <wp:anchor distT="0" distB="0" distL="114300" distR="114300" simplePos="0" relativeHeight="251654144" behindDoc="1" locked="0" layoutInCell="0" allowOverlap="1">
            <wp:simplePos x="0" y="0"/>
            <wp:positionH relativeFrom="column">
              <wp:posOffset>-12065</wp:posOffset>
            </wp:positionH>
            <wp:positionV relativeFrom="paragraph">
              <wp:posOffset>69850</wp:posOffset>
            </wp:positionV>
            <wp:extent cx="6602095" cy="30861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extLst>
                        <a:ext uri="{28A0092B-C50C-407E-A947-70E740481C1C}"/>
                      </a:extLst>
                    </a:blip>
                    <a:srcRect/>
                    <a:stretch>
                      <a:fillRect/>
                    </a:stretch>
                  </pic:blipFill>
                  <pic:spPr bwMode="auto">
                    <a:xfrm>
                      <a:off x="0" y="0"/>
                      <a:ext cx="6602095" cy="3086100"/>
                    </a:xfrm>
                    <a:prstGeom prst="rect">
                      <a:avLst/>
                    </a:prstGeom>
                    <a:noFill/>
                  </pic:spPr>
                </pic:pic>
              </a:graphicData>
            </a:graphic>
          </wp:anchor>
        </w:drawing>
      </w: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75" w:lineRule="exact"/>
        <w:rPr>
          <w:sz w:val="20"/>
          <w:szCs w:val="20"/>
          <w:lang w:val="fr-FR"/>
        </w:rPr>
      </w:pPr>
    </w:p>
    <w:p w:rsidR="005C273B" w:rsidRPr="00735B8A" w:rsidRDefault="00735B8A">
      <w:pPr>
        <w:ind w:left="40"/>
        <w:rPr>
          <w:sz w:val="20"/>
          <w:szCs w:val="20"/>
          <w:lang w:val="fr-FR"/>
        </w:rPr>
      </w:pPr>
      <w:r w:rsidRPr="00735B8A">
        <w:rPr>
          <w:rFonts w:eastAsia="Times New Roman"/>
          <w:b/>
          <w:bCs/>
          <w:color w:val="006599"/>
          <w:sz w:val="28"/>
          <w:szCs w:val="28"/>
          <w:lang w:val="fr-FR"/>
        </w:rPr>
        <w:t xml:space="preserve">Treillis en cuivre </w:t>
      </w:r>
      <w:r w:rsidRPr="00735B8A">
        <w:rPr>
          <w:rFonts w:eastAsia="Times New Roman"/>
          <w:b/>
          <w:bCs/>
          <w:color w:val="006599"/>
          <w:sz w:val="28"/>
          <w:szCs w:val="28"/>
          <w:lang w:val="fr-FR"/>
        </w:rPr>
        <w:t xml:space="preserve">(Lee </w:t>
      </w:r>
      <w:proofErr w:type="spellStart"/>
      <w:r w:rsidRPr="00735B8A">
        <w:rPr>
          <w:rFonts w:eastAsia="Times New Roman"/>
          <w:b/>
          <w:bCs/>
          <w:color w:val="006599"/>
          <w:sz w:val="28"/>
          <w:szCs w:val="28"/>
          <w:lang w:val="fr-FR"/>
        </w:rPr>
        <w:t>Valley</w:t>
      </w:r>
      <w:proofErr w:type="spellEnd"/>
      <w:r w:rsidRPr="00735B8A">
        <w:rPr>
          <w:rFonts w:eastAsia="Times New Roman"/>
          <w:b/>
          <w:bCs/>
          <w:color w:val="006599"/>
          <w:sz w:val="28"/>
          <w:szCs w:val="28"/>
          <w:lang w:val="fr-FR"/>
        </w:rPr>
        <w:t>)</w:t>
      </w:r>
    </w:p>
    <w:p w:rsidR="005C273B" w:rsidRPr="00735B8A" w:rsidRDefault="00735B8A">
      <w:pPr>
        <w:spacing w:line="20" w:lineRule="exact"/>
        <w:rPr>
          <w:sz w:val="20"/>
          <w:szCs w:val="20"/>
          <w:lang w:val="fr-FR"/>
        </w:rPr>
      </w:pPr>
      <w:r>
        <w:rPr>
          <w:noProof/>
          <w:sz w:val="20"/>
          <w:szCs w:val="20"/>
        </w:rPr>
        <w:drawing>
          <wp:anchor distT="0" distB="0" distL="114300" distR="114300" simplePos="0" relativeHeight="251655168" behindDoc="1" locked="0" layoutInCell="0" allowOverlap="1">
            <wp:simplePos x="0" y="0"/>
            <wp:positionH relativeFrom="column">
              <wp:posOffset>330200</wp:posOffset>
            </wp:positionH>
            <wp:positionV relativeFrom="paragraph">
              <wp:posOffset>153670</wp:posOffset>
            </wp:positionV>
            <wp:extent cx="6685915" cy="54895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extLst>
                    </a:blip>
                    <a:srcRect/>
                    <a:stretch>
                      <a:fillRect/>
                    </a:stretch>
                  </pic:blipFill>
                  <pic:spPr bwMode="auto">
                    <a:xfrm>
                      <a:off x="0" y="0"/>
                      <a:ext cx="6685915" cy="5489575"/>
                    </a:xfrm>
                    <a:prstGeom prst="rect">
                      <a:avLst/>
                    </a:prstGeom>
                    <a:noFill/>
                  </pic:spPr>
                </pic:pic>
              </a:graphicData>
            </a:graphic>
          </wp:anchor>
        </w:drawing>
      </w: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302" w:lineRule="exact"/>
        <w:rPr>
          <w:sz w:val="20"/>
          <w:szCs w:val="20"/>
          <w:lang w:val="fr-FR"/>
        </w:rPr>
      </w:pPr>
    </w:p>
    <w:p w:rsidR="005C273B" w:rsidRPr="00735B8A" w:rsidRDefault="00735B8A">
      <w:pPr>
        <w:ind w:left="9980"/>
        <w:rPr>
          <w:sz w:val="20"/>
          <w:szCs w:val="20"/>
          <w:lang w:val="fr-FR"/>
        </w:rPr>
      </w:pPr>
      <w:r w:rsidRPr="00735B8A">
        <w:rPr>
          <w:rFonts w:eastAsia="Times New Roman"/>
          <w:b/>
          <w:bCs/>
          <w:color w:val="006599"/>
          <w:sz w:val="23"/>
          <w:szCs w:val="23"/>
          <w:lang w:val="fr-FR"/>
        </w:rPr>
        <w:t>N’oubliez</w:t>
      </w:r>
    </w:p>
    <w:p w:rsidR="005C273B" w:rsidRPr="00735B8A" w:rsidRDefault="00735B8A">
      <w:pPr>
        <w:ind w:left="9980"/>
        <w:rPr>
          <w:sz w:val="20"/>
          <w:szCs w:val="20"/>
          <w:lang w:val="fr-FR"/>
        </w:rPr>
      </w:pPr>
      <w:proofErr w:type="gramStart"/>
      <w:r w:rsidRPr="00735B8A">
        <w:rPr>
          <w:rFonts w:eastAsia="Times New Roman"/>
          <w:b/>
          <w:bCs/>
          <w:color w:val="006599"/>
          <w:sz w:val="24"/>
          <w:szCs w:val="24"/>
          <w:lang w:val="fr-FR"/>
        </w:rPr>
        <w:t>pas</w:t>
      </w:r>
      <w:proofErr w:type="gramEnd"/>
      <w:r w:rsidRPr="00735B8A">
        <w:rPr>
          <w:rFonts w:eastAsia="Times New Roman"/>
          <w:b/>
          <w:bCs/>
          <w:color w:val="006599"/>
          <w:sz w:val="24"/>
          <w:szCs w:val="24"/>
          <w:lang w:val="fr-FR"/>
        </w:rPr>
        <w:t xml:space="preserve"> de</w:t>
      </w:r>
    </w:p>
    <w:p w:rsidR="005C273B" w:rsidRPr="00735B8A" w:rsidRDefault="00735B8A">
      <w:pPr>
        <w:ind w:left="9980"/>
        <w:rPr>
          <w:sz w:val="20"/>
          <w:szCs w:val="20"/>
          <w:lang w:val="fr-FR"/>
        </w:rPr>
      </w:pPr>
      <w:proofErr w:type="gramStart"/>
      <w:r w:rsidRPr="00735B8A">
        <w:rPr>
          <w:rFonts w:eastAsia="Times New Roman"/>
          <w:b/>
          <w:bCs/>
          <w:color w:val="006599"/>
          <w:sz w:val="24"/>
          <w:szCs w:val="24"/>
          <w:lang w:val="fr-FR"/>
        </w:rPr>
        <w:t>mettre</w:t>
      </w:r>
      <w:proofErr w:type="gramEnd"/>
      <w:r w:rsidRPr="00735B8A">
        <w:rPr>
          <w:rFonts w:eastAsia="Times New Roman"/>
          <w:b/>
          <w:bCs/>
          <w:color w:val="006599"/>
          <w:sz w:val="24"/>
          <w:szCs w:val="24"/>
          <w:lang w:val="fr-FR"/>
        </w:rPr>
        <w:t xml:space="preserve"> le</w:t>
      </w:r>
    </w:p>
    <w:p w:rsidR="005C273B" w:rsidRPr="00735B8A" w:rsidRDefault="00735B8A">
      <w:pPr>
        <w:ind w:left="9980"/>
        <w:rPr>
          <w:sz w:val="20"/>
          <w:szCs w:val="20"/>
          <w:lang w:val="fr-FR"/>
        </w:rPr>
      </w:pPr>
      <w:proofErr w:type="gramStart"/>
      <w:r w:rsidRPr="00735B8A">
        <w:rPr>
          <w:rFonts w:eastAsia="Times New Roman"/>
          <w:b/>
          <w:bCs/>
          <w:color w:val="006599"/>
          <w:sz w:val="24"/>
          <w:szCs w:val="24"/>
          <w:lang w:val="fr-FR"/>
        </w:rPr>
        <w:t>couvercle</w:t>
      </w:r>
      <w:proofErr w:type="gramEnd"/>
    </w:p>
    <w:p w:rsidR="005C273B" w:rsidRPr="00735B8A" w:rsidRDefault="00735B8A">
      <w:pPr>
        <w:ind w:left="9980"/>
        <w:rPr>
          <w:sz w:val="20"/>
          <w:szCs w:val="20"/>
          <w:lang w:val="fr-FR"/>
        </w:rPr>
      </w:pPr>
      <w:proofErr w:type="gramStart"/>
      <w:r w:rsidRPr="00735B8A">
        <w:rPr>
          <w:rFonts w:eastAsia="Times New Roman"/>
          <w:b/>
          <w:bCs/>
          <w:color w:val="006599"/>
          <w:sz w:val="24"/>
          <w:szCs w:val="24"/>
          <w:lang w:val="fr-FR"/>
        </w:rPr>
        <w:t>sur</w:t>
      </w:r>
      <w:proofErr w:type="gramEnd"/>
      <w:r w:rsidRPr="00735B8A">
        <w:rPr>
          <w:rFonts w:eastAsia="Times New Roman"/>
          <w:b/>
          <w:bCs/>
          <w:color w:val="006599"/>
          <w:sz w:val="24"/>
          <w:szCs w:val="24"/>
          <w:lang w:val="fr-FR"/>
        </w:rPr>
        <w:t xml:space="preserve"> le pot</w:t>
      </w:r>
    </w:p>
    <w:p w:rsidR="005C273B" w:rsidRPr="00735B8A" w:rsidRDefault="00735B8A">
      <w:pPr>
        <w:ind w:left="9980"/>
        <w:rPr>
          <w:sz w:val="20"/>
          <w:szCs w:val="20"/>
          <w:lang w:val="fr-FR"/>
        </w:rPr>
      </w:pPr>
      <w:proofErr w:type="gramStart"/>
      <w:r w:rsidRPr="00735B8A">
        <w:rPr>
          <w:rFonts w:eastAsia="Times New Roman"/>
          <w:b/>
          <w:bCs/>
          <w:color w:val="006599"/>
          <w:sz w:val="24"/>
          <w:szCs w:val="24"/>
          <w:lang w:val="fr-FR"/>
        </w:rPr>
        <w:t>de</w:t>
      </w:r>
      <w:proofErr w:type="gramEnd"/>
    </w:p>
    <w:p w:rsidR="005C273B" w:rsidRPr="00735B8A" w:rsidRDefault="00735B8A">
      <w:pPr>
        <w:ind w:left="9980"/>
        <w:rPr>
          <w:sz w:val="20"/>
          <w:szCs w:val="20"/>
          <w:lang w:val="fr-FR"/>
        </w:rPr>
      </w:pPr>
      <w:proofErr w:type="gramStart"/>
      <w:r w:rsidRPr="00735B8A">
        <w:rPr>
          <w:rFonts w:eastAsia="Times New Roman"/>
          <w:b/>
          <w:bCs/>
          <w:color w:val="006599"/>
          <w:sz w:val="24"/>
          <w:szCs w:val="24"/>
          <w:lang w:val="fr-FR"/>
        </w:rPr>
        <w:t>yogourt</w:t>
      </w:r>
      <w:proofErr w:type="gramEnd"/>
      <w:r w:rsidRPr="00735B8A">
        <w:rPr>
          <w:rFonts w:eastAsia="Times New Roman"/>
          <w:b/>
          <w:bCs/>
          <w:color w:val="006599"/>
          <w:sz w:val="24"/>
          <w:szCs w:val="24"/>
          <w:lang w:val="fr-FR"/>
        </w:rPr>
        <w:t>!</w:t>
      </w: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50" w:lineRule="exact"/>
        <w:rPr>
          <w:sz w:val="20"/>
          <w:szCs w:val="20"/>
          <w:lang w:val="fr-FR"/>
        </w:rPr>
      </w:pPr>
    </w:p>
    <w:p w:rsidR="005C273B" w:rsidRPr="00735B8A" w:rsidRDefault="00735B8A">
      <w:pPr>
        <w:spacing w:line="234" w:lineRule="auto"/>
        <w:ind w:left="5400" w:right="180"/>
        <w:rPr>
          <w:sz w:val="20"/>
          <w:szCs w:val="20"/>
          <w:lang w:val="fr-FR"/>
        </w:rPr>
      </w:pPr>
      <w:r w:rsidRPr="00735B8A">
        <w:rPr>
          <w:rFonts w:eastAsia="Times New Roman"/>
          <w:b/>
          <w:bCs/>
          <w:color w:val="006599"/>
          <w:sz w:val="28"/>
          <w:szCs w:val="28"/>
          <w:lang w:val="fr-FR"/>
        </w:rPr>
        <w:t>Piège à limace fait à partir d’un contenant de yogourt</w:t>
      </w: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18" w:lineRule="exact"/>
        <w:rPr>
          <w:sz w:val="20"/>
          <w:szCs w:val="20"/>
          <w:lang w:val="fr-FR"/>
        </w:rPr>
      </w:pPr>
    </w:p>
    <w:p w:rsidR="005C273B" w:rsidRPr="00735B8A" w:rsidRDefault="00735B8A">
      <w:pPr>
        <w:rPr>
          <w:sz w:val="20"/>
          <w:szCs w:val="20"/>
          <w:lang w:val="fr-FR"/>
        </w:rPr>
      </w:pPr>
      <w:r w:rsidRPr="00735B8A">
        <w:rPr>
          <w:rFonts w:eastAsia="Times New Roman"/>
          <w:b/>
          <w:bCs/>
          <w:color w:val="006599"/>
          <w:sz w:val="28"/>
          <w:szCs w:val="28"/>
          <w:lang w:val="fr-FR"/>
        </w:rPr>
        <w:t xml:space="preserve">Ruban adhésif repousse-limaces (Lee </w:t>
      </w:r>
      <w:proofErr w:type="spellStart"/>
      <w:r w:rsidRPr="00735B8A">
        <w:rPr>
          <w:rFonts w:eastAsia="Times New Roman"/>
          <w:b/>
          <w:bCs/>
          <w:color w:val="006599"/>
          <w:sz w:val="28"/>
          <w:szCs w:val="28"/>
          <w:lang w:val="fr-FR"/>
        </w:rPr>
        <w:t>Valley</w:t>
      </w:r>
      <w:proofErr w:type="spellEnd"/>
      <w:r w:rsidRPr="00735B8A">
        <w:rPr>
          <w:rFonts w:eastAsia="Times New Roman"/>
          <w:b/>
          <w:bCs/>
          <w:color w:val="006599"/>
          <w:sz w:val="28"/>
          <w:szCs w:val="28"/>
          <w:lang w:val="fr-FR"/>
        </w:rPr>
        <w:t>)</w:t>
      </w:r>
    </w:p>
    <w:p w:rsidR="005C273B" w:rsidRPr="00735B8A" w:rsidRDefault="00735B8A">
      <w:pPr>
        <w:spacing w:line="20" w:lineRule="exact"/>
        <w:rPr>
          <w:sz w:val="20"/>
          <w:szCs w:val="20"/>
          <w:lang w:val="fr-FR"/>
        </w:rPr>
      </w:pPr>
      <w:r>
        <w:rPr>
          <w:noProof/>
          <w:sz w:val="20"/>
          <w:szCs w:val="20"/>
        </w:rPr>
        <w:drawing>
          <wp:anchor distT="0" distB="0" distL="114300" distR="114300" simplePos="0" relativeHeight="251656192" behindDoc="1" locked="0" layoutInCell="0" allowOverlap="1">
            <wp:simplePos x="0" y="0"/>
            <wp:positionH relativeFrom="column">
              <wp:posOffset>-12065</wp:posOffset>
            </wp:positionH>
            <wp:positionV relativeFrom="paragraph">
              <wp:posOffset>97790</wp:posOffset>
            </wp:positionV>
            <wp:extent cx="3372485" cy="288671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extLst>
                    </a:blip>
                    <a:srcRect/>
                    <a:stretch>
                      <a:fillRect/>
                    </a:stretch>
                  </pic:blipFill>
                  <pic:spPr bwMode="auto">
                    <a:xfrm>
                      <a:off x="0" y="0"/>
                      <a:ext cx="3372485" cy="2886710"/>
                    </a:xfrm>
                    <a:prstGeom prst="rect">
                      <a:avLst/>
                    </a:prstGeom>
                    <a:noFill/>
                  </pic:spPr>
                </pic:pic>
              </a:graphicData>
            </a:graphic>
          </wp:anchor>
        </w:drawing>
      </w:r>
      <w:r>
        <w:rPr>
          <w:noProof/>
          <w:sz w:val="20"/>
          <w:szCs w:val="20"/>
        </w:rPr>
        <w:drawing>
          <wp:anchor distT="0" distB="0" distL="114300" distR="114300" simplePos="0" relativeHeight="251657216" behindDoc="1" locked="0" layoutInCell="0" allowOverlap="1">
            <wp:simplePos x="0" y="0"/>
            <wp:positionH relativeFrom="column">
              <wp:posOffset>-12065</wp:posOffset>
            </wp:positionH>
            <wp:positionV relativeFrom="paragraph">
              <wp:posOffset>97790</wp:posOffset>
            </wp:positionV>
            <wp:extent cx="3372485" cy="288671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extLst>
                    </a:blip>
                    <a:srcRect/>
                    <a:stretch>
                      <a:fillRect/>
                    </a:stretch>
                  </pic:blipFill>
                  <pic:spPr bwMode="auto">
                    <a:xfrm>
                      <a:off x="0" y="0"/>
                      <a:ext cx="3372485" cy="2886710"/>
                    </a:xfrm>
                    <a:prstGeom prst="rect">
                      <a:avLst/>
                    </a:prstGeom>
                    <a:noFill/>
                  </pic:spPr>
                </pic:pic>
              </a:graphicData>
            </a:graphic>
          </wp:anchor>
        </w:drawing>
      </w:r>
    </w:p>
    <w:p w:rsidR="005C273B" w:rsidRPr="00735B8A" w:rsidRDefault="005C273B">
      <w:pPr>
        <w:rPr>
          <w:lang w:val="fr-FR"/>
        </w:rPr>
        <w:sectPr w:rsidR="005C273B" w:rsidRPr="00735B8A">
          <w:pgSz w:w="12240" w:h="15840"/>
          <w:pgMar w:top="647" w:right="720" w:bottom="0" w:left="560" w:header="0" w:footer="0" w:gutter="0"/>
          <w:cols w:space="720" w:equalWidth="0">
            <w:col w:w="10960"/>
          </w:cols>
        </w:sect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12" w:lineRule="exact"/>
        <w:rPr>
          <w:sz w:val="20"/>
          <w:szCs w:val="20"/>
          <w:lang w:val="fr-FR"/>
        </w:rPr>
      </w:pPr>
    </w:p>
    <w:p w:rsidR="005C273B" w:rsidRPr="00735B8A" w:rsidRDefault="00735B8A">
      <w:pPr>
        <w:spacing w:line="234" w:lineRule="auto"/>
        <w:ind w:left="40" w:right="120"/>
        <w:rPr>
          <w:sz w:val="20"/>
          <w:szCs w:val="20"/>
          <w:lang w:val="fr-FR"/>
        </w:rPr>
      </w:pPr>
      <w:proofErr w:type="spellStart"/>
      <w:r w:rsidRPr="00735B8A">
        <w:rPr>
          <w:rFonts w:eastAsia="Times New Roman"/>
          <w:b/>
          <w:bCs/>
          <w:color w:val="006599"/>
          <w:sz w:val="28"/>
          <w:szCs w:val="28"/>
          <w:lang w:val="fr-FR"/>
        </w:rPr>
        <w:t>Frogabitat</w:t>
      </w:r>
      <w:proofErr w:type="spellEnd"/>
      <w:r w:rsidRPr="00735B8A">
        <w:rPr>
          <w:rFonts w:eastAsia="Times New Roman"/>
          <w:b/>
          <w:bCs/>
          <w:color w:val="006599"/>
          <w:sz w:val="28"/>
          <w:szCs w:val="28"/>
          <w:lang w:val="fr-FR"/>
        </w:rPr>
        <w:t xml:space="preserve"> pour crapauds et </w:t>
      </w:r>
      <w:r w:rsidRPr="00735B8A">
        <w:rPr>
          <w:rFonts w:eastAsia="Times New Roman"/>
          <w:b/>
          <w:bCs/>
          <w:color w:val="006599"/>
          <w:sz w:val="28"/>
          <w:szCs w:val="28"/>
          <w:lang w:val="fr-FR"/>
        </w:rPr>
        <w:t xml:space="preserve">grenouilles (Lee </w:t>
      </w:r>
      <w:proofErr w:type="spellStart"/>
      <w:r w:rsidRPr="00735B8A">
        <w:rPr>
          <w:rFonts w:eastAsia="Times New Roman"/>
          <w:b/>
          <w:bCs/>
          <w:color w:val="006599"/>
          <w:sz w:val="28"/>
          <w:szCs w:val="28"/>
          <w:lang w:val="fr-FR"/>
        </w:rPr>
        <w:t>Valley</w:t>
      </w:r>
      <w:proofErr w:type="spellEnd"/>
      <w:r w:rsidRPr="00735B8A">
        <w:rPr>
          <w:rFonts w:eastAsia="Times New Roman"/>
          <w:b/>
          <w:bCs/>
          <w:color w:val="006599"/>
          <w:sz w:val="28"/>
          <w:szCs w:val="28"/>
          <w:lang w:val="fr-FR"/>
        </w:rPr>
        <w:t>)</w:t>
      </w:r>
    </w:p>
    <w:p w:rsidR="005C273B" w:rsidRPr="00735B8A" w:rsidRDefault="00735B8A">
      <w:pPr>
        <w:spacing w:line="20" w:lineRule="exact"/>
        <w:rPr>
          <w:sz w:val="20"/>
          <w:szCs w:val="20"/>
          <w:lang w:val="fr-FR"/>
        </w:rPr>
      </w:pPr>
      <w:r w:rsidRPr="00735B8A">
        <w:rPr>
          <w:sz w:val="20"/>
          <w:szCs w:val="20"/>
          <w:lang w:val="fr-FR"/>
        </w:rPr>
        <w:br w:type="column"/>
      </w: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200" w:lineRule="exact"/>
        <w:rPr>
          <w:sz w:val="20"/>
          <w:szCs w:val="20"/>
          <w:lang w:val="fr-FR"/>
        </w:rPr>
      </w:pPr>
    </w:p>
    <w:p w:rsidR="005C273B" w:rsidRPr="00735B8A" w:rsidRDefault="005C273B">
      <w:pPr>
        <w:spacing w:line="370" w:lineRule="exact"/>
        <w:rPr>
          <w:sz w:val="20"/>
          <w:szCs w:val="20"/>
          <w:lang w:val="fr-FR"/>
        </w:rPr>
      </w:pPr>
    </w:p>
    <w:p w:rsidR="005C273B" w:rsidRPr="00735B8A" w:rsidRDefault="00735B8A">
      <w:pPr>
        <w:ind w:right="800"/>
        <w:jc w:val="center"/>
        <w:rPr>
          <w:sz w:val="20"/>
          <w:szCs w:val="20"/>
          <w:lang w:val="fr-FR"/>
        </w:rPr>
      </w:pPr>
      <w:r w:rsidRPr="00735B8A">
        <w:rPr>
          <w:rFonts w:eastAsia="Times New Roman"/>
          <w:b/>
          <w:bCs/>
          <w:color w:val="006599"/>
          <w:sz w:val="27"/>
          <w:szCs w:val="27"/>
          <w:lang w:val="fr-FR"/>
        </w:rPr>
        <w:t xml:space="preserve">Piège à limaces (Lee </w:t>
      </w:r>
      <w:proofErr w:type="spellStart"/>
      <w:r w:rsidRPr="00735B8A">
        <w:rPr>
          <w:rFonts w:eastAsia="Times New Roman"/>
          <w:b/>
          <w:bCs/>
          <w:color w:val="006599"/>
          <w:sz w:val="27"/>
          <w:szCs w:val="27"/>
          <w:lang w:val="fr-FR"/>
        </w:rPr>
        <w:t>Valley</w:t>
      </w:r>
      <w:proofErr w:type="spellEnd"/>
      <w:r w:rsidRPr="00735B8A">
        <w:rPr>
          <w:rFonts w:eastAsia="Times New Roman"/>
          <w:b/>
          <w:bCs/>
          <w:color w:val="006599"/>
          <w:sz w:val="27"/>
          <w:szCs w:val="27"/>
          <w:lang w:val="fr-FR"/>
        </w:rPr>
        <w:t xml:space="preserve"> et </w:t>
      </w:r>
      <w:proofErr w:type="spellStart"/>
      <w:r w:rsidRPr="00735B8A">
        <w:rPr>
          <w:rFonts w:eastAsia="Times New Roman"/>
          <w:b/>
          <w:bCs/>
          <w:color w:val="006599"/>
          <w:sz w:val="27"/>
          <w:szCs w:val="27"/>
          <w:lang w:val="fr-FR"/>
        </w:rPr>
        <w:t>Vesseys</w:t>
      </w:r>
      <w:proofErr w:type="spellEnd"/>
      <w:r w:rsidRPr="00735B8A">
        <w:rPr>
          <w:rFonts w:eastAsia="Times New Roman"/>
          <w:b/>
          <w:bCs/>
          <w:color w:val="006599"/>
          <w:sz w:val="27"/>
          <w:szCs w:val="27"/>
          <w:lang w:val="fr-FR"/>
        </w:rPr>
        <w:t>)</w:t>
      </w:r>
    </w:p>
    <w:p w:rsidR="005C273B" w:rsidRDefault="005C273B">
      <w:pPr>
        <w:spacing w:line="20" w:lineRule="exact"/>
        <w:rPr>
          <w:sz w:val="20"/>
          <w:szCs w:val="20"/>
        </w:rPr>
      </w:pPr>
      <w:r>
        <w:rPr>
          <w:sz w:val="20"/>
          <w:szCs w:val="20"/>
        </w:rPr>
        <w:pict>
          <v:rect id="Shape 16" o:spid="_x0000_s1041" style="position:absolute;margin-left:-291pt;margin-top:10.75pt;width:576.1pt;height:6pt;z-index:-25165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006599" stroked="f"/>
        </w:pict>
      </w:r>
    </w:p>
    <w:sectPr w:rsidR="005C273B" w:rsidSect="005C273B">
      <w:type w:val="continuous"/>
      <w:pgSz w:w="12240" w:h="15840"/>
      <w:pgMar w:top="647" w:right="720" w:bottom="0" w:left="560" w:header="0" w:footer="0" w:gutter="0"/>
      <w:cols w:num="2" w:space="720" w:equalWidth="0">
        <w:col w:w="4900" w:space="720"/>
        <w:col w:w="534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5C273B"/>
    <w:rsid w:val="005C273B"/>
    <w:rsid w:val="00735B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73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744</Words>
  <Characters>4247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Radialpoint</Company>
  <LinksUpToDate>false</LinksUpToDate>
  <CharactersWithSpaces>4982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France</cp:lastModifiedBy>
  <cp:revision>2</cp:revision>
  <dcterms:created xsi:type="dcterms:W3CDTF">2022-04-07T01:46:00Z</dcterms:created>
  <dcterms:modified xsi:type="dcterms:W3CDTF">2022-04-07T01:46:00Z</dcterms:modified>
</cp:coreProperties>
</file>