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AGREEMENT TO MEDIATE</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This agreement to mediate is entered into by and between:</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color w:val="666666"/>
          <w:rtl w:val="0"/>
        </w:rPr>
        <w:t xml:space="preserve">Click or tap here to enter text.</w:t>
      </w:r>
      <w:r w:rsidDel="00000000" w:rsidR="00000000" w:rsidRPr="00000000">
        <w:rPr>
          <w:b w:val="1"/>
          <w:rtl w:val="0"/>
        </w:rPr>
        <w:t xml:space="preserve">   </w:t>
      </w:r>
    </w:p>
    <w:p w:rsidR="00000000" w:rsidDel="00000000" w:rsidP="00000000" w:rsidRDefault="00000000" w:rsidRPr="00000000" w14:paraId="00000006">
      <w:pPr>
        <w:jc w:val="center"/>
        <w:rPr>
          <w:b w:val="1"/>
        </w:rPr>
      </w:pPr>
      <w:r w:rsidDel="00000000" w:rsidR="00000000" w:rsidRPr="00000000">
        <w:rPr>
          <w:b w:val="1"/>
          <w:rtl w:val="0"/>
        </w:rPr>
        <w:t xml:space="preserve">Identity number: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Email: </w:t>
      </w:r>
      <w:r w:rsidDel="00000000" w:rsidR="00000000" w:rsidRPr="00000000">
        <w:rPr>
          <w:color w:val="666666"/>
          <w:rtl w:val="0"/>
        </w:rPr>
        <w:t xml:space="preserve">Click or tap here to enter text.</w:t>
      </w:r>
      <w:r w:rsidDel="00000000" w:rsidR="00000000" w:rsidRPr="00000000">
        <w:rPr>
          <w:b w:val="1"/>
          <w:rtl w:val="0"/>
        </w:rPr>
        <w:t xml:space="preserve"> </w:t>
      </w:r>
    </w:p>
    <w:p w:rsidR="00000000" w:rsidDel="00000000" w:rsidP="00000000" w:rsidRDefault="00000000" w:rsidRPr="00000000" w14:paraId="00000008">
      <w:pPr>
        <w:jc w:val="center"/>
        <w:rPr>
          <w:b w:val="1"/>
        </w:rPr>
      </w:pPr>
      <w:r w:rsidDel="00000000" w:rsidR="00000000" w:rsidRPr="00000000">
        <w:rPr>
          <w:b w:val="1"/>
          <w:rtl w:val="0"/>
        </w:rPr>
        <w:t xml:space="preserve">Cell: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And</w:t>
      </w:r>
    </w:p>
    <w:p w:rsidR="00000000" w:rsidDel="00000000" w:rsidP="00000000" w:rsidRDefault="00000000" w:rsidRPr="00000000" w14:paraId="0000000B">
      <w:pPr>
        <w:jc w:val="center"/>
        <w:rPr>
          <w:i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color w:val="666666"/>
          <w:rtl w:val="0"/>
        </w:rPr>
        <w:t xml:space="preserve">Click or tap here to enter text.</w:t>
      </w:r>
      <w:r w:rsidDel="00000000" w:rsidR="00000000" w:rsidRPr="00000000">
        <w:rPr>
          <w:b w:val="1"/>
          <w:rtl w:val="0"/>
        </w:rPr>
        <w:t xml:space="preserve">   </w:t>
      </w:r>
    </w:p>
    <w:p w:rsidR="00000000" w:rsidDel="00000000" w:rsidP="00000000" w:rsidRDefault="00000000" w:rsidRPr="00000000" w14:paraId="0000000D">
      <w:pPr>
        <w:jc w:val="center"/>
        <w:rPr>
          <w:b w:val="1"/>
        </w:rPr>
      </w:pPr>
      <w:r w:rsidDel="00000000" w:rsidR="00000000" w:rsidRPr="00000000">
        <w:rPr>
          <w:b w:val="1"/>
          <w:rtl w:val="0"/>
        </w:rPr>
        <w:t xml:space="preserve">Identity number: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Email: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tl w:val="0"/>
        </w:rPr>
        <w:t xml:space="preserve">Cell: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Hereinafter referred to as the parties, together with </w:t>
      </w:r>
      <w:r w:rsidDel="00000000" w:rsidR="00000000" w:rsidRPr="00000000">
        <w:rPr>
          <w:b w:val="1"/>
          <w:rtl w:val="0"/>
        </w:rPr>
        <w:t xml:space="preserve">Mikhaile Brookes</w:t>
      </w:r>
      <w:r w:rsidDel="00000000" w:rsidR="00000000" w:rsidRPr="00000000">
        <w:rPr>
          <w:rtl w:val="0"/>
        </w:rPr>
        <w:t xml:space="preserve"> (the mediator) agree that his document shall serve to formally record the election of the above parties to refer the dispute between them to mediation in terms of Rule 41A of the Uniform Rules of Court:</w:t>
      </w:r>
    </w:p>
    <w:p w:rsidR="00000000" w:rsidDel="00000000" w:rsidP="00000000" w:rsidRDefault="00000000" w:rsidRPr="00000000" w14:paraId="00000012">
      <w:pPr>
        <w:jc w:val="both"/>
        <w:rPr/>
      </w:pPr>
      <w:r w:rsidDel="00000000" w:rsidR="00000000" w:rsidRPr="00000000">
        <w:rPr>
          <w:rtl w:val="0"/>
        </w:rPr>
        <w:t xml:space="preserve">The primary issues or points of conflict that the parties agree to address through this mediation include, but are not limited to: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666666"/>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666666"/>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666666"/>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Role of the mediator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mediator will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Meet or contact any of the parties to the mediation jointly or separately, in person, telephonically, or virtually, preceding the meeting if required or deemed necessary by the Mediator to facilitate the mediation process.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Review and apprise </w:t>
      </w:r>
      <w:r w:rsidDel="00000000" w:rsidR="00000000" w:rsidRPr="00000000">
        <w:rPr>
          <w:rtl w:val="0"/>
        </w:rPr>
        <w:t xml:space="preserve">themselves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of all necessary documents provided by the parties to facilitate an understanding of the dispute.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Meet with the parties to assist them in identifying, discussing, and exploring all issues relevant to their dispute, to reach a mutually acceptable voluntary agreement.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parties understand and acknowledge that the mediator is an independent and impartial facilitator and is not a judge or adjudicator.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parties understand and acknowledge that the mediator does not give legal advice (even if they are qualified legal practitioners) and agree that they will not make any claim of any nature against the mediator in connection with this mediation unless the mediator acted dishonestly or in bad faith.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Conduct of the mediation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mediation will take place at a date, time and place as determined by My Accord, in consultation with the mediator. The parties will be notified timeously about the mediation using the details provided, and will be expected to attend the mediation session.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If any party cannot attend the mediation, they must inform My Accord or the Mediator at least 48 hours before the scheduled mediation. Clear reasons must be provided why any such party cannot attend a mediation session. Failure to attend a mediation session and the reasons provided for such non-attendance may be recorded in the Mediation report.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Any settlement reached in the mediation shall not be legally binding on the parties unless the settlement is reduced to writing and is been signed by or on behalf of the parties. Such a mediated settlement agreement shall be binding on the Parties and may be made an order of court, as agreed between the parties.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If the mediation process breaks down or is otherwise terminated without a full settlement, the mediator will provide a written Mediation report documenting the reasons why the mediation process was unsuccessful and shall furnish a copy of the report to the parties. This written report will be discoverable in any litigation proceedings between the parties.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During and before the mediation, the mediator may communicate with the parties jointly or separately (in a private session) to improve the mediator’s understanding of each party’s views.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Information given to the mediator during a private session will remain private and confidential unless the party who provided the confidential information allows the mediator to disclose this information to the other party.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All information, whether or not in writing, arising out of or in connection with the mediation, after the agreement to mediate is signed by both parties, shall be without prejudice and privileged and not admissible as evidence or discoverable in any current or future litigation or other proceedings whatsoever. This confidentiality does not apply to any information which would ordinarily be admissible or discoverable in such proceedings.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None of the parties shall call the mediator as a witness, consultant, arbitrator or expert in any litigation or other proceedings whatsoever arising from or in connection with the matters in issue at the mediation. If the mediation has been unsuccessful and the dispute between the parties is decided on by a court, the mediator may be called upon to provide oral or written testimony to assist the court in appropriately adjudicating the issue of costs.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Costs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Each party shall bear their own costs for any legal representation at the mediation. This does not prevent the parties from reaching a different agreement as to the costs of any ongoing proceedings (including the costs of the mediation). Any agreement regarding costs is still subordinate to any order to cost already granted or to be granted by a competent court.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The mediator’s Fee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By signing this agreement, the parties undertake to pay directly to My Accord the appropriate fee for the mediation as agreed with My Accord prior to the commencement of the mediation.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Ending the mediation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43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mediator or either of the parties may end the mediation at any time, provided that clear reasons for the termination are provided. The reasons for terminating the mediation may be included in the Mediator’s report and will be recorded by My Accord for record and reporting purposes.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32"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Recording of the mediation sessions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None of the parties will be allowed to record the mediation sessions. Only My Accord and the mediator will be allowed to record the mediation sessions, provided the parties have consented to the recording of the sessions. Any recording of the mediation sessions by any of the parties will be deemed to have been illegally obtained and will be inadmissible in any legal proceedings.   </w:t>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b w:val="1"/>
          <w:rtl w:val="0"/>
        </w:rPr>
        <w:t xml:space="preserve">SIGNED AT  </w:t>
      </w:r>
      <w:r w:rsidDel="00000000" w:rsidR="00000000" w:rsidRPr="00000000">
        <w:rPr>
          <w:color w:val="666666"/>
          <w:rtl w:val="0"/>
        </w:rPr>
        <w:t xml:space="preserve">Choose an item.</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tbl>
      <w:tblPr>
        <w:tblStyle w:val="Table1"/>
        <w:tblpPr w:leftFromText="180" w:rightFromText="180" w:topFromText="0" w:bottomFromText="0" w:vertAnchor="text" w:horzAnchor="text" w:tblpX="0" w:tblpY="1"/>
        <w:tblW w:w="3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18"/>
        <w:gridCol w:w="2172"/>
        <w:tblGridChange w:id="0">
          <w:tblGrid>
            <w:gridCol w:w="1418"/>
            <w:gridCol w:w="2172"/>
          </w:tblGrid>
        </w:tblGridChange>
      </w:tblGrid>
      <w:tr>
        <w:trPr>
          <w:cantSplit w:val="0"/>
          <w:tblHeader w:val="0"/>
        </w:trPr>
        <w:tc>
          <w:tcPr/>
          <w:p w:rsidR="00000000" w:rsidDel="00000000" w:rsidP="00000000" w:rsidRDefault="00000000" w:rsidRPr="00000000" w14:paraId="0000004A">
            <w:pPr>
              <w:jc w:val="both"/>
              <w:rPr>
                <w:b w:val="1"/>
                <w:u w:val="single"/>
              </w:rPr>
            </w:pPr>
            <w:r w:rsidDel="00000000" w:rsidR="00000000" w:rsidRPr="00000000">
              <w:rPr>
                <w:b w:val="1"/>
                <w:u w:val="single"/>
                <w:rtl w:val="0"/>
              </w:rPr>
              <w:t xml:space="preserve">Party A</w:t>
            </w:r>
          </w:p>
        </w:tc>
        <w:tc>
          <w:tcPr/>
          <w:p w:rsidR="00000000" w:rsidDel="00000000" w:rsidP="00000000" w:rsidRDefault="00000000" w:rsidRPr="00000000" w14:paraId="0000004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Signature: </w:t>
            </w:r>
          </w:p>
        </w:tc>
        <w:tc>
          <w:tcPr>
            <w:tcBorders>
              <w:bottom w:color="000000" w:space="0" w:sz="4" w:val="single"/>
            </w:tcBorders>
          </w:tcPr>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Date: </w:t>
            </w:r>
          </w:p>
        </w:tc>
        <w:tc>
          <w:tcPr>
            <w:tcBorders>
              <w:top w:color="000000" w:space="0" w:sz="4" w:val="single"/>
              <w:bottom w:color="000000" w:space="0" w:sz="4" w:val="single"/>
            </w:tcBorders>
          </w:tcPr>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color w:val="666666"/>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054">
            <w:pPr>
              <w:jc w:val="both"/>
              <w:rPr>
                <w:b w:val="1"/>
                <w:u w:val="single"/>
              </w:rPr>
            </w:pPr>
            <w:r w:rsidDel="00000000" w:rsidR="00000000" w:rsidRPr="00000000">
              <w:rPr>
                <w:b w:val="1"/>
                <w:u w:val="single"/>
                <w:rtl w:val="0"/>
              </w:rPr>
              <w:t xml:space="preserve">Party B</w:t>
            </w:r>
          </w:p>
        </w:tc>
        <w:tc>
          <w:tcPr/>
          <w:p w:rsidR="00000000" w:rsidDel="00000000" w:rsidP="00000000" w:rsidRDefault="00000000" w:rsidRPr="00000000" w14:paraId="0000005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Signature: </w:t>
            </w:r>
          </w:p>
        </w:tc>
        <w:tc>
          <w:tcPr>
            <w:tcBorders>
              <w:bottom w:color="000000" w:space="0" w:sz="4" w:val="single"/>
            </w:tcBorders>
          </w:tcPr>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Date: </w:t>
            </w:r>
          </w:p>
        </w:tc>
        <w:tc>
          <w:tcPr>
            <w:tcBorders>
              <w:top w:color="000000" w:space="0" w:sz="4" w:val="single"/>
              <w:bottom w:color="000000" w:space="0" w:sz="4" w:val="single"/>
            </w:tcBorders>
          </w:tcPr>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color w:val="666666"/>
                <w:rtl w:val="0"/>
              </w:rPr>
              <w:t xml:space="preserve">Click or tap to enter a date.</w:t>
            </w:r>
            <w:r w:rsidDel="00000000" w:rsidR="00000000" w:rsidRPr="00000000">
              <w:rPr>
                <w:rtl w:val="0"/>
              </w:rPr>
            </w:r>
          </w:p>
        </w:tc>
      </w:tr>
    </w:tbl>
    <w:p w:rsidR="00000000" w:rsidDel="00000000" w:rsidP="00000000" w:rsidRDefault="00000000" w:rsidRPr="00000000" w14:paraId="0000005E">
      <w:pPr>
        <w:tabs>
          <w:tab w:val="left" w:leader="none" w:pos="1967"/>
        </w:tabs>
        <w:jc w:val="both"/>
        <w:rPr/>
      </w:pPr>
      <w:r w:rsidDel="00000000" w:rsidR="00000000" w:rsidRPr="00000000">
        <w:rPr>
          <w:rtl w:val="0"/>
        </w:rPr>
        <w:tab/>
      </w:r>
    </w:p>
    <w:p w:rsidR="00000000" w:rsidDel="00000000" w:rsidP="00000000" w:rsidRDefault="00000000" w:rsidRPr="00000000" w14:paraId="0000005F">
      <w:pPr>
        <w:tabs>
          <w:tab w:val="left" w:leader="none" w:pos="1967"/>
        </w:tabs>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47ED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47ED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47ED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47ED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47ED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47ED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47ED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47ED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47ED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7ED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47ED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47ED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47ED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47ED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47ED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47ED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47ED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47ED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47ED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47ED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47ED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47ED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47ED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47EDD"/>
    <w:rPr>
      <w:i w:val="1"/>
      <w:iCs w:val="1"/>
      <w:color w:val="404040" w:themeColor="text1" w:themeTint="0000BF"/>
    </w:rPr>
  </w:style>
  <w:style w:type="paragraph" w:styleId="ListParagraph">
    <w:name w:val="List Paragraph"/>
    <w:basedOn w:val="Normal"/>
    <w:uiPriority w:val="34"/>
    <w:qFormat w:val="1"/>
    <w:rsid w:val="00147EDD"/>
    <w:pPr>
      <w:ind w:left="720"/>
      <w:contextualSpacing w:val="1"/>
    </w:pPr>
  </w:style>
  <w:style w:type="character" w:styleId="IntenseEmphasis">
    <w:name w:val="Intense Emphasis"/>
    <w:basedOn w:val="DefaultParagraphFont"/>
    <w:uiPriority w:val="21"/>
    <w:qFormat w:val="1"/>
    <w:rsid w:val="00147EDD"/>
    <w:rPr>
      <w:i w:val="1"/>
      <w:iCs w:val="1"/>
      <w:color w:val="0f4761" w:themeColor="accent1" w:themeShade="0000BF"/>
    </w:rPr>
  </w:style>
  <w:style w:type="paragraph" w:styleId="IntenseQuote">
    <w:name w:val="Intense Quote"/>
    <w:basedOn w:val="Normal"/>
    <w:next w:val="Normal"/>
    <w:link w:val="IntenseQuoteChar"/>
    <w:uiPriority w:val="30"/>
    <w:qFormat w:val="1"/>
    <w:rsid w:val="00147ED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47EDD"/>
    <w:rPr>
      <w:i w:val="1"/>
      <w:iCs w:val="1"/>
      <w:color w:val="0f4761" w:themeColor="accent1" w:themeShade="0000BF"/>
    </w:rPr>
  </w:style>
  <w:style w:type="character" w:styleId="IntenseReference">
    <w:name w:val="Intense Reference"/>
    <w:basedOn w:val="DefaultParagraphFont"/>
    <w:uiPriority w:val="32"/>
    <w:qFormat w:val="1"/>
    <w:rsid w:val="00147EDD"/>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1E371F"/>
    <w:rPr>
      <w:sz w:val="16"/>
      <w:szCs w:val="16"/>
    </w:rPr>
  </w:style>
  <w:style w:type="paragraph" w:styleId="CommentText">
    <w:name w:val="annotation text"/>
    <w:basedOn w:val="Normal"/>
    <w:link w:val="CommentTextChar"/>
    <w:uiPriority w:val="99"/>
    <w:unhideWhenUsed w:val="1"/>
    <w:rsid w:val="001E371F"/>
    <w:pPr>
      <w:spacing w:line="240" w:lineRule="auto"/>
    </w:pPr>
    <w:rPr>
      <w:sz w:val="20"/>
      <w:szCs w:val="20"/>
    </w:rPr>
  </w:style>
  <w:style w:type="character" w:styleId="CommentTextChar" w:customStyle="1">
    <w:name w:val="Comment Text Char"/>
    <w:basedOn w:val="DefaultParagraphFont"/>
    <w:link w:val="CommentText"/>
    <w:uiPriority w:val="99"/>
    <w:rsid w:val="001E371F"/>
    <w:rPr>
      <w:sz w:val="20"/>
      <w:szCs w:val="20"/>
    </w:rPr>
  </w:style>
  <w:style w:type="paragraph" w:styleId="CommentSubject">
    <w:name w:val="annotation subject"/>
    <w:basedOn w:val="CommentText"/>
    <w:next w:val="CommentText"/>
    <w:link w:val="CommentSubjectChar"/>
    <w:uiPriority w:val="99"/>
    <w:semiHidden w:val="1"/>
    <w:unhideWhenUsed w:val="1"/>
    <w:rsid w:val="001E371F"/>
    <w:rPr>
      <w:b w:val="1"/>
      <w:bCs w:val="1"/>
    </w:rPr>
  </w:style>
  <w:style w:type="character" w:styleId="CommentSubjectChar" w:customStyle="1">
    <w:name w:val="Comment Subject Char"/>
    <w:basedOn w:val="CommentTextChar"/>
    <w:link w:val="CommentSubject"/>
    <w:uiPriority w:val="99"/>
    <w:semiHidden w:val="1"/>
    <w:rsid w:val="001E371F"/>
    <w:rPr>
      <w:b w:val="1"/>
      <w:bCs w:val="1"/>
      <w:sz w:val="20"/>
      <w:szCs w:val="20"/>
    </w:rPr>
  </w:style>
  <w:style w:type="table" w:styleId="TableGrid">
    <w:name w:val="Table Grid"/>
    <w:basedOn w:val="TableNormal"/>
    <w:uiPriority w:val="39"/>
    <w:rsid w:val="00B656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473798"/>
    <w:rPr>
      <w:color w:val="66666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tYYniCnu+Yi2+66r2OziEbjSw==">CgMxLjA4AHIhMWRDZzgxc0hjZGY5QlRBSG5EbEtIelMxNWxvWnVQNmk3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2025-06-06T19:40:00Z</dcterms:created>
  <dc:creator>Mikhaile Brookes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7f6fed62-524b-4a92-b5aa-f3da53fb9ac3</vt:lpwstr>
  </property>
</Properties>
</file>