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90A" w:rsidRPr="00E65E92" w:rsidRDefault="000A590A" w:rsidP="000A590A">
      <w:pPr>
        <w:spacing w:after="0" w:line="240" w:lineRule="auto"/>
        <w:jc w:val="center"/>
        <w:outlineLvl w:val="0"/>
        <w:rPr>
          <w:rFonts w:ascii="Georgia" w:eastAsia="Times New Roman" w:hAnsi="Georgia" w:cs="Times New Roman"/>
          <w:b/>
          <w:bCs/>
          <w:kern w:val="36"/>
          <w:sz w:val="48"/>
          <w:szCs w:val="48"/>
        </w:rPr>
      </w:pPr>
      <w:r w:rsidRPr="00E65E92">
        <w:rPr>
          <w:rFonts w:ascii="Georgia" w:eastAsia="Times New Roman" w:hAnsi="Georgia" w:cs="Times New Roman"/>
          <w:b/>
          <w:bCs/>
          <w:kern w:val="36"/>
          <w:sz w:val="48"/>
          <w:szCs w:val="48"/>
        </w:rPr>
        <w:t>Crime Free Lease Addendum</w:t>
      </w:r>
    </w:p>
    <w:p w:rsidR="000A590A" w:rsidRPr="00E65E92" w:rsidRDefault="000A590A" w:rsidP="000A590A">
      <w:pPr>
        <w:spacing w:after="0" w:line="240" w:lineRule="auto"/>
        <w:jc w:val="center"/>
        <w:outlineLvl w:val="1"/>
        <w:rPr>
          <w:rFonts w:ascii="Georgia" w:eastAsia="Times New Roman" w:hAnsi="Georgia" w:cs="Times New Roman"/>
          <w:b/>
          <w:bCs/>
          <w:sz w:val="29"/>
          <w:szCs w:val="29"/>
        </w:rPr>
      </w:pPr>
      <w:r w:rsidRPr="00E65E92">
        <w:rPr>
          <w:rFonts w:ascii="Georgia" w:eastAsia="Times New Roman" w:hAnsi="Georgia" w:cs="Times New Roman"/>
          <w:b/>
          <w:bCs/>
          <w:sz w:val="29"/>
          <w:szCs w:val="29"/>
        </w:rPr>
        <w:t>Arizona Version</w:t>
      </w:r>
    </w:p>
    <w:p w:rsidR="000A590A" w:rsidRPr="000A590A" w:rsidRDefault="00E65E92" w:rsidP="000A590A">
      <w:pPr>
        <w:spacing w:after="0" w:line="240" w:lineRule="auto"/>
        <w:jc w:val="center"/>
        <w:outlineLvl w:val="1"/>
        <w:rPr>
          <w:rFonts w:ascii="Georgia" w:eastAsia="Times New Roman" w:hAnsi="Georgia" w:cs="Times New Roman"/>
          <w:b/>
          <w:bCs/>
          <w:color w:val="666666"/>
          <w:sz w:val="29"/>
          <w:szCs w:val="29"/>
        </w:rPr>
      </w:pPr>
      <w:r>
        <w:rPr>
          <w:rFonts w:ascii="Georgia" w:eastAsia="Times New Roman" w:hAnsi="Georgia" w:cs="Times New Roman"/>
          <w:b/>
          <w:bCs/>
          <w:sz w:val="29"/>
          <w:szCs w:val="29"/>
        </w:rPr>
        <w:t>CHINO VALLEY PARK</w:t>
      </w:r>
      <w:r w:rsidR="0049190C">
        <w:rPr>
          <w:rFonts w:ascii="Times New Roman" w:eastAsia="Times New Roman" w:hAnsi="Times New Roman" w:cs="Times New Roman"/>
        </w:rPr>
        <w:pict>
          <v:rect id="_x0000_i1025" style="width:0;height:1.5pt" o:hrstd="t" o:hrnoshade="t" o:hr="t" fillcolor="black" stroked="f"/>
        </w:pict>
      </w:r>
      <w:r w:rsidR="000A590A" w:rsidRPr="000A590A">
        <w:rPr>
          <w:rFonts w:eastAsia="Times New Roman"/>
          <w:color w:val="000000"/>
          <w:sz w:val="22"/>
          <w:szCs w:val="22"/>
          <w:shd w:val="clear" w:color="auto" w:fill="F2F2F2"/>
        </w:rPr>
        <w:t>In consideration of the execution or renewal of a lease of the dwelling unit identified in the lease, Owner and Resident agree as follows:</w:t>
      </w:r>
    </w:p>
    <w:p w:rsidR="000A590A" w:rsidRPr="000A590A" w:rsidRDefault="000A590A" w:rsidP="000A590A">
      <w:pPr>
        <w:spacing w:before="100" w:beforeAutospacing="1" w:after="100" w:afterAutospacing="1" w:line="240" w:lineRule="auto"/>
        <w:jc w:val="both"/>
        <w:rPr>
          <w:rFonts w:eastAsia="Times New Roman"/>
          <w:color w:val="000000"/>
          <w:sz w:val="22"/>
          <w:szCs w:val="22"/>
        </w:rPr>
      </w:pPr>
      <w:r>
        <w:rPr>
          <w:rFonts w:eastAsia="Times New Roman"/>
          <w:color w:val="000000"/>
          <w:sz w:val="22"/>
          <w:szCs w:val="22"/>
        </w:rPr>
        <w:t>Resident</w:t>
      </w:r>
      <w:r w:rsidRPr="000A590A">
        <w:rPr>
          <w:rFonts w:eastAsia="Times New Roman"/>
          <w:color w:val="000000"/>
          <w:sz w:val="22"/>
          <w:szCs w:val="22"/>
        </w:rPr>
        <w:t>, any members of the resident's household or a guest or other persons affiliated with the resident:</w:t>
      </w:r>
    </w:p>
    <w:p w:rsidR="000A590A" w:rsidRPr="000A590A" w:rsidRDefault="000A590A" w:rsidP="000A590A">
      <w:pPr>
        <w:numPr>
          <w:ilvl w:val="0"/>
          <w:numId w:val="1"/>
        </w:numPr>
        <w:spacing w:before="100" w:beforeAutospacing="1" w:after="100" w:afterAutospacing="1" w:line="240" w:lineRule="auto"/>
        <w:rPr>
          <w:rFonts w:eastAsia="Times New Roman"/>
          <w:color w:val="000000"/>
          <w:sz w:val="22"/>
          <w:szCs w:val="22"/>
        </w:rPr>
      </w:pPr>
      <w:r w:rsidRPr="000A590A">
        <w:rPr>
          <w:rFonts w:eastAsia="Times New Roman"/>
          <w:color w:val="000000"/>
          <w:sz w:val="22"/>
          <w:szCs w:val="22"/>
        </w:rPr>
        <w:t>Shall not engage in criminal activity, including drug-related criminal activity, on or near the said premises. "Drug related criminal activity" means the illegal manufacture, sale, distribution, use, or possession with intent to manufacture, sell, distribute, or use an illegal or controlled substance (as defined in Section 102 of the Controlled Substance Act [21 U.S.C.802])</w:t>
      </w:r>
    </w:p>
    <w:p w:rsidR="000A590A" w:rsidRPr="000A590A" w:rsidRDefault="000A590A" w:rsidP="000A590A">
      <w:pPr>
        <w:numPr>
          <w:ilvl w:val="0"/>
          <w:numId w:val="1"/>
        </w:numPr>
        <w:spacing w:before="100" w:beforeAutospacing="1" w:after="100" w:afterAutospacing="1" w:line="240" w:lineRule="auto"/>
        <w:rPr>
          <w:rFonts w:eastAsia="Times New Roman"/>
          <w:color w:val="000000"/>
          <w:sz w:val="22"/>
          <w:szCs w:val="22"/>
        </w:rPr>
      </w:pPr>
      <w:r w:rsidRPr="000A590A">
        <w:rPr>
          <w:rFonts w:eastAsia="Times New Roman"/>
          <w:color w:val="000000"/>
          <w:sz w:val="22"/>
          <w:szCs w:val="22"/>
        </w:rPr>
        <w:t>Shall not engage in any act intended to facilitate criminal activity</w:t>
      </w:r>
    </w:p>
    <w:p w:rsidR="000A590A" w:rsidRPr="000A590A" w:rsidRDefault="000A590A" w:rsidP="000A590A">
      <w:pPr>
        <w:numPr>
          <w:ilvl w:val="0"/>
          <w:numId w:val="1"/>
        </w:numPr>
        <w:spacing w:before="100" w:beforeAutospacing="1" w:after="100" w:afterAutospacing="1" w:line="240" w:lineRule="auto"/>
        <w:rPr>
          <w:rFonts w:eastAsia="Times New Roman"/>
          <w:color w:val="000000"/>
          <w:sz w:val="22"/>
          <w:szCs w:val="22"/>
        </w:rPr>
      </w:pPr>
      <w:r w:rsidRPr="000A590A">
        <w:rPr>
          <w:rFonts w:eastAsia="Times New Roman"/>
          <w:color w:val="000000"/>
          <w:sz w:val="22"/>
          <w:szCs w:val="22"/>
        </w:rPr>
        <w:t xml:space="preserve">Shall not permit the dwelling unit to be used for, or to facilitate criminal activity, regardless </w:t>
      </w:r>
      <w:proofErr w:type="spellStart"/>
      <w:r w:rsidRPr="000A590A">
        <w:rPr>
          <w:rFonts w:eastAsia="Times New Roman"/>
          <w:color w:val="000000"/>
          <w:sz w:val="22"/>
          <w:szCs w:val="22"/>
        </w:rPr>
        <w:t>or</w:t>
      </w:r>
      <w:proofErr w:type="spellEnd"/>
      <w:r w:rsidRPr="000A590A">
        <w:rPr>
          <w:rFonts w:eastAsia="Times New Roman"/>
          <w:color w:val="000000"/>
          <w:sz w:val="22"/>
          <w:szCs w:val="22"/>
        </w:rPr>
        <w:t xml:space="preserve"> whether the individual engaging in such activity is a member of the household, or a guest</w:t>
      </w:r>
    </w:p>
    <w:p w:rsidR="000A590A" w:rsidRPr="000A590A" w:rsidRDefault="000A590A" w:rsidP="000A590A">
      <w:pPr>
        <w:numPr>
          <w:ilvl w:val="0"/>
          <w:numId w:val="1"/>
        </w:numPr>
        <w:spacing w:before="100" w:beforeAutospacing="1" w:after="100" w:afterAutospacing="1" w:line="240" w:lineRule="auto"/>
        <w:rPr>
          <w:rFonts w:eastAsia="Times New Roman"/>
          <w:color w:val="000000"/>
          <w:sz w:val="22"/>
          <w:szCs w:val="22"/>
        </w:rPr>
      </w:pPr>
      <w:r w:rsidRPr="000A590A">
        <w:rPr>
          <w:rFonts w:eastAsia="Times New Roman"/>
          <w:color w:val="000000"/>
          <w:sz w:val="22"/>
          <w:szCs w:val="22"/>
        </w:rPr>
        <w:t>Shall not engage in the unlawful manufacturing, selling, using, storing, keeping, or giving of an illegal or controlled substance as defined in A.R.S. 13-3451, at any locations, whether on or near the dwelling unit premises</w:t>
      </w:r>
    </w:p>
    <w:p w:rsidR="000A590A" w:rsidRPr="000A590A" w:rsidRDefault="000A590A" w:rsidP="000A590A">
      <w:pPr>
        <w:numPr>
          <w:ilvl w:val="0"/>
          <w:numId w:val="1"/>
        </w:numPr>
        <w:spacing w:before="100" w:beforeAutospacing="1" w:after="100" w:afterAutospacing="1" w:line="240" w:lineRule="auto"/>
        <w:rPr>
          <w:rFonts w:eastAsia="Times New Roman"/>
          <w:color w:val="000000"/>
          <w:sz w:val="22"/>
          <w:szCs w:val="22"/>
        </w:rPr>
      </w:pPr>
      <w:r w:rsidRPr="000A590A">
        <w:rPr>
          <w:rFonts w:eastAsia="Times New Roman"/>
          <w:color w:val="000000"/>
          <w:sz w:val="22"/>
          <w:szCs w:val="22"/>
        </w:rPr>
        <w:t>Shall not engage in any illegal activity, including prostitution as defined in A.R.S. 13-3211, criminal street gang activity as defined in A.R.S. 13-105 and A.R.S. 13-2308, threatening or intimidating as prohibited in A.R.S.13-1202, assault as prohibited in A.R.S. 13-1203, including but not limited to the unlawful discharge of a weapon, on or near the dwelling unit premises, or any breach of the lease agreement that otherwise jeopardizes the health, safety, and welfare of the landlord, his agent, or other tenant, or involving imminent or actual serious property damage, as defined in A.R.S. 33-1368</w:t>
      </w:r>
    </w:p>
    <w:p w:rsidR="000A590A" w:rsidRPr="000A590A" w:rsidRDefault="000A590A" w:rsidP="000A590A">
      <w:pPr>
        <w:numPr>
          <w:ilvl w:val="0"/>
          <w:numId w:val="1"/>
        </w:numPr>
        <w:spacing w:before="100" w:beforeAutospacing="1" w:after="100" w:afterAutospacing="1" w:line="240" w:lineRule="auto"/>
        <w:rPr>
          <w:rFonts w:eastAsia="Times New Roman"/>
          <w:color w:val="000000"/>
          <w:sz w:val="22"/>
          <w:szCs w:val="22"/>
        </w:rPr>
      </w:pPr>
      <w:r w:rsidRPr="000A590A">
        <w:rPr>
          <w:rFonts w:eastAsia="Times New Roman"/>
          <w:color w:val="000000"/>
          <w:sz w:val="22"/>
          <w:szCs w:val="22"/>
        </w:rPr>
        <w:t>VIOLATION OF THE ABOVE PROVISIONS SHALL BE A MATERIAL AND IRREPARABLE VIOLATION OF THE LEASE AND GOOD CAUSE FOR IMMEDIATE TERMINATION OF TENANCY. A single violation of any of the provisions of this added addendum shall be deemed a serious violation, and a material and irreparable non- compliance. It is understood that a single violation shall be good cause for immediate termination of the lease under A.R.S. 33-1377, as provided in A.R.S. 33-1368. Unless otherwise provided by law, proof of violation shall not require a criminal conviction, but shall be by a preponderance of the evidence</w:t>
      </w:r>
    </w:p>
    <w:p w:rsidR="000A590A" w:rsidRPr="000A590A" w:rsidRDefault="000A590A" w:rsidP="000A590A">
      <w:pPr>
        <w:numPr>
          <w:ilvl w:val="0"/>
          <w:numId w:val="1"/>
        </w:numPr>
        <w:spacing w:before="100" w:beforeAutospacing="1" w:after="100" w:afterAutospacing="1" w:line="240" w:lineRule="auto"/>
        <w:rPr>
          <w:rFonts w:eastAsia="Times New Roman"/>
          <w:color w:val="000000"/>
          <w:sz w:val="22"/>
          <w:szCs w:val="22"/>
        </w:rPr>
      </w:pPr>
      <w:r w:rsidRPr="000A590A">
        <w:rPr>
          <w:rFonts w:eastAsia="Times New Roman"/>
          <w:color w:val="000000"/>
          <w:sz w:val="22"/>
          <w:szCs w:val="22"/>
        </w:rPr>
        <w:t>In case of conflict between the provisions of this addendum and any other provisions of the lease, the provisions of this addendum shall govern</w:t>
      </w:r>
    </w:p>
    <w:p w:rsidR="000A590A" w:rsidRPr="000A590A" w:rsidRDefault="000A590A" w:rsidP="000A590A">
      <w:pPr>
        <w:numPr>
          <w:ilvl w:val="0"/>
          <w:numId w:val="1"/>
        </w:numPr>
        <w:spacing w:before="100" w:beforeAutospacing="1" w:after="100" w:afterAutospacing="1" w:line="240" w:lineRule="auto"/>
        <w:rPr>
          <w:rFonts w:eastAsia="Times New Roman"/>
          <w:color w:val="000000"/>
          <w:sz w:val="22"/>
          <w:szCs w:val="22"/>
        </w:rPr>
      </w:pPr>
      <w:r w:rsidRPr="000A590A">
        <w:rPr>
          <w:rFonts w:eastAsia="Times New Roman"/>
          <w:color w:val="000000"/>
          <w:sz w:val="22"/>
          <w:szCs w:val="22"/>
        </w:rPr>
        <w:t>This LEASE ADDENDUM is incorporated into the lease executed or renewed this day between Owner and Resident.</w:t>
      </w:r>
    </w:p>
    <w:p w:rsidR="00E65E92" w:rsidRDefault="000A590A" w:rsidP="000A590A">
      <w:pPr>
        <w:spacing w:before="100" w:beforeAutospacing="1" w:after="100" w:afterAutospacing="1" w:line="240" w:lineRule="auto"/>
        <w:jc w:val="both"/>
        <w:rPr>
          <w:rFonts w:eastAsia="Times New Roman"/>
          <w:color w:val="000000"/>
          <w:sz w:val="22"/>
          <w:szCs w:val="22"/>
        </w:rPr>
      </w:pPr>
      <w:r w:rsidRPr="000A590A">
        <w:rPr>
          <w:rFonts w:eastAsia="Times New Roman"/>
          <w:color w:val="000000"/>
          <w:sz w:val="22"/>
          <w:szCs w:val="22"/>
        </w:rPr>
        <w:br/>
      </w:r>
      <w:bookmarkStart w:id="0" w:name="_GoBack"/>
      <w:bookmarkEnd w:id="0"/>
    </w:p>
    <w:p w:rsidR="00E65E92" w:rsidRPr="00E65E92" w:rsidRDefault="00E65E92" w:rsidP="000A590A">
      <w:pPr>
        <w:spacing w:before="100" w:beforeAutospacing="1" w:after="100" w:afterAutospacing="1" w:line="240" w:lineRule="auto"/>
        <w:jc w:val="both"/>
        <w:rPr>
          <w:rFonts w:eastAsia="Times New Roman"/>
          <w:color w:val="000000"/>
          <w:sz w:val="16"/>
          <w:szCs w:val="22"/>
        </w:rPr>
      </w:pPr>
      <w:r w:rsidRPr="00E65E92">
        <w:rPr>
          <w:rFonts w:eastAsia="Times New Roman"/>
          <w:color w:val="000000"/>
          <w:sz w:val="16"/>
          <w:szCs w:val="22"/>
        </w:rPr>
        <w:t>Rev. 2/16/17</w:t>
      </w:r>
    </w:p>
    <w:p w:rsidR="00EE1C96" w:rsidRPr="000A590A" w:rsidRDefault="00EE1C96" w:rsidP="000A590A">
      <w:pPr>
        <w:rPr>
          <w:sz w:val="22"/>
          <w:szCs w:val="22"/>
        </w:rPr>
      </w:pPr>
    </w:p>
    <w:sectPr w:rsidR="00EE1C96" w:rsidRPr="000A59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4A133B"/>
    <w:multiLevelType w:val="multilevel"/>
    <w:tmpl w:val="CC881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90A"/>
    <w:rsid w:val="000A590A"/>
    <w:rsid w:val="0049190C"/>
    <w:rsid w:val="00E65E92"/>
    <w:rsid w:val="00EE1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D3FC864-092A-4C72-B0AB-406621ACE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A59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A590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90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A590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A590A"/>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73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393</Words>
  <Characters>2241</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norquist</dc:creator>
  <cp:keywords/>
  <dc:description/>
  <cp:lastModifiedBy>rick norquist</cp:lastModifiedBy>
  <cp:revision>3</cp:revision>
  <dcterms:created xsi:type="dcterms:W3CDTF">2017-02-16T21:12:00Z</dcterms:created>
  <dcterms:modified xsi:type="dcterms:W3CDTF">2017-02-16T21:27:00Z</dcterms:modified>
</cp:coreProperties>
</file>