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8B82A04" w:rsidP="0D01A3A4" w:rsidRDefault="08B82A04" w14:paraId="3C2D8483" w14:textId="1FC0E648">
      <w:pPr>
        <w:jc w:val="center"/>
      </w:pPr>
      <w:r w:rsidR="08B82A04">
        <w:drawing>
          <wp:inline wp14:editId="099C89CB" wp14:anchorId="166F7543">
            <wp:extent cx="1685925" cy="1485900"/>
            <wp:effectExtent l="0" t="0" r="0" b="0"/>
            <wp:docPr id="845547392" name="" descr="A logo of a bee&#10;&#10;AI-generated content may be incorrect., Picture" title=""/>
            <wp:cNvGraphicFramePr>
              <a:graphicFrameLocks noChangeAspect="1"/>
            </wp:cNvGraphicFramePr>
            <a:graphic>
              <a:graphicData uri="http://schemas.openxmlformats.org/drawingml/2006/picture">
                <pic:pic>
                  <pic:nvPicPr>
                    <pic:cNvPr id="0" name=""/>
                    <pic:cNvPicPr/>
                  </pic:nvPicPr>
                  <pic:blipFill>
                    <a:blip r:embed="Rb09ff038ebd641e1">
                      <a:extLst>
                        <a:ext xmlns:a="http://schemas.openxmlformats.org/drawingml/2006/main" uri="{28A0092B-C50C-407E-A947-70E740481C1C}">
                          <a14:useLocalDpi val="0"/>
                        </a:ext>
                      </a:extLst>
                    </a:blip>
                    <a:stretch>
                      <a:fillRect/>
                    </a:stretch>
                  </pic:blipFill>
                  <pic:spPr>
                    <a:xfrm>
                      <a:off x="0" y="0"/>
                      <a:ext cx="1685925" cy="1485900"/>
                    </a:xfrm>
                    <a:prstGeom prst="rect">
                      <a:avLst/>
                    </a:prstGeom>
                  </pic:spPr>
                </pic:pic>
              </a:graphicData>
            </a:graphic>
          </wp:inline>
        </w:drawing>
      </w:r>
      <w:r w:rsidR="08B82A04">
        <w:drawing>
          <wp:inline wp14:editId="4ACE5F8A" wp14:anchorId="75A7FE65">
            <wp:extent cx="1714500" cy="1571625"/>
            <wp:effectExtent l="0" t="0" r="0" b="0"/>
            <wp:docPr id="451545505" name="" descr="A logo of a bee&#10;&#10;AI-generated content may be incorrect., Picture" title=""/>
            <wp:cNvGraphicFramePr>
              <a:graphicFrameLocks noChangeAspect="1"/>
            </wp:cNvGraphicFramePr>
            <a:graphic>
              <a:graphicData uri="http://schemas.openxmlformats.org/drawingml/2006/picture">
                <pic:pic>
                  <pic:nvPicPr>
                    <pic:cNvPr id="0" name=""/>
                    <pic:cNvPicPr/>
                  </pic:nvPicPr>
                  <pic:blipFill>
                    <a:blip r:embed="R609cfe9dc06746ec">
                      <a:extLst>
                        <a:ext xmlns:a="http://schemas.openxmlformats.org/drawingml/2006/main" uri="{28A0092B-C50C-407E-A947-70E740481C1C}">
                          <a14:useLocalDpi val="0"/>
                        </a:ext>
                      </a:extLst>
                    </a:blip>
                    <a:stretch>
                      <a:fillRect/>
                    </a:stretch>
                  </pic:blipFill>
                  <pic:spPr>
                    <a:xfrm>
                      <a:off x="0" y="0"/>
                      <a:ext cx="1714500" cy="1571625"/>
                    </a:xfrm>
                    <a:prstGeom prst="rect">
                      <a:avLst/>
                    </a:prstGeom>
                  </pic:spPr>
                </pic:pic>
              </a:graphicData>
            </a:graphic>
          </wp:inline>
        </w:drawing>
      </w:r>
      <w:r>
        <w:br/>
      </w:r>
    </w:p>
    <w:p xmlns:wp14="http://schemas.microsoft.com/office/word/2010/wordml" w:rsidP="160BCA05" w14:paraId="056B6E0B" wp14:textId="77777777" wp14:noSpellErr="1">
      <w:pPr>
        <w:pStyle w:val="Title"/>
        <w:rPr>
          <w:rFonts w:ascii="Comic Sans MS" w:hAnsi="Comic Sans MS" w:eastAsia="Comic Sans MS" w:cs="Comic Sans MS"/>
          <w:color w:val="auto"/>
        </w:rPr>
      </w:pPr>
      <w:r w:rsidRPr="160BCA05" w:rsidR="160BCA05">
        <w:rPr>
          <w:rFonts w:ascii="Comic Sans MS" w:hAnsi="Comic Sans MS" w:eastAsia="Comic Sans MS" w:cs="Comic Sans MS"/>
          <w:color w:val="auto"/>
        </w:rPr>
        <w:t xml:space="preserve">Curriculum Intent, </w:t>
      </w:r>
      <w:r w:rsidRPr="160BCA05" w:rsidR="160BCA05">
        <w:rPr>
          <w:rFonts w:ascii="Comic Sans MS" w:hAnsi="Comic Sans MS" w:eastAsia="Comic Sans MS" w:cs="Comic Sans MS"/>
          <w:color w:val="auto"/>
        </w:rPr>
        <w:t>Implementation</w:t>
      </w:r>
      <w:r w:rsidRPr="160BCA05" w:rsidR="160BCA05">
        <w:rPr>
          <w:rFonts w:ascii="Comic Sans MS" w:hAnsi="Comic Sans MS" w:eastAsia="Comic Sans MS" w:cs="Comic Sans MS"/>
          <w:color w:val="auto"/>
        </w:rPr>
        <w:t xml:space="preserve"> and Impact</w:t>
      </w:r>
    </w:p>
    <w:p xmlns:wp14="http://schemas.microsoft.com/office/word/2010/wordml" w:rsidP="160BCA05" w14:paraId="68ADA175" wp14:textId="77777777" wp14:noSpellErr="1">
      <w:pPr>
        <w:pStyle w:val="Heading1"/>
        <w:rPr>
          <w:rFonts w:ascii="Comic Sans MS" w:hAnsi="Comic Sans MS" w:eastAsia="Comic Sans MS" w:cs="Comic Sans MS"/>
          <w:color w:val="auto"/>
        </w:rPr>
      </w:pPr>
      <w:r w:rsidRPr="160BCA05" w:rsidR="160BCA05">
        <w:rPr>
          <w:rFonts w:ascii="Comic Sans MS" w:hAnsi="Comic Sans MS" w:eastAsia="Comic Sans MS" w:cs="Comic Sans MS"/>
          <w:color w:val="auto"/>
        </w:rPr>
        <w:t>Intent</w:t>
      </w:r>
    </w:p>
    <w:p xmlns:wp14="http://schemas.microsoft.com/office/word/2010/wordml" w:rsidP="160BCA05" w14:paraId="0161B722" wp14:textId="77777777" wp14:noSpellErr="1">
      <w:pPr>
        <w:rPr>
          <w:rFonts w:ascii="Comic Sans MS" w:hAnsi="Comic Sans MS" w:eastAsia="Comic Sans MS" w:cs="Comic Sans MS"/>
          <w:color w:val="auto"/>
          <w:sz w:val="24"/>
          <w:szCs w:val="24"/>
        </w:rPr>
      </w:pPr>
      <w:r w:rsidRPr="160BCA05" w:rsidR="160BCA05">
        <w:rPr>
          <w:rFonts w:ascii="Comic Sans MS" w:hAnsi="Comic Sans MS" w:eastAsia="Comic Sans MS" w:cs="Comic Sans MS"/>
          <w:color w:val="auto"/>
          <w:sz w:val="24"/>
          <w:szCs w:val="24"/>
        </w:rPr>
        <w:t>Our curriculum is designed to equip learners with essential personal, academic, social, and employability skills, preparing them for life beyond education.</w:t>
      </w:r>
      <w:r>
        <w:br/>
      </w:r>
      <w:r>
        <w:br/>
      </w:r>
      <w:r w:rsidRPr="160BCA05" w:rsidR="160BCA05">
        <w:rPr>
          <w:rFonts w:ascii="Comic Sans MS" w:hAnsi="Comic Sans MS" w:eastAsia="Comic Sans MS" w:cs="Comic Sans MS"/>
          <w:color w:val="auto"/>
          <w:sz w:val="24"/>
          <w:szCs w:val="24"/>
        </w:rPr>
        <w:t xml:space="preserve">We deliver a balanced </w:t>
      </w:r>
      <w:r w:rsidRPr="160BCA05" w:rsidR="160BCA05">
        <w:rPr>
          <w:rFonts w:ascii="Comic Sans MS" w:hAnsi="Comic Sans MS" w:eastAsia="Comic Sans MS" w:cs="Comic Sans MS"/>
          <w:color w:val="auto"/>
          <w:sz w:val="24"/>
          <w:szCs w:val="24"/>
        </w:rPr>
        <w:t>programme</w:t>
      </w:r>
      <w:r w:rsidRPr="160BCA05" w:rsidR="160BCA05">
        <w:rPr>
          <w:rFonts w:ascii="Comic Sans MS" w:hAnsi="Comic Sans MS" w:eastAsia="Comic Sans MS" w:cs="Comic Sans MS"/>
          <w:color w:val="auto"/>
          <w:sz w:val="24"/>
          <w:szCs w:val="24"/>
        </w:rPr>
        <w:t xml:space="preserve"> that integrates core academic subjects (English, Maths, Science, PSHE) with life skills education (PSD), project-based learning (PSE), and accredited vocational options (</w:t>
      </w:r>
      <w:r w:rsidRPr="160BCA05" w:rsidR="160BCA05">
        <w:rPr>
          <w:rFonts w:ascii="Comic Sans MS" w:hAnsi="Comic Sans MS" w:eastAsia="Comic Sans MS" w:cs="Comic Sans MS"/>
          <w:color w:val="auto"/>
          <w:sz w:val="24"/>
          <w:szCs w:val="24"/>
        </w:rPr>
        <w:t>FoodWise</w:t>
      </w:r>
      <w:r w:rsidRPr="160BCA05" w:rsidR="160BCA05">
        <w:rPr>
          <w:rFonts w:ascii="Comic Sans MS" w:hAnsi="Comic Sans MS" w:eastAsia="Comic Sans MS" w:cs="Comic Sans MS"/>
          <w:color w:val="auto"/>
          <w:sz w:val="24"/>
          <w:szCs w:val="24"/>
        </w:rPr>
        <w:t xml:space="preserve"> Short Course, Arts, Enterprise, Outdoor Learning, and Digital Skills).</w:t>
      </w:r>
      <w:r>
        <w:br/>
      </w:r>
      <w:r>
        <w:br/>
      </w:r>
      <w:r w:rsidRPr="160BCA05" w:rsidR="160BCA05">
        <w:rPr>
          <w:rFonts w:ascii="Comic Sans MS" w:hAnsi="Comic Sans MS" w:eastAsia="Comic Sans MS" w:cs="Comic Sans MS"/>
          <w:color w:val="auto"/>
          <w:sz w:val="24"/>
          <w:szCs w:val="24"/>
        </w:rPr>
        <w:t xml:space="preserve">Through </w:t>
      </w:r>
      <w:r w:rsidRPr="160BCA05" w:rsidR="160BCA05">
        <w:rPr>
          <w:rFonts w:ascii="Comic Sans MS" w:hAnsi="Comic Sans MS" w:eastAsia="Comic Sans MS" w:cs="Comic Sans MS"/>
          <w:color w:val="auto"/>
          <w:sz w:val="24"/>
          <w:szCs w:val="24"/>
        </w:rPr>
        <w:t>personalised</w:t>
      </w:r>
      <w:r w:rsidRPr="160BCA05" w:rsidR="160BCA05">
        <w:rPr>
          <w:rFonts w:ascii="Comic Sans MS" w:hAnsi="Comic Sans MS" w:eastAsia="Comic Sans MS" w:cs="Comic Sans MS"/>
          <w:color w:val="auto"/>
          <w:sz w:val="24"/>
          <w:szCs w:val="24"/>
        </w:rPr>
        <w:t xml:space="preserve"> learning pathways, we aim to develop confident, resilient, and independent young adults capable of contributing positively to their communities.</w:t>
      </w:r>
    </w:p>
    <w:p xmlns:wp14="http://schemas.microsoft.com/office/word/2010/wordml" w:rsidP="160BCA05" w14:paraId="1CB9EE18" wp14:textId="77777777" wp14:noSpellErr="1">
      <w:pPr>
        <w:pStyle w:val="Heading1"/>
        <w:rPr>
          <w:rFonts w:ascii="Comic Sans MS" w:hAnsi="Comic Sans MS" w:eastAsia="Comic Sans MS" w:cs="Comic Sans MS"/>
          <w:color w:val="auto"/>
        </w:rPr>
      </w:pPr>
      <w:r w:rsidRPr="160BCA05" w:rsidR="160BCA05">
        <w:rPr>
          <w:rFonts w:ascii="Comic Sans MS" w:hAnsi="Comic Sans MS" w:eastAsia="Comic Sans MS" w:cs="Comic Sans MS"/>
          <w:color w:val="auto"/>
        </w:rPr>
        <w:t>Implementation</w:t>
      </w:r>
    </w:p>
    <w:p xmlns:wp14="http://schemas.microsoft.com/office/word/2010/wordml" w:rsidP="160BCA05" w14:paraId="10568EAF" wp14:textId="77777777" wp14:noSpellErr="1">
      <w:pPr>
        <w:rPr>
          <w:rFonts w:ascii="Comic Sans MS" w:hAnsi="Comic Sans MS" w:eastAsia="Comic Sans MS" w:cs="Comic Sans MS"/>
          <w:color w:val="auto"/>
          <w:sz w:val="24"/>
          <w:szCs w:val="24"/>
        </w:rPr>
      </w:pPr>
      <w:r w:rsidRPr="160BCA05" w:rsidR="160BCA05">
        <w:rPr>
          <w:rFonts w:ascii="Comic Sans MS" w:hAnsi="Comic Sans MS" w:eastAsia="Comic Sans MS" w:cs="Comic Sans MS"/>
          <w:color w:val="auto"/>
          <w:sz w:val="24"/>
          <w:szCs w:val="24"/>
        </w:rPr>
        <w:t>The curriculum is delivered through a structured, student-</w:t>
      </w:r>
      <w:r w:rsidRPr="160BCA05" w:rsidR="160BCA05">
        <w:rPr>
          <w:rFonts w:ascii="Comic Sans MS" w:hAnsi="Comic Sans MS" w:eastAsia="Comic Sans MS" w:cs="Comic Sans MS"/>
          <w:color w:val="auto"/>
          <w:sz w:val="24"/>
          <w:szCs w:val="24"/>
        </w:rPr>
        <w:t>centred</w:t>
      </w:r>
      <w:r w:rsidRPr="160BCA05" w:rsidR="160BCA05">
        <w:rPr>
          <w:rFonts w:ascii="Comic Sans MS" w:hAnsi="Comic Sans MS" w:eastAsia="Comic Sans MS" w:cs="Comic Sans MS"/>
          <w:color w:val="auto"/>
          <w:sz w:val="24"/>
          <w:szCs w:val="24"/>
        </w:rPr>
        <w:t xml:space="preserve"> model that combines classroom learning, practical activities, and real-world projects.</w:t>
      </w:r>
      <w:r>
        <w:br/>
      </w:r>
      <w:r>
        <w:br/>
      </w:r>
      <w:r w:rsidRPr="160BCA05" w:rsidR="160BCA05">
        <w:rPr>
          <w:rFonts w:ascii="Comic Sans MS" w:hAnsi="Comic Sans MS" w:eastAsia="Comic Sans MS" w:cs="Comic Sans MS"/>
          <w:color w:val="auto"/>
          <w:sz w:val="24"/>
          <w:szCs w:val="24"/>
        </w:rPr>
        <w:t>Students follow clear Schemes of Work for all core subjects (English, Maths, Science, PSHE), complemented by flexible life skills (PSD) and project work (PSE) frameworks.</w:t>
      </w:r>
      <w:r>
        <w:br/>
      </w:r>
      <w:r>
        <w:br/>
      </w:r>
      <w:r w:rsidRPr="160BCA05" w:rsidR="160BCA05">
        <w:rPr>
          <w:rFonts w:ascii="Comic Sans MS" w:hAnsi="Comic Sans MS" w:eastAsia="Comic Sans MS" w:cs="Comic Sans MS"/>
          <w:color w:val="auto"/>
          <w:sz w:val="24"/>
          <w:szCs w:val="24"/>
        </w:rPr>
        <w:t>Vocational and enrichment options such as Food Technology, Arts, Enterprise, Outdoor Learning, and Digital Skills are embedded across the timetable to offer breadth and choice.</w:t>
      </w:r>
      <w:r>
        <w:br/>
      </w:r>
      <w:r>
        <w:br/>
      </w:r>
      <w:r w:rsidRPr="160BCA05" w:rsidR="160BCA05">
        <w:rPr>
          <w:rFonts w:ascii="Comic Sans MS" w:hAnsi="Comic Sans MS" w:eastAsia="Comic Sans MS" w:cs="Comic Sans MS"/>
          <w:color w:val="auto"/>
          <w:sz w:val="24"/>
          <w:szCs w:val="24"/>
        </w:rPr>
        <w:t xml:space="preserve">Evidence of learning is collected through our online portfolio platform, with regular reviews and </w:t>
      </w:r>
      <w:r w:rsidRPr="160BCA05" w:rsidR="160BCA05">
        <w:rPr>
          <w:rFonts w:ascii="Comic Sans MS" w:hAnsi="Comic Sans MS" w:eastAsia="Comic Sans MS" w:cs="Comic Sans MS"/>
          <w:color w:val="auto"/>
          <w:sz w:val="24"/>
          <w:szCs w:val="24"/>
        </w:rPr>
        <w:t>personalised</w:t>
      </w:r>
      <w:r w:rsidRPr="160BCA05" w:rsidR="160BCA05">
        <w:rPr>
          <w:rFonts w:ascii="Comic Sans MS" w:hAnsi="Comic Sans MS" w:eastAsia="Comic Sans MS" w:cs="Comic Sans MS"/>
          <w:color w:val="auto"/>
          <w:sz w:val="24"/>
          <w:szCs w:val="24"/>
        </w:rPr>
        <w:t xml:space="preserve"> project planning to ensure individual growth. Teaching strategies promote practical skill acquisition, critical thinking, teamwork, and communication.</w:t>
      </w:r>
    </w:p>
    <w:p xmlns:wp14="http://schemas.microsoft.com/office/word/2010/wordml" w:rsidP="160BCA05" w14:paraId="0590C468" wp14:textId="77777777" wp14:noSpellErr="1">
      <w:pPr>
        <w:pStyle w:val="Heading1"/>
        <w:rPr>
          <w:rFonts w:ascii="Comic Sans MS" w:hAnsi="Comic Sans MS" w:eastAsia="Comic Sans MS" w:cs="Comic Sans MS"/>
          <w:color w:val="auto"/>
        </w:rPr>
      </w:pPr>
      <w:r w:rsidRPr="160BCA05" w:rsidR="160BCA05">
        <w:rPr>
          <w:rFonts w:ascii="Comic Sans MS" w:hAnsi="Comic Sans MS" w:eastAsia="Comic Sans MS" w:cs="Comic Sans MS"/>
          <w:color w:val="auto"/>
        </w:rPr>
        <w:t>Impact</w:t>
      </w:r>
    </w:p>
    <w:p xmlns:wp14="http://schemas.microsoft.com/office/word/2010/wordml" w:rsidP="160BCA05" w14:paraId="53220A26" wp14:textId="77777777" wp14:noSpellErr="1">
      <w:pPr>
        <w:rPr>
          <w:rFonts w:ascii="Comic Sans MS" w:hAnsi="Comic Sans MS" w:eastAsia="Comic Sans MS" w:cs="Comic Sans MS"/>
          <w:color w:val="auto"/>
          <w:sz w:val="24"/>
          <w:szCs w:val="24"/>
        </w:rPr>
      </w:pPr>
      <w:r w:rsidRPr="160BCA05" w:rsidR="160BCA05">
        <w:rPr>
          <w:rFonts w:ascii="Comic Sans MS" w:hAnsi="Comic Sans MS" w:eastAsia="Comic Sans MS" w:cs="Comic Sans MS"/>
          <w:color w:val="auto"/>
          <w:sz w:val="24"/>
          <w:szCs w:val="24"/>
        </w:rPr>
        <w:t xml:space="preserve">Students achieve nationally </w:t>
      </w:r>
      <w:r w:rsidRPr="160BCA05" w:rsidR="160BCA05">
        <w:rPr>
          <w:rFonts w:ascii="Comic Sans MS" w:hAnsi="Comic Sans MS" w:eastAsia="Comic Sans MS" w:cs="Comic Sans MS"/>
          <w:color w:val="auto"/>
          <w:sz w:val="24"/>
          <w:szCs w:val="24"/>
        </w:rPr>
        <w:t>recognised</w:t>
      </w:r>
      <w:r w:rsidRPr="160BCA05" w:rsidR="160BCA05">
        <w:rPr>
          <w:rFonts w:ascii="Comic Sans MS" w:hAnsi="Comic Sans MS" w:eastAsia="Comic Sans MS" w:cs="Comic Sans MS"/>
          <w:color w:val="auto"/>
          <w:sz w:val="24"/>
          <w:szCs w:val="24"/>
        </w:rPr>
        <w:t xml:space="preserve"> qualifications (e.g., ASDAN Short Courses, PSD, PSE, Functional Skills) across core subjects and enrichment areas.</w:t>
      </w:r>
      <w:r>
        <w:br/>
      </w:r>
      <w:r>
        <w:br/>
      </w:r>
      <w:r w:rsidRPr="160BCA05" w:rsidR="160BCA05">
        <w:rPr>
          <w:rFonts w:ascii="Comic Sans MS" w:hAnsi="Comic Sans MS" w:eastAsia="Comic Sans MS" w:cs="Comic Sans MS"/>
          <w:color w:val="auto"/>
          <w:sz w:val="24"/>
          <w:szCs w:val="24"/>
        </w:rPr>
        <w:t>Progress is measured through accreditation outcomes, personal learning goals, development of independence, and readiness for next steps — whether into further education, employment, or supported living.</w:t>
      </w:r>
      <w:r>
        <w:br/>
      </w:r>
      <w:r>
        <w:br/>
      </w:r>
      <w:r w:rsidRPr="160BCA05" w:rsidR="160BCA05">
        <w:rPr>
          <w:rFonts w:ascii="Comic Sans MS" w:hAnsi="Comic Sans MS" w:eastAsia="Comic Sans MS" w:cs="Comic Sans MS"/>
          <w:color w:val="auto"/>
          <w:sz w:val="24"/>
          <w:szCs w:val="24"/>
        </w:rPr>
        <w:t>Students show growth in academic ability, life skills competency, social confidence, and employability through active participation across all areas of the curriculum, including literacy, numeracy, life skills, creative, enterprise, and outdoor learning experiences.</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8B82A04"/>
    <w:rsid w:val="0D01A3A4"/>
    <w:rsid w:val="160BCA05"/>
    <w:rsid w:val="4A85D55E"/>
    <w:rsid w:val="761DC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44359703-3B7D-4B02-8D1E-CBAB7BDD30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image" Target="/media/image.png" Id="Rb09ff038ebd641e1" /><Relationship Type="http://schemas.openxmlformats.org/officeDocument/2006/relationships/image" Target="/media/image2.png" Id="R609cfe9dc06746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Bobbie Collins</lastModifiedBy>
  <revision>3</revision>
  <dcterms:created xsi:type="dcterms:W3CDTF">2013-12-23T23:15:00.0000000Z</dcterms:created>
  <dcterms:modified xsi:type="dcterms:W3CDTF">2025-04-21T16:09:14.9120659Z</dcterms:modified>
  <category/>
</coreProperties>
</file>