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4977" w14:textId="70430D48" w:rsidR="00077BE5" w:rsidRPr="00FF2BCB" w:rsidRDefault="00047CE6" w:rsidP="00FF2BCB">
      <w:pPr>
        <w:pStyle w:val="NoSpacing"/>
        <w:jc w:val="center"/>
        <w:rPr>
          <w:sz w:val="23"/>
          <w:szCs w:val="23"/>
        </w:rPr>
      </w:pPr>
      <w:r w:rsidRPr="00077BE5">
        <w:rPr>
          <w:b/>
          <w:sz w:val="23"/>
          <w:szCs w:val="23"/>
        </w:rPr>
        <w:t>AMENDMENT</w:t>
      </w:r>
      <w:r w:rsidR="00B66D53" w:rsidRPr="00077BE5">
        <w:rPr>
          <w:sz w:val="23"/>
          <w:szCs w:val="23"/>
        </w:rPr>
        <w:t xml:space="preserve"> </w:t>
      </w:r>
      <w:r w:rsidR="00B66D53" w:rsidRPr="00077BE5">
        <w:rPr>
          <w:b/>
          <w:sz w:val="23"/>
          <w:szCs w:val="23"/>
        </w:rPr>
        <w:t xml:space="preserve">TO THE </w:t>
      </w:r>
    </w:p>
    <w:p w14:paraId="1E181773" w14:textId="77777777" w:rsidR="00077BE5" w:rsidRDefault="00077BE5" w:rsidP="00034DF6">
      <w:pPr>
        <w:pStyle w:val="NoSpacing"/>
        <w:jc w:val="center"/>
        <w:rPr>
          <w:b/>
          <w:caps/>
          <w:sz w:val="23"/>
          <w:szCs w:val="23"/>
        </w:rPr>
      </w:pPr>
      <w:r w:rsidRPr="00077BE5">
        <w:rPr>
          <w:b/>
          <w:caps/>
          <w:sz w:val="23"/>
          <w:szCs w:val="23"/>
        </w:rPr>
        <w:t>Declaration of covenants,</w:t>
      </w:r>
      <w:r>
        <w:rPr>
          <w:b/>
          <w:caps/>
          <w:sz w:val="23"/>
          <w:szCs w:val="23"/>
        </w:rPr>
        <w:t xml:space="preserve"> </w:t>
      </w:r>
      <w:r w:rsidRPr="00077BE5">
        <w:rPr>
          <w:b/>
          <w:caps/>
          <w:sz w:val="23"/>
          <w:szCs w:val="23"/>
        </w:rPr>
        <w:t xml:space="preserve">conditions and restrictions </w:t>
      </w:r>
    </w:p>
    <w:p w14:paraId="1D48599E" w14:textId="77777777" w:rsidR="00E243E5" w:rsidRPr="00077BE5" w:rsidRDefault="00077BE5" w:rsidP="00034DF6">
      <w:pPr>
        <w:pStyle w:val="NoSpacing"/>
        <w:jc w:val="center"/>
        <w:rPr>
          <w:b/>
          <w:caps/>
          <w:sz w:val="23"/>
          <w:szCs w:val="23"/>
        </w:rPr>
      </w:pPr>
      <w:r w:rsidRPr="00077BE5">
        <w:rPr>
          <w:b/>
          <w:caps/>
          <w:sz w:val="23"/>
          <w:szCs w:val="23"/>
        </w:rPr>
        <w:t xml:space="preserve">for </w:t>
      </w:r>
      <w:r w:rsidR="00920A63" w:rsidRPr="00077BE5">
        <w:rPr>
          <w:b/>
          <w:caps/>
          <w:sz w:val="23"/>
          <w:szCs w:val="23"/>
        </w:rPr>
        <w:t xml:space="preserve"> </w:t>
      </w:r>
    </w:p>
    <w:p w14:paraId="7BA2B6C5" w14:textId="77777777" w:rsidR="00B66D53" w:rsidRPr="00077BE5" w:rsidRDefault="005C13FD" w:rsidP="00034DF6">
      <w:pPr>
        <w:pStyle w:val="NoSpacing"/>
        <w:jc w:val="center"/>
        <w:rPr>
          <w:b/>
          <w:sz w:val="23"/>
          <w:szCs w:val="23"/>
        </w:rPr>
      </w:pPr>
      <w:r>
        <w:rPr>
          <w:b/>
          <w:caps/>
          <w:sz w:val="23"/>
          <w:szCs w:val="23"/>
        </w:rPr>
        <w:t>COTTESMORE AT LELY RESORT</w:t>
      </w:r>
    </w:p>
    <w:p w14:paraId="2C4AA27F" w14:textId="77777777" w:rsidR="006E1894" w:rsidRDefault="002C6CD9" w:rsidP="00034DF6">
      <w:pPr>
        <w:pStyle w:val="BodyText"/>
        <w:rPr>
          <w:spacing w:val="-3"/>
          <w:sz w:val="20"/>
          <w:szCs w:val="20"/>
        </w:rPr>
      </w:pPr>
      <w:r>
        <w:rPr>
          <w:noProof/>
          <w:spacing w:val="-3"/>
          <w:sz w:val="20"/>
          <w:szCs w:val="20"/>
        </w:rPr>
        <w:pict w14:anchorId="08457A32">
          <v:rect id="_x0000_i1026" alt="" style="width:468pt;height:.05pt;mso-width-percent:0;mso-height-percent:0;mso-width-percent:0;mso-height-percent:0" o:hralign="center" o:hrstd="t" o:hr="t" fillcolor="#aca899" stroked="f"/>
        </w:pict>
      </w:r>
    </w:p>
    <w:p w14:paraId="4648B096" w14:textId="77777777" w:rsidR="006E1894" w:rsidRDefault="006E1894" w:rsidP="00034DF6">
      <w:pPr>
        <w:pStyle w:val="BodyText"/>
        <w:rPr>
          <w:rFonts w:ascii="Times New Roman" w:hAnsi="Times New Roman"/>
          <w:sz w:val="23"/>
          <w:szCs w:val="23"/>
        </w:rPr>
      </w:pPr>
    </w:p>
    <w:p w14:paraId="6DAB4B26" w14:textId="77777777" w:rsidR="00EB60C1" w:rsidRPr="00EB60C1" w:rsidRDefault="00EB60C1" w:rsidP="00EB60C1">
      <w:pPr>
        <w:autoSpaceDE w:val="0"/>
        <w:autoSpaceDN w:val="0"/>
        <w:adjustRightInd w:val="0"/>
        <w:jc w:val="both"/>
        <w:rPr>
          <w:rFonts w:eastAsia="Times New Roman"/>
          <w:sz w:val="23"/>
          <w:szCs w:val="23"/>
        </w:rPr>
      </w:pPr>
      <w:r w:rsidRPr="00EB60C1">
        <w:rPr>
          <w:rFonts w:eastAsia="Times New Roman"/>
          <w:sz w:val="23"/>
          <w:szCs w:val="23"/>
        </w:rPr>
        <w:t xml:space="preserve">Additions are </w:t>
      </w:r>
      <w:r w:rsidRPr="00EB60C1">
        <w:rPr>
          <w:rFonts w:eastAsia="Times New Roman"/>
          <w:sz w:val="23"/>
          <w:szCs w:val="23"/>
          <w:u w:val="single"/>
        </w:rPr>
        <w:t>underlined</w:t>
      </w:r>
    </w:p>
    <w:p w14:paraId="5F6ED6C8" w14:textId="77777777" w:rsidR="0012082A" w:rsidRDefault="00EB60C1" w:rsidP="0012082A">
      <w:pPr>
        <w:pStyle w:val="BodyText"/>
        <w:rPr>
          <w:rFonts w:ascii="Times New Roman" w:eastAsia="Times New Roman" w:hAnsi="Times New Roman"/>
          <w:strike/>
          <w:sz w:val="23"/>
          <w:szCs w:val="23"/>
        </w:rPr>
      </w:pPr>
      <w:r w:rsidRPr="00EB60C1">
        <w:rPr>
          <w:rFonts w:ascii="Times New Roman" w:eastAsia="Times New Roman" w:hAnsi="Times New Roman"/>
          <w:sz w:val="23"/>
          <w:szCs w:val="23"/>
        </w:rPr>
        <w:t xml:space="preserve">Deletions are </w:t>
      </w:r>
      <w:r w:rsidRPr="00EB60C1">
        <w:rPr>
          <w:rFonts w:ascii="Times New Roman" w:eastAsia="Times New Roman" w:hAnsi="Times New Roman"/>
          <w:strike/>
          <w:sz w:val="23"/>
          <w:szCs w:val="23"/>
        </w:rPr>
        <w:t>stricken through</w:t>
      </w:r>
    </w:p>
    <w:p w14:paraId="3A3298BD" w14:textId="77777777" w:rsidR="0012082A" w:rsidRDefault="0012082A" w:rsidP="00EB60C1">
      <w:pPr>
        <w:pStyle w:val="BodyText"/>
        <w:rPr>
          <w:rFonts w:ascii="Times New Roman" w:eastAsia="Times New Roman" w:hAnsi="Times New Roman"/>
          <w:sz w:val="23"/>
          <w:szCs w:val="23"/>
        </w:rPr>
      </w:pPr>
    </w:p>
    <w:p w14:paraId="421A5B95" w14:textId="77777777" w:rsidR="0012082A" w:rsidRDefault="0012082A" w:rsidP="0012082A">
      <w:pPr>
        <w:pStyle w:val="BodyText"/>
        <w:numPr>
          <w:ilvl w:val="0"/>
          <w:numId w:val="13"/>
        </w:numPr>
        <w:tabs>
          <w:tab w:val="left" w:pos="540"/>
        </w:tabs>
        <w:ind w:hanging="720"/>
        <w:rPr>
          <w:rFonts w:ascii="Times New Roman" w:eastAsia="Times New Roman" w:hAnsi="Times New Roman"/>
          <w:b/>
          <w:sz w:val="23"/>
          <w:szCs w:val="23"/>
        </w:rPr>
      </w:pPr>
      <w:r>
        <w:rPr>
          <w:rFonts w:ascii="Times New Roman" w:eastAsia="Times New Roman" w:hAnsi="Times New Roman"/>
          <w:sz w:val="23"/>
          <w:szCs w:val="23"/>
        </w:rPr>
        <w:tab/>
      </w:r>
      <w:r w:rsidRPr="0012082A">
        <w:rPr>
          <w:rFonts w:ascii="Times New Roman" w:eastAsia="Times New Roman" w:hAnsi="Times New Roman"/>
          <w:b/>
          <w:sz w:val="23"/>
          <w:szCs w:val="23"/>
        </w:rPr>
        <w:t xml:space="preserve">Article VII </w:t>
      </w:r>
      <w:r>
        <w:rPr>
          <w:rFonts w:ascii="Times New Roman" w:eastAsia="Times New Roman" w:hAnsi="Times New Roman"/>
          <w:b/>
          <w:sz w:val="23"/>
          <w:szCs w:val="23"/>
        </w:rPr>
        <w:t xml:space="preserve">title </w:t>
      </w:r>
      <w:r w:rsidRPr="0012082A">
        <w:rPr>
          <w:rFonts w:ascii="Times New Roman" w:eastAsia="Times New Roman" w:hAnsi="Times New Roman"/>
          <w:b/>
          <w:sz w:val="23"/>
          <w:szCs w:val="23"/>
        </w:rPr>
        <w:t>shall be amended as follows:</w:t>
      </w:r>
    </w:p>
    <w:p w14:paraId="08384391" w14:textId="77777777" w:rsidR="0012082A" w:rsidRPr="009F5211" w:rsidRDefault="0012082A" w:rsidP="00EB60C1">
      <w:pPr>
        <w:pStyle w:val="BodyText"/>
        <w:rPr>
          <w:rFonts w:ascii="Times New Roman" w:eastAsia="Times New Roman" w:hAnsi="Times New Roman"/>
          <w:sz w:val="23"/>
          <w:szCs w:val="23"/>
        </w:rPr>
      </w:pPr>
    </w:p>
    <w:p w14:paraId="7184BC62" w14:textId="77777777" w:rsidR="0012082A" w:rsidRDefault="0012082A" w:rsidP="0012082A">
      <w:pPr>
        <w:pStyle w:val="BodyText"/>
        <w:ind w:left="720"/>
        <w:rPr>
          <w:rFonts w:ascii="Times New Roman" w:eastAsia="Times New Roman" w:hAnsi="Times New Roman"/>
          <w:b/>
          <w:sz w:val="23"/>
          <w:szCs w:val="23"/>
          <w:u w:val="single"/>
        </w:rPr>
      </w:pPr>
      <w:r w:rsidRPr="009F5211">
        <w:rPr>
          <w:rFonts w:ascii="Times New Roman" w:eastAsia="Times New Roman" w:hAnsi="Times New Roman"/>
          <w:b/>
          <w:sz w:val="23"/>
          <w:szCs w:val="23"/>
        </w:rPr>
        <w:t>METHOD</w:t>
      </w:r>
      <w:r w:rsidR="009F5211" w:rsidRPr="009F5211">
        <w:rPr>
          <w:rFonts w:ascii="Times New Roman" w:eastAsia="Times New Roman" w:hAnsi="Times New Roman"/>
          <w:b/>
          <w:sz w:val="23"/>
          <w:szCs w:val="23"/>
          <w:u w:val="single"/>
        </w:rPr>
        <w:t>S</w:t>
      </w:r>
      <w:r w:rsidRPr="0012082A">
        <w:rPr>
          <w:rFonts w:ascii="Times New Roman" w:eastAsia="Times New Roman" w:hAnsi="Times New Roman"/>
          <w:b/>
          <w:sz w:val="23"/>
          <w:szCs w:val="23"/>
        </w:rPr>
        <w:t xml:space="preserve"> OF DETERMINING ASSESSMENT OF ASSOCIATION EXPENSES </w:t>
      </w:r>
      <w:r w:rsidR="009F5211">
        <w:rPr>
          <w:rFonts w:ascii="Times New Roman" w:eastAsia="Times New Roman" w:hAnsi="Times New Roman"/>
          <w:b/>
          <w:sz w:val="23"/>
          <w:szCs w:val="23"/>
        </w:rPr>
        <w:t xml:space="preserve">AND </w:t>
      </w:r>
      <w:r w:rsidRPr="0012082A">
        <w:rPr>
          <w:rFonts w:ascii="Times New Roman" w:eastAsia="Times New Roman" w:hAnsi="Times New Roman"/>
          <w:b/>
          <w:sz w:val="23"/>
          <w:szCs w:val="23"/>
          <w:u w:val="single"/>
        </w:rPr>
        <w:t xml:space="preserve">RE-SALE CAPITAL ASSESSMENT </w:t>
      </w:r>
      <w:r w:rsidR="009F5211">
        <w:rPr>
          <w:rFonts w:ascii="Times New Roman" w:eastAsia="Times New Roman" w:hAnsi="Times New Roman"/>
          <w:b/>
          <w:sz w:val="23"/>
          <w:szCs w:val="23"/>
          <w:u w:val="single"/>
        </w:rPr>
        <w:t>UPON CONVEYENCE</w:t>
      </w:r>
    </w:p>
    <w:p w14:paraId="0C3BE9F9" w14:textId="77777777" w:rsidR="0012082A" w:rsidRDefault="0012082A" w:rsidP="0012082A">
      <w:pPr>
        <w:pStyle w:val="BodyText"/>
        <w:pBdr>
          <w:bottom w:val="single" w:sz="6" w:space="1" w:color="auto"/>
        </w:pBdr>
        <w:rPr>
          <w:rFonts w:ascii="Times New Roman" w:eastAsia="Times New Roman" w:hAnsi="Times New Roman"/>
          <w:sz w:val="23"/>
          <w:szCs w:val="23"/>
        </w:rPr>
      </w:pPr>
    </w:p>
    <w:p w14:paraId="718BBE5C" w14:textId="77777777" w:rsidR="0012082A" w:rsidRDefault="0012082A" w:rsidP="0012082A">
      <w:pPr>
        <w:pStyle w:val="BodyText"/>
        <w:ind w:left="720"/>
        <w:rPr>
          <w:rFonts w:ascii="Times New Roman" w:eastAsia="Times New Roman" w:hAnsi="Times New Roman"/>
          <w:sz w:val="23"/>
          <w:szCs w:val="23"/>
        </w:rPr>
      </w:pPr>
    </w:p>
    <w:p w14:paraId="1912C583" w14:textId="77777777" w:rsidR="0012082A" w:rsidRPr="0012082A" w:rsidRDefault="0012082A" w:rsidP="0012082A">
      <w:pPr>
        <w:pStyle w:val="BodyText"/>
        <w:numPr>
          <w:ilvl w:val="0"/>
          <w:numId w:val="13"/>
        </w:numPr>
        <w:ind w:left="630" w:hanging="630"/>
        <w:rPr>
          <w:rFonts w:ascii="Times New Roman" w:eastAsia="Times New Roman" w:hAnsi="Times New Roman"/>
          <w:b/>
          <w:sz w:val="23"/>
          <w:szCs w:val="23"/>
        </w:rPr>
      </w:pPr>
      <w:r>
        <w:rPr>
          <w:rFonts w:ascii="Times New Roman" w:eastAsia="Times New Roman" w:hAnsi="Times New Roman"/>
          <w:sz w:val="23"/>
          <w:szCs w:val="23"/>
        </w:rPr>
        <w:tab/>
      </w:r>
      <w:r w:rsidRPr="0012082A">
        <w:rPr>
          <w:rFonts w:ascii="Times New Roman" w:eastAsia="Times New Roman" w:hAnsi="Times New Roman"/>
          <w:b/>
          <w:sz w:val="23"/>
          <w:szCs w:val="23"/>
        </w:rPr>
        <w:t>Article VII, Section 7.1 shall be amended as follows:</w:t>
      </w:r>
    </w:p>
    <w:p w14:paraId="002FF043" w14:textId="77777777" w:rsidR="0012082A" w:rsidRDefault="0012082A" w:rsidP="00EB60C1">
      <w:pPr>
        <w:pStyle w:val="BodyText"/>
        <w:rPr>
          <w:rFonts w:ascii="Times New Roman" w:eastAsia="Times New Roman" w:hAnsi="Times New Roman"/>
          <w:sz w:val="23"/>
          <w:szCs w:val="23"/>
        </w:rPr>
      </w:pPr>
    </w:p>
    <w:p w14:paraId="4A20DA42" w14:textId="77777777" w:rsidR="0012082A" w:rsidRPr="0012082A" w:rsidRDefault="0012082A" w:rsidP="0012082A">
      <w:pPr>
        <w:pStyle w:val="BodyText"/>
        <w:ind w:left="630"/>
        <w:rPr>
          <w:rFonts w:ascii="Times New Roman" w:eastAsia="Times New Roman" w:hAnsi="Times New Roman"/>
          <w:sz w:val="23"/>
          <w:szCs w:val="23"/>
          <w:u w:val="single"/>
        </w:rPr>
      </w:pPr>
      <w:r>
        <w:rPr>
          <w:rFonts w:ascii="Times New Roman" w:eastAsia="Times New Roman" w:hAnsi="Times New Roman"/>
          <w:sz w:val="23"/>
          <w:szCs w:val="23"/>
        </w:rPr>
        <w:tab/>
      </w:r>
      <w:r>
        <w:rPr>
          <w:rFonts w:ascii="Times New Roman" w:eastAsia="Times New Roman" w:hAnsi="Times New Roman"/>
          <w:b/>
          <w:sz w:val="23"/>
          <w:szCs w:val="23"/>
        </w:rPr>
        <w:t>7.1</w:t>
      </w:r>
      <w:r>
        <w:rPr>
          <w:rFonts w:ascii="Times New Roman" w:eastAsia="Times New Roman" w:hAnsi="Times New Roman"/>
          <w:b/>
          <w:sz w:val="23"/>
          <w:szCs w:val="23"/>
        </w:rPr>
        <w:tab/>
      </w:r>
      <w:r w:rsidRPr="0012082A">
        <w:rPr>
          <w:rFonts w:ascii="Times New Roman" w:eastAsia="Times New Roman" w:hAnsi="Times New Roman"/>
          <w:b/>
          <w:sz w:val="23"/>
          <w:szCs w:val="23"/>
          <w:u w:val="single"/>
        </w:rPr>
        <w:t>ASSOCIATION</w:t>
      </w:r>
      <w:r>
        <w:rPr>
          <w:rFonts w:ascii="Times New Roman" w:eastAsia="Times New Roman" w:hAnsi="Times New Roman"/>
          <w:b/>
          <w:sz w:val="23"/>
          <w:szCs w:val="23"/>
        </w:rPr>
        <w:t xml:space="preserve"> ASSESSMENTS. </w:t>
      </w:r>
      <w:r>
        <w:rPr>
          <w:rFonts w:ascii="Times New Roman" w:eastAsia="Times New Roman" w:hAnsi="Times New Roman"/>
          <w:sz w:val="23"/>
          <w:szCs w:val="23"/>
        </w:rPr>
        <w:t xml:space="preserve"> It is hereby declared, and all Owners and the Association agree, that the Association Expenses shall be disbursed by the Association out of funds assessed and collected from all Owners in Cottesmore at Lely Resort Neighborhood. </w:t>
      </w:r>
    </w:p>
    <w:p w14:paraId="6961FE5A" w14:textId="77777777" w:rsidR="0012082A" w:rsidRDefault="0012082A" w:rsidP="00EB60C1">
      <w:pPr>
        <w:pStyle w:val="BodyText"/>
        <w:pBdr>
          <w:bottom w:val="single" w:sz="6" w:space="1" w:color="auto"/>
        </w:pBdr>
        <w:rPr>
          <w:rFonts w:ascii="Times New Roman" w:eastAsia="Times New Roman" w:hAnsi="Times New Roman"/>
          <w:strike/>
          <w:sz w:val="23"/>
          <w:szCs w:val="23"/>
        </w:rPr>
      </w:pPr>
    </w:p>
    <w:p w14:paraId="6F67ABE4" w14:textId="77777777" w:rsidR="0012082A" w:rsidRPr="00EB60C1" w:rsidRDefault="0012082A" w:rsidP="00EB60C1">
      <w:pPr>
        <w:pStyle w:val="BodyText"/>
        <w:rPr>
          <w:rFonts w:ascii="Times New Roman" w:eastAsia="Times New Roman" w:hAnsi="Times New Roman"/>
          <w:strike/>
          <w:sz w:val="23"/>
          <w:szCs w:val="23"/>
        </w:rPr>
      </w:pPr>
    </w:p>
    <w:p w14:paraId="773A4AED" w14:textId="77777777" w:rsidR="00EB60C1" w:rsidRDefault="00EB60C1" w:rsidP="00EB60C1">
      <w:pPr>
        <w:pStyle w:val="BodyText"/>
        <w:rPr>
          <w:rFonts w:ascii="Times New Roman" w:hAnsi="Times New Roman"/>
          <w:sz w:val="23"/>
          <w:szCs w:val="23"/>
        </w:rPr>
      </w:pPr>
    </w:p>
    <w:p w14:paraId="1259651B" w14:textId="77777777" w:rsidR="006E1894" w:rsidRPr="006E1894" w:rsidRDefault="005E57DC" w:rsidP="0012082A">
      <w:pPr>
        <w:pStyle w:val="ListParagraph"/>
        <w:numPr>
          <w:ilvl w:val="0"/>
          <w:numId w:val="13"/>
        </w:numPr>
        <w:autoSpaceDE w:val="0"/>
        <w:autoSpaceDN w:val="0"/>
        <w:adjustRightInd w:val="0"/>
        <w:ind w:left="540" w:hanging="540"/>
        <w:jc w:val="both"/>
        <w:rPr>
          <w:rStyle w:val="Heading2Char"/>
          <w:rFonts w:eastAsiaTheme="minorHAnsi"/>
          <w:snapToGrid/>
        </w:rPr>
      </w:pPr>
      <w:r>
        <w:rPr>
          <w:rStyle w:val="Heading2Char"/>
          <w:rFonts w:eastAsiaTheme="minorHAnsi"/>
          <w:sz w:val="23"/>
          <w:szCs w:val="23"/>
        </w:rPr>
        <w:tab/>
      </w:r>
      <w:r w:rsidR="006E1894" w:rsidRPr="006E1894">
        <w:rPr>
          <w:rStyle w:val="Heading2Char"/>
          <w:rFonts w:eastAsiaTheme="minorHAnsi"/>
          <w:sz w:val="23"/>
          <w:szCs w:val="23"/>
        </w:rPr>
        <w:t xml:space="preserve">Article </w:t>
      </w:r>
      <w:r w:rsidR="00084FDB">
        <w:rPr>
          <w:rStyle w:val="Heading2Char"/>
          <w:rFonts w:eastAsiaTheme="minorHAnsi"/>
          <w:sz w:val="23"/>
          <w:szCs w:val="23"/>
        </w:rPr>
        <w:t>VII</w:t>
      </w:r>
      <w:r w:rsidR="006E1894" w:rsidRPr="006E1894">
        <w:rPr>
          <w:rStyle w:val="Heading2Char"/>
          <w:rFonts w:eastAsiaTheme="minorHAnsi"/>
          <w:sz w:val="23"/>
          <w:szCs w:val="23"/>
        </w:rPr>
        <w:t xml:space="preserve">, Section </w:t>
      </w:r>
      <w:r w:rsidR="00084FDB">
        <w:rPr>
          <w:rStyle w:val="Heading2Char"/>
          <w:rFonts w:eastAsiaTheme="minorHAnsi"/>
          <w:sz w:val="23"/>
          <w:szCs w:val="23"/>
        </w:rPr>
        <w:t>7.6</w:t>
      </w:r>
      <w:r w:rsidR="006E1894" w:rsidRPr="006E1894">
        <w:rPr>
          <w:rStyle w:val="Heading2Char"/>
          <w:rFonts w:eastAsiaTheme="minorHAnsi"/>
          <w:sz w:val="23"/>
          <w:szCs w:val="23"/>
        </w:rPr>
        <w:t xml:space="preserve"> </w:t>
      </w:r>
      <w:r w:rsidR="00084FDB">
        <w:rPr>
          <w:rStyle w:val="Heading2Char"/>
          <w:rFonts w:eastAsiaTheme="minorHAnsi"/>
          <w:sz w:val="23"/>
          <w:szCs w:val="23"/>
        </w:rPr>
        <w:t>shall be added to</w:t>
      </w:r>
      <w:r w:rsidR="006E1894" w:rsidRPr="006E1894">
        <w:rPr>
          <w:rStyle w:val="Heading2Char"/>
          <w:rFonts w:eastAsiaTheme="minorHAnsi"/>
          <w:sz w:val="23"/>
          <w:szCs w:val="23"/>
        </w:rPr>
        <w:t xml:space="preserve"> the Declaration as follows:</w:t>
      </w:r>
    </w:p>
    <w:p w14:paraId="0A886BCB" w14:textId="77777777" w:rsidR="00C26110" w:rsidRPr="00077BE5" w:rsidRDefault="00C26110" w:rsidP="00C26110">
      <w:pPr>
        <w:autoSpaceDE w:val="0"/>
        <w:autoSpaceDN w:val="0"/>
        <w:adjustRightInd w:val="0"/>
        <w:jc w:val="both"/>
        <w:rPr>
          <w:rFonts w:eastAsia="Times New Roman"/>
          <w:color w:val="000000"/>
          <w:sz w:val="23"/>
          <w:szCs w:val="23"/>
        </w:rPr>
      </w:pPr>
    </w:p>
    <w:p w14:paraId="2E9BF9F4" w14:textId="77777777" w:rsidR="00084FDB" w:rsidRDefault="00084FDB" w:rsidP="006E1894">
      <w:pPr>
        <w:suppressAutoHyphens/>
        <w:ind w:firstLine="720"/>
        <w:jc w:val="both"/>
        <w:rPr>
          <w:rStyle w:val="Heading2Char"/>
          <w:rFonts w:eastAsiaTheme="minorHAnsi"/>
          <w:sz w:val="23"/>
          <w:szCs w:val="23"/>
          <w:u w:val="single"/>
        </w:rPr>
      </w:pPr>
      <w:r>
        <w:rPr>
          <w:rStyle w:val="Heading2Char"/>
          <w:rFonts w:eastAsiaTheme="minorHAnsi"/>
          <w:sz w:val="23"/>
          <w:szCs w:val="23"/>
          <w:u w:val="single"/>
        </w:rPr>
        <w:t>7.6</w:t>
      </w:r>
      <w:r>
        <w:rPr>
          <w:rStyle w:val="Heading2Char"/>
          <w:rFonts w:eastAsiaTheme="minorHAnsi"/>
          <w:sz w:val="23"/>
          <w:szCs w:val="23"/>
          <w:u w:val="single"/>
        </w:rPr>
        <w:tab/>
        <w:t>RESALE CAPITAL ASSESSMENTS</w:t>
      </w:r>
    </w:p>
    <w:p w14:paraId="30D0C9C0" w14:textId="77777777" w:rsidR="00084FDB" w:rsidRDefault="00084FDB" w:rsidP="006E1894">
      <w:pPr>
        <w:suppressAutoHyphens/>
        <w:ind w:firstLine="720"/>
        <w:jc w:val="both"/>
        <w:rPr>
          <w:rStyle w:val="Heading2Char"/>
          <w:rFonts w:eastAsiaTheme="minorHAnsi"/>
          <w:sz w:val="23"/>
          <w:szCs w:val="23"/>
          <w:u w:val="single"/>
        </w:rPr>
      </w:pPr>
    </w:p>
    <w:p w14:paraId="54D8A8DC" w14:textId="77777777" w:rsidR="00077BE5" w:rsidRPr="00EB60C1" w:rsidRDefault="00084FDB" w:rsidP="00084FDB">
      <w:pPr>
        <w:suppressAutoHyphens/>
        <w:ind w:left="720" w:firstLine="720"/>
        <w:jc w:val="both"/>
        <w:rPr>
          <w:sz w:val="23"/>
          <w:szCs w:val="23"/>
          <w:u w:val="single"/>
        </w:rPr>
      </w:pPr>
      <w:r>
        <w:rPr>
          <w:rStyle w:val="Heading2Char"/>
          <w:rFonts w:eastAsiaTheme="minorHAnsi"/>
          <w:sz w:val="23"/>
          <w:szCs w:val="23"/>
          <w:u w:val="single"/>
        </w:rPr>
        <w:t>7.6.1</w:t>
      </w:r>
      <w:r w:rsidR="00077BE5" w:rsidRPr="00EB60C1">
        <w:rPr>
          <w:rStyle w:val="Heading2Char"/>
          <w:rFonts w:eastAsiaTheme="minorHAnsi"/>
          <w:sz w:val="23"/>
          <w:szCs w:val="23"/>
          <w:u w:val="single"/>
        </w:rPr>
        <w:tab/>
        <w:t>Resale Capital Assessment</w:t>
      </w:r>
      <w:r w:rsidR="00077BE5" w:rsidRPr="00EB60C1">
        <w:rPr>
          <w:sz w:val="23"/>
          <w:szCs w:val="23"/>
          <w:u w:val="single"/>
        </w:rPr>
        <w:t xml:space="preserve">.  The Association shall levy a Resale Capital Assessment upon the transferee of a conveyance of any Lot owned by an Owner to be used by the Association for any lawful purpose.  The amount of the Resale Capital Assessment shall be equal to two (2) quarterly assessment installments as determined by the annual Association budget, including reserves.  The due date shall be the date of the closing of the conveyance.  The Resale Capital Assessment shall, unless the transferor and transferee otherwise expressly agree, be the obligation of the transferee.  If unpaid at closing, the Association may collect the Resale Capital Assessment in the same manner as </w:t>
      </w:r>
      <w:r w:rsidR="00077BE5" w:rsidRPr="00037B04">
        <w:rPr>
          <w:sz w:val="23"/>
          <w:szCs w:val="23"/>
          <w:u w:val="single"/>
        </w:rPr>
        <w:t>a</w:t>
      </w:r>
      <w:r w:rsidR="00037B04" w:rsidRPr="00037B04">
        <w:rPr>
          <w:sz w:val="23"/>
          <w:szCs w:val="23"/>
          <w:u w:val="single"/>
        </w:rPr>
        <w:t>n</w:t>
      </w:r>
      <w:r w:rsidR="00077BE5" w:rsidRPr="00037B04">
        <w:rPr>
          <w:sz w:val="23"/>
          <w:szCs w:val="23"/>
          <w:u w:val="single"/>
        </w:rPr>
        <w:t xml:space="preserve"> </w:t>
      </w:r>
      <w:r w:rsidR="00037B04">
        <w:rPr>
          <w:sz w:val="23"/>
          <w:szCs w:val="23"/>
          <w:u w:val="single"/>
        </w:rPr>
        <w:t xml:space="preserve">Individual </w:t>
      </w:r>
      <w:r w:rsidR="00077BE5" w:rsidRPr="00037B04">
        <w:rPr>
          <w:sz w:val="23"/>
          <w:szCs w:val="23"/>
          <w:u w:val="single"/>
        </w:rPr>
        <w:t xml:space="preserve">Assessment </w:t>
      </w:r>
      <w:r w:rsidR="00077BE5" w:rsidRPr="00EB60C1">
        <w:rPr>
          <w:sz w:val="23"/>
          <w:szCs w:val="23"/>
          <w:u w:val="single"/>
        </w:rPr>
        <w:t xml:space="preserve">in this </w:t>
      </w:r>
      <w:r w:rsidR="00077BE5" w:rsidRPr="00037B04">
        <w:rPr>
          <w:sz w:val="23"/>
          <w:szCs w:val="23"/>
          <w:u w:val="single"/>
        </w:rPr>
        <w:t xml:space="preserve">Article </w:t>
      </w:r>
      <w:r w:rsidR="00037B04">
        <w:rPr>
          <w:sz w:val="23"/>
          <w:szCs w:val="23"/>
          <w:u w:val="single"/>
        </w:rPr>
        <w:t>VII.</w:t>
      </w:r>
    </w:p>
    <w:p w14:paraId="16D2DF29" w14:textId="77777777" w:rsidR="00077BE5" w:rsidRPr="00EB60C1" w:rsidRDefault="00077BE5" w:rsidP="00084FDB">
      <w:pPr>
        <w:tabs>
          <w:tab w:val="left" w:pos="1170"/>
          <w:tab w:val="left" w:pos="1620"/>
        </w:tabs>
        <w:suppressAutoHyphens/>
        <w:ind w:left="720" w:firstLine="720"/>
        <w:jc w:val="both"/>
        <w:rPr>
          <w:b/>
          <w:sz w:val="23"/>
          <w:szCs w:val="23"/>
          <w:u w:val="single"/>
        </w:rPr>
      </w:pPr>
    </w:p>
    <w:p w14:paraId="32C7D634" w14:textId="77777777" w:rsidR="00EB60C1" w:rsidRDefault="00077BE5" w:rsidP="00084FDB">
      <w:pPr>
        <w:ind w:left="720" w:firstLine="720"/>
        <w:jc w:val="both"/>
        <w:rPr>
          <w:sz w:val="23"/>
          <w:szCs w:val="23"/>
          <w:u w:val="single"/>
        </w:rPr>
      </w:pPr>
      <w:r w:rsidRPr="00EB60C1">
        <w:rPr>
          <w:sz w:val="23"/>
          <w:szCs w:val="23"/>
          <w:u w:val="single"/>
        </w:rPr>
        <w:t>For the purposes of this section, the term “conveyance” shall mean the nonexempt transfer of record legal title to a Lot by deed or other authorized means of conveyance for or without valuable consideration, and shall also refer to the transfer of possession and beneficial ownership by means of an agreement for deed.  The following conveyances shall be exempt from payment of the Resale Capital Assessment:</w:t>
      </w:r>
    </w:p>
    <w:p w14:paraId="3771461C" w14:textId="77777777" w:rsidR="00EB60C1" w:rsidRDefault="00EB60C1" w:rsidP="00084FDB">
      <w:pPr>
        <w:ind w:left="720" w:firstLine="720"/>
        <w:jc w:val="both"/>
        <w:rPr>
          <w:sz w:val="23"/>
          <w:szCs w:val="23"/>
          <w:u w:val="single"/>
        </w:rPr>
      </w:pPr>
    </w:p>
    <w:p w14:paraId="0F9B6303" w14:textId="77777777" w:rsidR="00EB60C1" w:rsidRDefault="00077BE5" w:rsidP="00084FDB">
      <w:pPr>
        <w:ind w:left="720" w:firstLine="1440"/>
        <w:jc w:val="both"/>
        <w:rPr>
          <w:sz w:val="23"/>
          <w:szCs w:val="23"/>
          <w:u w:val="single"/>
        </w:rPr>
      </w:pPr>
      <w:r w:rsidRPr="00EB60C1">
        <w:rPr>
          <w:sz w:val="23"/>
          <w:szCs w:val="23"/>
          <w:u w:val="single"/>
        </w:rPr>
        <w:t>(A)</w:t>
      </w:r>
      <w:r w:rsidRPr="00EB60C1">
        <w:rPr>
          <w:sz w:val="23"/>
          <w:szCs w:val="23"/>
          <w:u w:val="single"/>
        </w:rPr>
        <w:tab/>
        <w:t>a conveyance by any record title holder to any person or entity who was also a record title holder of the Lot being conveyed in the Association immediately prior to such conveyance;</w:t>
      </w:r>
    </w:p>
    <w:p w14:paraId="57321E77" w14:textId="77777777" w:rsidR="00EB60C1" w:rsidRDefault="00077BE5" w:rsidP="00084FDB">
      <w:pPr>
        <w:ind w:left="720" w:firstLine="1440"/>
        <w:jc w:val="both"/>
        <w:rPr>
          <w:sz w:val="23"/>
          <w:szCs w:val="23"/>
          <w:u w:val="single"/>
        </w:rPr>
      </w:pPr>
      <w:r w:rsidRPr="00EB60C1">
        <w:rPr>
          <w:sz w:val="23"/>
          <w:szCs w:val="23"/>
          <w:u w:val="single"/>
        </w:rPr>
        <w:t>(B)</w:t>
      </w:r>
      <w:r w:rsidRPr="00EB60C1">
        <w:rPr>
          <w:sz w:val="23"/>
          <w:szCs w:val="23"/>
          <w:u w:val="single"/>
        </w:rPr>
        <w:tab/>
        <w:t>a conveyance to the Owner’s estate, surviving spouse, or other heirs resulting from the death of an Owner;</w:t>
      </w:r>
    </w:p>
    <w:p w14:paraId="38C793CC" w14:textId="77777777" w:rsidR="00EB60C1" w:rsidRDefault="00EB60C1" w:rsidP="00084FDB">
      <w:pPr>
        <w:ind w:left="720" w:firstLine="1440"/>
        <w:jc w:val="both"/>
        <w:rPr>
          <w:sz w:val="23"/>
          <w:szCs w:val="23"/>
          <w:u w:val="single"/>
        </w:rPr>
      </w:pPr>
    </w:p>
    <w:p w14:paraId="5B7DC768" w14:textId="77777777" w:rsidR="00EB60C1" w:rsidRDefault="00077BE5" w:rsidP="00084FDB">
      <w:pPr>
        <w:ind w:left="720" w:firstLine="1440"/>
        <w:jc w:val="both"/>
        <w:rPr>
          <w:sz w:val="23"/>
          <w:szCs w:val="23"/>
          <w:u w:val="single"/>
        </w:rPr>
      </w:pPr>
      <w:r w:rsidRPr="00EB60C1">
        <w:rPr>
          <w:sz w:val="23"/>
          <w:szCs w:val="23"/>
          <w:u w:val="single"/>
        </w:rPr>
        <w:lastRenderedPageBreak/>
        <w:t>(C)</w:t>
      </w:r>
      <w:r w:rsidRPr="00EB60C1">
        <w:rPr>
          <w:sz w:val="23"/>
          <w:szCs w:val="23"/>
          <w:u w:val="single"/>
        </w:rPr>
        <w:tab/>
        <w:t>a conveyance by an Owner to a trust, partnership, corporation, or other entity so long as such entity is and remains wholly-owned by the Owner or by such Owner and the Owner’s spouse and/or children for estate planning or tax purposes;</w:t>
      </w:r>
    </w:p>
    <w:p w14:paraId="0357D9DF" w14:textId="77777777" w:rsidR="00EB60C1" w:rsidRDefault="00EB60C1" w:rsidP="00084FDB">
      <w:pPr>
        <w:ind w:left="720" w:firstLine="1440"/>
        <w:jc w:val="both"/>
        <w:rPr>
          <w:sz w:val="23"/>
          <w:szCs w:val="23"/>
          <w:u w:val="single"/>
        </w:rPr>
      </w:pPr>
    </w:p>
    <w:p w14:paraId="5C4DE181" w14:textId="77777777" w:rsidR="006E1894" w:rsidRPr="00EB60C1" w:rsidRDefault="00077BE5" w:rsidP="00084FDB">
      <w:pPr>
        <w:ind w:left="720" w:firstLine="1440"/>
        <w:jc w:val="both"/>
        <w:rPr>
          <w:sz w:val="23"/>
          <w:szCs w:val="23"/>
          <w:u w:val="single"/>
        </w:rPr>
      </w:pPr>
      <w:r w:rsidRPr="00EB60C1">
        <w:rPr>
          <w:sz w:val="23"/>
          <w:szCs w:val="23"/>
          <w:u w:val="single"/>
        </w:rPr>
        <w:t>(D)</w:t>
      </w:r>
      <w:r w:rsidRPr="00EB60C1">
        <w:rPr>
          <w:sz w:val="23"/>
          <w:szCs w:val="23"/>
          <w:u w:val="single"/>
        </w:rPr>
        <w:tab/>
        <w:t>a conveyance to the Association pursuant to a final judgment of foreclosure or deed in lieu of foreclosure.</w:t>
      </w:r>
    </w:p>
    <w:p w14:paraId="32D0F31F" w14:textId="77777777" w:rsidR="006E1894" w:rsidRDefault="006E1894" w:rsidP="00077BE5">
      <w:pPr>
        <w:autoSpaceDE w:val="0"/>
        <w:autoSpaceDN w:val="0"/>
        <w:adjustRightInd w:val="0"/>
        <w:jc w:val="both"/>
        <w:rPr>
          <w:sz w:val="23"/>
          <w:szCs w:val="23"/>
        </w:rPr>
      </w:pPr>
    </w:p>
    <w:p w14:paraId="150BBD43" w14:textId="77777777" w:rsidR="00401334" w:rsidRPr="006E1894" w:rsidRDefault="002C6CD9" w:rsidP="006E1894">
      <w:pPr>
        <w:autoSpaceDE w:val="0"/>
        <w:autoSpaceDN w:val="0"/>
        <w:adjustRightInd w:val="0"/>
        <w:jc w:val="center"/>
        <w:rPr>
          <w:rFonts w:eastAsia="Calibri"/>
          <w:sz w:val="23"/>
          <w:szCs w:val="23"/>
          <w:u w:val="dotted"/>
        </w:rPr>
      </w:pPr>
      <w:r>
        <w:rPr>
          <w:rFonts w:ascii="Palatino Linotype" w:hAnsi="Palatino Linotype"/>
          <w:noProof/>
          <w:spacing w:val="-3"/>
          <w:sz w:val="20"/>
          <w:szCs w:val="20"/>
        </w:rPr>
        <w:pict w14:anchorId="3DC51A41">
          <v:rect id="_x0000_i1025" alt="" style="width:468pt;height:.05pt;mso-width-percent:0;mso-height-percent:0;mso-width-percent:0;mso-height-percent:0" o:hralign="center" o:hrstd="t" o:hr="t" fillcolor="#aca899" stroked="f"/>
        </w:pict>
      </w:r>
    </w:p>
    <w:p w14:paraId="7E687460" w14:textId="77777777" w:rsidR="002A2BF3" w:rsidRPr="00077BE5" w:rsidRDefault="002A2BF3" w:rsidP="00034DF6">
      <w:pPr>
        <w:pStyle w:val="BodyTextIndent"/>
        <w:rPr>
          <w:rFonts w:ascii="Times New Roman" w:hAnsi="Times New Roman"/>
          <w:sz w:val="23"/>
          <w:szCs w:val="23"/>
        </w:rPr>
      </w:pPr>
    </w:p>
    <w:sectPr w:rsidR="002A2BF3" w:rsidRPr="00077BE5" w:rsidSect="005E57DC">
      <w:footerReference w:type="default" r:id="rId8"/>
      <w:pgSz w:w="12240" w:h="15840"/>
      <w:pgMar w:top="1440" w:right="1440" w:bottom="810" w:left="1440" w:header="720" w:footer="5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D37DF" w14:textId="77777777" w:rsidR="002C6CD9" w:rsidRDefault="002C6CD9" w:rsidP="00686EAB">
      <w:r>
        <w:separator/>
      </w:r>
    </w:p>
  </w:endnote>
  <w:endnote w:type="continuationSeparator" w:id="0">
    <w:p w14:paraId="1A61CDD7" w14:textId="77777777" w:rsidR="002C6CD9" w:rsidRDefault="002C6CD9" w:rsidP="0068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0"/>
        <w:szCs w:val="20"/>
      </w:rPr>
      <w:id w:val="1356086046"/>
      <w:docPartObj>
        <w:docPartGallery w:val="Page Numbers (Bottom of Page)"/>
        <w:docPartUnique/>
      </w:docPartObj>
    </w:sdtPr>
    <w:sdtEndPr/>
    <w:sdtContent>
      <w:sdt>
        <w:sdtPr>
          <w:rPr>
            <w:rFonts w:ascii="Palatino Linotype" w:hAnsi="Palatino Linotype"/>
            <w:sz w:val="20"/>
            <w:szCs w:val="20"/>
          </w:rPr>
          <w:id w:val="1289322858"/>
          <w:docPartObj>
            <w:docPartGallery w:val="Page Numbers (Top of Page)"/>
            <w:docPartUnique/>
          </w:docPartObj>
        </w:sdtPr>
        <w:sdtEndPr/>
        <w:sdtContent>
          <w:p w14:paraId="72CDAD65" w14:textId="77777777" w:rsidR="00270AAC" w:rsidRPr="00B3686B" w:rsidRDefault="00AA6FBC" w:rsidP="00F67826">
            <w:pPr>
              <w:pStyle w:val="Footer"/>
              <w:jc w:val="center"/>
              <w:rPr>
                <w:rFonts w:ascii="Palatino Linotype" w:hAnsi="Palatino Linotype"/>
                <w:sz w:val="20"/>
                <w:szCs w:val="20"/>
              </w:rPr>
            </w:pPr>
            <w:r w:rsidRPr="00B3686B">
              <w:rPr>
                <w:rFonts w:ascii="Palatino Linotype" w:hAnsi="Palatino Linotype"/>
                <w:sz w:val="20"/>
                <w:szCs w:val="20"/>
              </w:rPr>
              <w:t xml:space="preserve">Page </w:t>
            </w:r>
            <w:r w:rsidRPr="00B3686B">
              <w:rPr>
                <w:rFonts w:ascii="Palatino Linotype" w:hAnsi="Palatino Linotype"/>
                <w:bCs/>
                <w:sz w:val="20"/>
                <w:szCs w:val="20"/>
              </w:rPr>
              <w:fldChar w:fldCharType="begin"/>
            </w:r>
            <w:r w:rsidRPr="00B3686B">
              <w:rPr>
                <w:rFonts w:ascii="Palatino Linotype" w:hAnsi="Palatino Linotype"/>
                <w:bCs/>
                <w:sz w:val="20"/>
                <w:szCs w:val="20"/>
              </w:rPr>
              <w:instrText xml:space="preserve"> PAGE </w:instrText>
            </w:r>
            <w:r w:rsidRPr="00B3686B">
              <w:rPr>
                <w:rFonts w:ascii="Palatino Linotype" w:hAnsi="Palatino Linotype"/>
                <w:bCs/>
                <w:sz w:val="20"/>
                <w:szCs w:val="20"/>
              </w:rPr>
              <w:fldChar w:fldCharType="separate"/>
            </w:r>
            <w:r w:rsidR="0079156A">
              <w:rPr>
                <w:rFonts w:ascii="Palatino Linotype" w:hAnsi="Palatino Linotype"/>
                <w:bCs/>
                <w:noProof/>
                <w:sz w:val="20"/>
                <w:szCs w:val="20"/>
              </w:rPr>
              <w:t>2</w:t>
            </w:r>
            <w:r w:rsidRPr="00B3686B">
              <w:rPr>
                <w:rFonts w:ascii="Palatino Linotype" w:hAnsi="Palatino Linotype"/>
                <w:bCs/>
                <w:sz w:val="20"/>
                <w:szCs w:val="20"/>
              </w:rPr>
              <w:fldChar w:fldCharType="end"/>
            </w:r>
            <w:r w:rsidRPr="00B3686B">
              <w:rPr>
                <w:rFonts w:ascii="Palatino Linotype" w:hAnsi="Palatino Linotype"/>
                <w:sz w:val="20"/>
                <w:szCs w:val="20"/>
              </w:rPr>
              <w:t xml:space="preserve"> of </w:t>
            </w:r>
            <w:r w:rsidRPr="00B3686B">
              <w:rPr>
                <w:rFonts w:ascii="Palatino Linotype" w:hAnsi="Palatino Linotype"/>
                <w:bCs/>
                <w:sz w:val="20"/>
                <w:szCs w:val="20"/>
              </w:rPr>
              <w:fldChar w:fldCharType="begin"/>
            </w:r>
            <w:r w:rsidRPr="00B3686B">
              <w:rPr>
                <w:rFonts w:ascii="Palatino Linotype" w:hAnsi="Palatino Linotype"/>
                <w:bCs/>
                <w:sz w:val="20"/>
                <w:szCs w:val="20"/>
              </w:rPr>
              <w:instrText xml:space="preserve"> NUMPAGES  </w:instrText>
            </w:r>
            <w:r w:rsidRPr="00B3686B">
              <w:rPr>
                <w:rFonts w:ascii="Palatino Linotype" w:hAnsi="Palatino Linotype"/>
                <w:bCs/>
                <w:sz w:val="20"/>
                <w:szCs w:val="20"/>
              </w:rPr>
              <w:fldChar w:fldCharType="separate"/>
            </w:r>
            <w:r w:rsidR="0079156A">
              <w:rPr>
                <w:rFonts w:ascii="Palatino Linotype" w:hAnsi="Palatino Linotype"/>
                <w:bCs/>
                <w:noProof/>
                <w:sz w:val="20"/>
                <w:szCs w:val="20"/>
              </w:rPr>
              <w:t>2</w:t>
            </w:r>
            <w:r w:rsidRPr="00B3686B">
              <w:rPr>
                <w:rFonts w:ascii="Palatino Linotype" w:hAnsi="Palatino Linotype"/>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42876" w14:textId="77777777" w:rsidR="002C6CD9" w:rsidRDefault="002C6CD9" w:rsidP="00686EAB">
      <w:r>
        <w:separator/>
      </w:r>
    </w:p>
  </w:footnote>
  <w:footnote w:type="continuationSeparator" w:id="0">
    <w:p w14:paraId="12C9E9C7" w14:textId="77777777" w:rsidR="002C6CD9" w:rsidRDefault="002C6CD9" w:rsidP="0068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6440"/>
    <w:multiLevelType w:val="hybridMultilevel"/>
    <w:tmpl w:val="2F4E398E"/>
    <w:lvl w:ilvl="0" w:tplc="97506954">
      <w:start w:val="1"/>
      <w:numFmt w:val="decimal"/>
      <w:lvlText w:val="(%1)"/>
      <w:lvlJc w:val="left"/>
      <w:pPr>
        <w:ind w:left="2295" w:hanging="72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 w15:restartNumberingAfterBreak="0">
    <w:nsid w:val="19A44F99"/>
    <w:multiLevelType w:val="hybridMultilevel"/>
    <w:tmpl w:val="FB9C47FC"/>
    <w:lvl w:ilvl="0" w:tplc="0409000F">
      <w:start w:val="1"/>
      <w:numFmt w:val="decimal"/>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D935565"/>
    <w:multiLevelType w:val="hybridMultilevel"/>
    <w:tmpl w:val="0CA2081A"/>
    <w:lvl w:ilvl="0" w:tplc="6672B2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0C56F36"/>
    <w:multiLevelType w:val="hybridMultilevel"/>
    <w:tmpl w:val="661A58DC"/>
    <w:lvl w:ilvl="0" w:tplc="0D2A7E94">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FC5E5F"/>
    <w:multiLevelType w:val="hybridMultilevel"/>
    <w:tmpl w:val="76B23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D01"/>
    <w:multiLevelType w:val="hybridMultilevel"/>
    <w:tmpl w:val="C316C92A"/>
    <w:lvl w:ilvl="0" w:tplc="00003D6C">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 w15:restartNumberingAfterBreak="0">
    <w:nsid w:val="2F5E703C"/>
    <w:multiLevelType w:val="hybridMultilevel"/>
    <w:tmpl w:val="B97ED09C"/>
    <w:lvl w:ilvl="0" w:tplc="6C2675EC">
      <w:start w:val="1"/>
      <w:numFmt w:val="decimal"/>
      <w:lvlText w:val="%1."/>
      <w:lvlJc w:val="left"/>
      <w:pPr>
        <w:ind w:left="2520" w:hanging="360"/>
      </w:pPr>
      <w:rPr>
        <w:rFonts w:ascii="Times New Roman" w:eastAsia="Times New Roman" w:hAnsi="Times New Roman" w:cs="Times New Roman"/>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3417442"/>
    <w:multiLevelType w:val="hybridMultilevel"/>
    <w:tmpl w:val="661A58DC"/>
    <w:lvl w:ilvl="0" w:tplc="0D2A7E94">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227FB5"/>
    <w:multiLevelType w:val="hybridMultilevel"/>
    <w:tmpl w:val="677422B0"/>
    <w:lvl w:ilvl="0" w:tplc="C0621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1445D0"/>
    <w:multiLevelType w:val="hybridMultilevel"/>
    <w:tmpl w:val="7DEEBA22"/>
    <w:lvl w:ilvl="0" w:tplc="3AE86952">
      <w:start w:val="1"/>
      <w:numFmt w:val="upperLetter"/>
      <w:lvlText w:val="%1."/>
      <w:lvlJc w:val="left"/>
      <w:pPr>
        <w:ind w:left="1080" w:hanging="360"/>
      </w:pPr>
      <w:rPr>
        <w:rFonts w:hint="default"/>
        <w:b w:val="0"/>
      </w:rPr>
    </w:lvl>
    <w:lvl w:ilvl="1" w:tplc="FFFFFFFF">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4E19A0"/>
    <w:multiLevelType w:val="hybridMultilevel"/>
    <w:tmpl w:val="57E213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7B554A"/>
    <w:multiLevelType w:val="hybridMultilevel"/>
    <w:tmpl w:val="661A58DC"/>
    <w:lvl w:ilvl="0" w:tplc="0D2A7E94">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C726D34"/>
    <w:multiLevelType w:val="hybridMultilevel"/>
    <w:tmpl w:val="7C0C57BA"/>
    <w:lvl w:ilvl="0" w:tplc="26E6AAF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8"/>
  </w:num>
  <w:num w:numId="2">
    <w:abstractNumId w:val="9"/>
  </w:num>
  <w:num w:numId="3">
    <w:abstractNumId w:val="5"/>
  </w:num>
  <w:num w:numId="4">
    <w:abstractNumId w:val="1"/>
  </w:num>
  <w:num w:numId="5">
    <w:abstractNumId w:val="0"/>
  </w:num>
  <w:num w:numId="6">
    <w:abstractNumId w:val="6"/>
  </w:num>
  <w:num w:numId="7">
    <w:abstractNumId w:val="12"/>
  </w:num>
  <w:num w:numId="8">
    <w:abstractNumId w:val="2"/>
  </w:num>
  <w:num w:numId="9">
    <w:abstractNumId w:val="7"/>
  </w:num>
  <w:num w:numId="10">
    <w:abstractNumId w:val="11"/>
  </w:num>
  <w:num w:numId="11">
    <w:abstractNumId w:val="3"/>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44"/>
    <w:rsid w:val="00000440"/>
    <w:rsid w:val="000013F8"/>
    <w:rsid w:val="00004970"/>
    <w:rsid w:val="00010138"/>
    <w:rsid w:val="00034DF6"/>
    <w:rsid w:val="00036FAD"/>
    <w:rsid w:val="00037B04"/>
    <w:rsid w:val="00047CE6"/>
    <w:rsid w:val="00052BB8"/>
    <w:rsid w:val="00071B49"/>
    <w:rsid w:val="00077BE5"/>
    <w:rsid w:val="00084FDB"/>
    <w:rsid w:val="00094116"/>
    <w:rsid w:val="000C51BC"/>
    <w:rsid w:val="000F2A3D"/>
    <w:rsid w:val="001000E7"/>
    <w:rsid w:val="00114802"/>
    <w:rsid w:val="0012082A"/>
    <w:rsid w:val="00126596"/>
    <w:rsid w:val="0015370D"/>
    <w:rsid w:val="0015412A"/>
    <w:rsid w:val="0015686E"/>
    <w:rsid w:val="001859F9"/>
    <w:rsid w:val="00190BB6"/>
    <w:rsid w:val="001942A3"/>
    <w:rsid w:val="001A6FA8"/>
    <w:rsid w:val="001B0034"/>
    <w:rsid w:val="001B280F"/>
    <w:rsid w:val="001E69A9"/>
    <w:rsid w:val="00246FB9"/>
    <w:rsid w:val="00252D25"/>
    <w:rsid w:val="00261BC3"/>
    <w:rsid w:val="00263104"/>
    <w:rsid w:val="00264B66"/>
    <w:rsid w:val="00265980"/>
    <w:rsid w:val="00267470"/>
    <w:rsid w:val="002708F3"/>
    <w:rsid w:val="00270AAC"/>
    <w:rsid w:val="00282082"/>
    <w:rsid w:val="00285649"/>
    <w:rsid w:val="002A2BF3"/>
    <w:rsid w:val="002C6CD9"/>
    <w:rsid w:val="002D0064"/>
    <w:rsid w:val="002E7A0F"/>
    <w:rsid w:val="00305FF0"/>
    <w:rsid w:val="003529B6"/>
    <w:rsid w:val="003560C7"/>
    <w:rsid w:val="00381498"/>
    <w:rsid w:val="003846D9"/>
    <w:rsid w:val="00385716"/>
    <w:rsid w:val="00387A73"/>
    <w:rsid w:val="003B6EDB"/>
    <w:rsid w:val="003B728B"/>
    <w:rsid w:val="003D00F4"/>
    <w:rsid w:val="003E2547"/>
    <w:rsid w:val="003E6D9B"/>
    <w:rsid w:val="003F1FE9"/>
    <w:rsid w:val="00401334"/>
    <w:rsid w:val="0042478C"/>
    <w:rsid w:val="004256EA"/>
    <w:rsid w:val="0043603C"/>
    <w:rsid w:val="00437B87"/>
    <w:rsid w:val="00444025"/>
    <w:rsid w:val="00453267"/>
    <w:rsid w:val="004554BF"/>
    <w:rsid w:val="00472C4D"/>
    <w:rsid w:val="00495CEC"/>
    <w:rsid w:val="004B7D68"/>
    <w:rsid w:val="004C4F88"/>
    <w:rsid w:val="004D1B06"/>
    <w:rsid w:val="004D2FCA"/>
    <w:rsid w:val="004E5F7E"/>
    <w:rsid w:val="004F0F11"/>
    <w:rsid w:val="004F23CC"/>
    <w:rsid w:val="0052050E"/>
    <w:rsid w:val="00537BEA"/>
    <w:rsid w:val="00542BD0"/>
    <w:rsid w:val="00544184"/>
    <w:rsid w:val="00577025"/>
    <w:rsid w:val="00586CAA"/>
    <w:rsid w:val="00591336"/>
    <w:rsid w:val="005C13FD"/>
    <w:rsid w:val="005D11BB"/>
    <w:rsid w:val="005D2ECE"/>
    <w:rsid w:val="005E276E"/>
    <w:rsid w:val="005E57DC"/>
    <w:rsid w:val="005F4C57"/>
    <w:rsid w:val="006030B8"/>
    <w:rsid w:val="006042F5"/>
    <w:rsid w:val="00606575"/>
    <w:rsid w:val="00636FC3"/>
    <w:rsid w:val="00646438"/>
    <w:rsid w:val="00664A96"/>
    <w:rsid w:val="00685885"/>
    <w:rsid w:val="00686EAB"/>
    <w:rsid w:val="006959F7"/>
    <w:rsid w:val="006A20C9"/>
    <w:rsid w:val="006A69C8"/>
    <w:rsid w:val="006B248D"/>
    <w:rsid w:val="006C00AA"/>
    <w:rsid w:val="006D5037"/>
    <w:rsid w:val="006D7484"/>
    <w:rsid w:val="006D77A8"/>
    <w:rsid w:val="006E1894"/>
    <w:rsid w:val="006E4562"/>
    <w:rsid w:val="00700372"/>
    <w:rsid w:val="007128DC"/>
    <w:rsid w:val="00727223"/>
    <w:rsid w:val="00784D65"/>
    <w:rsid w:val="00784DEB"/>
    <w:rsid w:val="0079029D"/>
    <w:rsid w:val="0079156A"/>
    <w:rsid w:val="007947B6"/>
    <w:rsid w:val="00795E21"/>
    <w:rsid w:val="007C373E"/>
    <w:rsid w:val="007C7712"/>
    <w:rsid w:val="007E5B7E"/>
    <w:rsid w:val="00804B09"/>
    <w:rsid w:val="00806FDD"/>
    <w:rsid w:val="00822746"/>
    <w:rsid w:val="0082552E"/>
    <w:rsid w:val="00835FC0"/>
    <w:rsid w:val="00857B62"/>
    <w:rsid w:val="0087285E"/>
    <w:rsid w:val="008730F5"/>
    <w:rsid w:val="00877AB9"/>
    <w:rsid w:val="008806A5"/>
    <w:rsid w:val="00886A6D"/>
    <w:rsid w:val="008872F5"/>
    <w:rsid w:val="0089633A"/>
    <w:rsid w:val="00897A86"/>
    <w:rsid w:val="008B49BA"/>
    <w:rsid w:val="008D608F"/>
    <w:rsid w:val="008F2E04"/>
    <w:rsid w:val="00903A76"/>
    <w:rsid w:val="009062E1"/>
    <w:rsid w:val="00913025"/>
    <w:rsid w:val="00916657"/>
    <w:rsid w:val="00920A63"/>
    <w:rsid w:val="009371E1"/>
    <w:rsid w:val="009450AE"/>
    <w:rsid w:val="00964AAD"/>
    <w:rsid w:val="00981A8E"/>
    <w:rsid w:val="00990816"/>
    <w:rsid w:val="00991F8F"/>
    <w:rsid w:val="0099564D"/>
    <w:rsid w:val="009963C8"/>
    <w:rsid w:val="009F01EB"/>
    <w:rsid w:val="009F0A85"/>
    <w:rsid w:val="009F3CBB"/>
    <w:rsid w:val="009F5211"/>
    <w:rsid w:val="009F7249"/>
    <w:rsid w:val="00A053B0"/>
    <w:rsid w:val="00A257E6"/>
    <w:rsid w:val="00A3218B"/>
    <w:rsid w:val="00A326F8"/>
    <w:rsid w:val="00A43BD2"/>
    <w:rsid w:val="00A46E7D"/>
    <w:rsid w:val="00A478E9"/>
    <w:rsid w:val="00A87EE7"/>
    <w:rsid w:val="00A9645E"/>
    <w:rsid w:val="00AA6FBC"/>
    <w:rsid w:val="00AB7E4D"/>
    <w:rsid w:val="00AC7CD6"/>
    <w:rsid w:val="00AD672C"/>
    <w:rsid w:val="00AD7E38"/>
    <w:rsid w:val="00AF5F75"/>
    <w:rsid w:val="00AF6C6D"/>
    <w:rsid w:val="00B005AC"/>
    <w:rsid w:val="00B07899"/>
    <w:rsid w:val="00B1712F"/>
    <w:rsid w:val="00B3686B"/>
    <w:rsid w:val="00B5136A"/>
    <w:rsid w:val="00B66D53"/>
    <w:rsid w:val="00B85144"/>
    <w:rsid w:val="00BA4650"/>
    <w:rsid w:val="00BA6018"/>
    <w:rsid w:val="00BB6F1B"/>
    <w:rsid w:val="00BC63C5"/>
    <w:rsid w:val="00BD2746"/>
    <w:rsid w:val="00BE4D40"/>
    <w:rsid w:val="00BF1E88"/>
    <w:rsid w:val="00BF2CB7"/>
    <w:rsid w:val="00BF6797"/>
    <w:rsid w:val="00C0487A"/>
    <w:rsid w:val="00C07185"/>
    <w:rsid w:val="00C21ADC"/>
    <w:rsid w:val="00C26110"/>
    <w:rsid w:val="00C26C94"/>
    <w:rsid w:val="00C76B54"/>
    <w:rsid w:val="00C834AC"/>
    <w:rsid w:val="00C86BC8"/>
    <w:rsid w:val="00C876A5"/>
    <w:rsid w:val="00C928A3"/>
    <w:rsid w:val="00C961A3"/>
    <w:rsid w:val="00CA2E97"/>
    <w:rsid w:val="00CB4E13"/>
    <w:rsid w:val="00CC3474"/>
    <w:rsid w:val="00CC5C42"/>
    <w:rsid w:val="00CD3EF2"/>
    <w:rsid w:val="00CD6B43"/>
    <w:rsid w:val="00CE00A5"/>
    <w:rsid w:val="00CF61E9"/>
    <w:rsid w:val="00CF64AE"/>
    <w:rsid w:val="00CF6F88"/>
    <w:rsid w:val="00D327F1"/>
    <w:rsid w:val="00D32934"/>
    <w:rsid w:val="00D36091"/>
    <w:rsid w:val="00D4221E"/>
    <w:rsid w:val="00D45FF3"/>
    <w:rsid w:val="00D7010F"/>
    <w:rsid w:val="00D83B85"/>
    <w:rsid w:val="00D87D18"/>
    <w:rsid w:val="00D91CDC"/>
    <w:rsid w:val="00DA0E50"/>
    <w:rsid w:val="00DC7018"/>
    <w:rsid w:val="00DD3FD2"/>
    <w:rsid w:val="00DF3317"/>
    <w:rsid w:val="00E00ED7"/>
    <w:rsid w:val="00E0215B"/>
    <w:rsid w:val="00E0414A"/>
    <w:rsid w:val="00E243E5"/>
    <w:rsid w:val="00E55D64"/>
    <w:rsid w:val="00E67A77"/>
    <w:rsid w:val="00E71422"/>
    <w:rsid w:val="00E81816"/>
    <w:rsid w:val="00EA1AE6"/>
    <w:rsid w:val="00EA3819"/>
    <w:rsid w:val="00EA616D"/>
    <w:rsid w:val="00EB60C1"/>
    <w:rsid w:val="00ED0F3C"/>
    <w:rsid w:val="00EE1DFA"/>
    <w:rsid w:val="00EE6595"/>
    <w:rsid w:val="00EF496C"/>
    <w:rsid w:val="00EF78F6"/>
    <w:rsid w:val="00F0031C"/>
    <w:rsid w:val="00F12A54"/>
    <w:rsid w:val="00F2235F"/>
    <w:rsid w:val="00F37D0A"/>
    <w:rsid w:val="00F47A0C"/>
    <w:rsid w:val="00F51E67"/>
    <w:rsid w:val="00F615A7"/>
    <w:rsid w:val="00F61931"/>
    <w:rsid w:val="00F625C3"/>
    <w:rsid w:val="00F67826"/>
    <w:rsid w:val="00F723AE"/>
    <w:rsid w:val="00F81754"/>
    <w:rsid w:val="00F94E4F"/>
    <w:rsid w:val="00FC24D6"/>
    <w:rsid w:val="00FE314F"/>
    <w:rsid w:val="00FE3366"/>
    <w:rsid w:val="00FF2BCB"/>
    <w:rsid w:val="00FF3323"/>
    <w:rsid w:val="00FF6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C56F0"/>
  <w15:docId w15:val="{AD9984B8-8C57-46F1-B3FD-5E508725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DEB"/>
  </w:style>
  <w:style w:type="paragraph" w:styleId="Heading2">
    <w:name w:val="heading 2"/>
    <w:basedOn w:val="BodyText"/>
    <w:next w:val="Normal"/>
    <w:link w:val="Heading2Char"/>
    <w:unhideWhenUsed/>
    <w:qFormat/>
    <w:rsid w:val="00077BE5"/>
    <w:pPr>
      <w:widowControl w:val="0"/>
      <w:outlineLvl w:val="1"/>
    </w:pPr>
    <w:rPr>
      <w:rFonts w:ascii="Times New Roman" w:eastAsia="Times New Roman" w:hAnsi="Times New Roman"/>
      <w:b/>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6A5"/>
  </w:style>
  <w:style w:type="paragraph" w:customStyle="1" w:styleId="Default">
    <w:name w:val="Default"/>
    <w:uiPriority w:val="99"/>
    <w:rsid w:val="00686EAB"/>
    <w:pPr>
      <w:widowControl w:val="0"/>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686EAB"/>
    <w:pPr>
      <w:tabs>
        <w:tab w:val="center" w:pos="4680"/>
        <w:tab w:val="right" w:pos="9360"/>
      </w:tabs>
    </w:pPr>
  </w:style>
  <w:style w:type="character" w:customStyle="1" w:styleId="HeaderChar">
    <w:name w:val="Header Char"/>
    <w:basedOn w:val="DefaultParagraphFont"/>
    <w:link w:val="Header"/>
    <w:uiPriority w:val="99"/>
    <w:rsid w:val="00686EAB"/>
  </w:style>
  <w:style w:type="paragraph" w:styleId="Footer">
    <w:name w:val="footer"/>
    <w:basedOn w:val="Normal"/>
    <w:link w:val="FooterChar"/>
    <w:uiPriority w:val="99"/>
    <w:unhideWhenUsed/>
    <w:rsid w:val="00686EAB"/>
    <w:pPr>
      <w:tabs>
        <w:tab w:val="center" w:pos="4680"/>
        <w:tab w:val="right" w:pos="9360"/>
      </w:tabs>
    </w:pPr>
  </w:style>
  <w:style w:type="character" w:customStyle="1" w:styleId="FooterChar">
    <w:name w:val="Footer Char"/>
    <w:basedOn w:val="DefaultParagraphFont"/>
    <w:link w:val="Footer"/>
    <w:uiPriority w:val="99"/>
    <w:rsid w:val="00686EAB"/>
  </w:style>
  <w:style w:type="paragraph" w:styleId="ListParagraph">
    <w:name w:val="List Paragraph"/>
    <w:basedOn w:val="Normal"/>
    <w:uiPriority w:val="34"/>
    <w:qFormat/>
    <w:rsid w:val="00C07185"/>
    <w:pPr>
      <w:ind w:left="720"/>
      <w:contextualSpacing/>
    </w:pPr>
  </w:style>
  <w:style w:type="character" w:styleId="CommentReference">
    <w:name w:val="annotation reference"/>
    <w:basedOn w:val="DefaultParagraphFont"/>
    <w:uiPriority w:val="99"/>
    <w:semiHidden/>
    <w:unhideWhenUsed/>
    <w:rsid w:val="00265980"/>
    <w:rPr>
      <w:sz w:val="16"/>
      <w:szCs w:val="16"/>
    </w:rPr>
  </w:style>
  <w:style w:type="paragraph" w:styleId="CommentText">
    <w:name w:val="annotation text"/>
    <w:basedOn w:val="Normal"/>
    <w:link w:val="CommentTextChar"/>
    <w:uiPriority w:val="99"/>
    <w:semiHidden/>
    <w:unhideWhenUsed/>
    <w:rsid w:val="00265980"/>
    <w:rPr>
      <w:sz w:val="20"/>
      <w:szCs w:val="20"/>
    </w:rPr>
  </w:style>
  <w:style w:type="character" w:customStyle="1" w:styleId="CommentTextChar">
    <w:name w:val="Comment Text Char"/>
    <w:basedOn w:val="DefaultParagraphFont"/>
    <w:link w:val="CommentText"/>
    <w:uiPriority w:val="99"/>
    <w:semiHidden/>
    <w:rsid w:val="00265980"/>
    <w:rPr>
      <w:sz w:val="20"/>
      <w:szCs w:val="20"/>
    </w:rPr>
  </w:style>
  <w:style w:type="paragraph" w:styleId="CommentSubject">
    <w:name w:val="annotation subject"/>
    <w:basedOn w:val="CommentText"/>
    <w:next w:val="CommentText"/>
    <w:link w:val="CommentSubjectChar"/>
    <w:uiPriority w:val="99"/>
    <w:semiHidden/>
    <w:unhideWhenUsed/>
    <w:rsid w:val="00265980"/>
    <w:rPr>
      <w:b/>
      <w:bCs/>
    </w:rPr>
  </w:style>
  <w:style w:type="character" w:customStyle="1" w:styleId="CommentSubjectChar">
    <w:name w:val="Comment Subject Char"/>
    <w:basedOn w:val="CommentTextChar"/>
    <w:link w:val="CommentSubject"/>
    <w:uiPriority w:val="99"/>
    <w:semiHidden/>
    <w:rsid w:val="00265980"/>
    <w:rPr>
      <w:b/>
      <w:bCs/>
      <w:sz w:val="20"/>
      <w:szCs w:val="20"/>
    </w:rPr>
  </w:style>
  <w:style w:type="paragraph" w:styleId="BalloonText">
    <w:name w:val="Balloon Text"/>
    <w:basedOn w:val="Normal"/>
    <w:link w:val="BalloonTextChar"/>
    <w:uiPriority w:val="99"/>
    <w:semiHidden/>
    <w:unhideWhenUsed/>
    <w:rsid w:val="00265980"/>
    <w:rPr>
      <w:rFonts w:ascii="Tahoma" w:hAnsi="Tahoma" w:cs="Tahoma"/>
      <w:sz w:val="16"/>
      <w:szCs w:val="16"/>
    </w:rPr>
  </w:style>
  <w:style w:type="character" w:customStyle="1" w:styleId="BalloonTextChar">
    <w:name w:val="Balloon Text Char"/>
    <w:basedOn w:val="DefaultParagraphFont"/>
    <w:link w:val="BalloonText"/>
    <w:uiPriority w:val="99"/>
    <w:semiHidden/>
    <w:rsid w:val="00265980"/>
    <w:rPr>
      <w:rFonts w:ascii="Tahoma" w:hAnsi="Tahoma" w:cs="Tahoma"/>
      <w:sz w:val="16"/>
      <w:szCs w:val="16"/>
    </w:rPr>
  </w:style>
  <w:style w:type="paragraph" w:styleId="BodyText">
    <w:name w:val="Body Text"/>
    <w:basedOn w:val="Normal"/>
    <w:link w:val="BodyTextChar"/>
    <w:uiPriority w:val="99"/>
    <w:unhideWhenUsed/>
    <w:rsid w:val="00F67826"/>
    <w:pPr>
      <w:jc w:val="both"/>
    </w:pPr>
    <w:rPr>
      <w:rFonts w:ascii="Palatino Linotype" w:hAnsi="Palatino Linotype"/>
    </w:rPr>
  </w:style>
  <w:style w:type="character" w:customStyle="1" w:styleId="BodyTextChar">
    <w:name w:val="Body Text Char"/>
    <w:basedOn w:val="DefaultParagraphFont"/>
    <w:link w:val="BodyText"/>
    <w:uiPriority w:val="99"/>
    <w:rsid w:val="00F67826"/>
    <w:rPr>
      <w:rFonts w:ascii="Palatino Linotype" w:hAnsi="Palatino Linotype"/>
    </w:rPr>
  </w:style>
  <w:style w:type="paragraph" w:styleId="BlockText">
    <w:name w:val="Block Text"/>
    <w:basedOn w:val="Normal"/>
    <w:uiPriority w:val="99"/>
    <w:unhideWhenUsed/>
    <w:rsid w:val="007947B6"/>
    <w:pPr>
      <w:ind w:left="720" w:right="720"/>
      <w:jc w:val="both"/>
    </w:pPr>
    <w:rPr>
      <w:rFonts w:ascii="Palatino Linotype" w:eastAsia="Calibri" w:hAnsi="Palatino Linotype"/>
      <w:u w:val="single"/>
    </w:rPr>
  </w:style>
  <w:style w:type="paragraph" w:styleId="BodyTextIndent">
    <w:name w:val="Body Text Indent"/>
    <w:basedOn w:val="Normal"/>
    <w:link w:val="BodyTextIndentChar"/>
    <w:uiPriority w:val="99"/>
    <w:unhideWhenUsed/>
    <w:rsid w:val="007947B6"/>
    <w:pPr>
      <w:ind w:left="5040"/>
    </w:pPr>
    <w:rPr>
      <w:rFonts w:ascii="Palatino Linotype" w:hAnsi="Palatino Linotype"/>
      <w:b/>
    </w:rPr>
  </w:style>
  <w:style w:type="character" w:customStyle="1" w:styleId="BodyTextIndentChar">
    <w:name w:val="Body Text Indent Char"/>
    <w:basedOn w:val="DefaultParagraphFont"/>
    <w:link w:val="BodyTextIndent"/>
    <w:uiPriority w:val="99"/>
    <w:rsid w:val="007947B6"/>
    <w:rPr>
      <w:rFonts w:ascii="Palatino Linotype" w:hAnsi="Palatino Linotype"/>
      <w:b/>
    </w:rPr>
  </w:style>
  <w:style w:type="character" w:customStyle="1" w:styleId="Heading2Char">
    <w:name w:val="Heading 2 Char"/>
    <w:basedOn w:val="DefaultParagraphFont"/>
    <w:link w:val="Heading2"/>
    <w:rsid w:val="00077BE5"/>
    <w:rPr>
      <w:rFonts w:eastAsia="Times New Roman"/>
      <w:b/>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0824">
      <w:bodyDiv w:val="1"/>
      <w:marLeft w:val="0"/>
      <w:marRight w:val="0"/>
      <w:marTop w:val="0"/>
      <w:marBottom w:val="0"/>
      <w:divBdr>
        <w:top w:val="none" w:sz="0" w:space="0" w:color="auto"/>
        <w:left w:val="none" w:sz="0" w:space="0" w:color="auto"/>
        <w:bottom w:val="none" w:sz="0" w:space="0" w:color="auto"/>
        <w:right w:val="none" w:sz="0" w:space="0" w:color="auto"/>
      </w:divBdr>
    </w:div>
    <w:div w:id="387186804">
      <w:bodyDiv w:val="1"/>
      <w:marLeft w:val="0"/>
      <w:marRight w:val="0"/>
      <w:marTop w:val="0"/>
      <w:marBottom w:val="0"/>
      <w:divBdr>
        <w:top w:val="none" w:sz="0" w:space="0" w:color="auto"/>
        <w:left w:val="none" w:sz="0" w:space="0" w:color="auto"/>
        <w:bottom w:val="none" w:sz="0" w:space="0" w:color="auto"/>
        <w:right w:val="none" w:sz="0" w:space="0" w:color="auto"/>
      </w:divBdr>
    </w:div>
    <w:div w:id="654723360">
      <w:bodyDiv w:val="1"/>
      <w:marLeft w:val="0"/>
      <w:marRight w:val="0"/>
      <w:marTop w:val="0"/>
      <w:marBottom w:val="0"/>
      <w:divBdr>
        <w:top w:val="none" w:sz="0" w:space="0" w:color="auto"/>
        <w:left w:val="none" w:sz="0" w:space="0" w:color="auto"/>
        <w:bottom w:val="none" w:sz="0" w:space="0" w:color="auto"/>
        <w:right w:val="none" w:sz="0" w:space="0" w:color="auto"/>
      </w:divBdr>
    </w:div>
    <w:div w:id="74090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2CF38-4DB4-491F-B901-0BE47CFC6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JCG PA</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Cari</dc:creator>
  <cp:lastModifiedBy>Susan Vicedomini</cp:lastModifiedBy>
  <cp:revision>2</cp:revision>
  <cp:lastPrinted>2016-02-25T20:20:00Z</cp:lastPrinted>
  <dcterms:created xsi:type="dcterms:W3CDTF">2021-07-27T15:42:00Z</dcterms:created>
  <dcterms:modified xsi:type="dcterms:W3CDTF">2021-07-27T15:42:00Z</dcterms:modified>
</cp:coreProperties>
</file>