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80"/>
        <w:jc w:val="center"/>
      </w:pPr>
      <w:r>
        <w:rPr>
          <w:rFonts w:ascii="Georgia" w:cs="Georgia" w:eastAsia="Georgia" w:hAnsi="Georgia"/>
          <w:b/>
          <w:bCs/>
          <w:color w:val="0F1E3D"/>
          <w:sz w:val="30"/>
          <w:szCs w:val="30"/>
        </w:rPr>
        <w:t xml:space="preserve">THE IVY HOUSE SECONDARY SCHOOL FOR GIRLS</w:t>
      </w:r>
    </w:p>
    <w:p>
      <w:pPr>
        <w:spacing w:after="360"/>
        <w:jc w:val="center"/>
      </w:pPr>
      <w:r>
        <w:rPr>
          <w:rFonts w:ascii="Calibri" w:cs="Calibri" w:eastAsia="Calibri" w:hAnsi="Calibri"/>
          <w:i/>
          <w:iCs/>
          <w:color w:val="1C3057"/>
          <w:sz w:val="26"/>
          <w:szCs w:val="26"/>
        </w:rPr>
        <w:t xml:space="preserve">Gardens of Jannah Trust</w:t>
      </w:r>
    </w:p>
    <w:p>
      <w:pPr>
        <w:spacing w:after="70" w:before="200"/>
        <w:jc w:val="center"/>
      </w:pPr>
      <w:r>
        <w:rPr>
          <w:rFonts w:ascii="Georgia" w:cs="Georgia" w:eastAsia="Georgia" w:hAnsi="Georgia"/>
          <w:b/>
          <w:bCs/>
          <w:color w:val="0F1E3D"/>
          <w:sz w:val="62"/>
          <w:szCs w:val="62"/>
        </w:rPr>
        <w:t xml:space="preserve">The Muqaddimah</w:t>
      </w:r>
    </w:p>
    <w:p>
      <w:pPr>
        <w:spacing w:after="70"/>
        <w:jc w:val="center"/>
      </w:pPr>
      <w:r>
        <w:rPr>
          <w:rFonts w:ascii="Georgia" w:cs="Georgia" w:eastAsia="Georgia" w:hAnsi="Georgia"/>
          <w:b/>
          <w:bCs/>
          <w:color w:val="C9A227"/>
          <w:sz w:val="38"/>
          <w:szCs w:val="38"/>
        </w:rPr>
        <w:t xml:space="preserve">Civilisational History</w:t>
      </w:r>
    </w:p>
    <w:p>
      <w:pPr>
        <w:spacing w:after="60"/>
        <w:jc w:val="center"/>
      </w:pPr>
      <w:r>
        <w:rPr>
          <w:rFonts w:ascii="Calibri" w:cs="Calibri" w:eastAsia="Calibri" w:hAnsi="Calibri"/>
          <w:color w:val="1C3057"/>
          <w:sz w:val="28"/>
          <w:szCs w:val="28"/>
        </w:rPr>
        <w:t xml:space="preserve">Whole-School Long-Term Plan  |  Years 7 to 11</w:t>
      </w:r>
    </w:p>
    <w:p>
      <w:pPr>
        <w:spacing w:after="80" w:before="220"/>
        <w:jc w:val="center"/>
      </w:pPr>
      <w:r>
        <w:rPr>
          <w:rFonts w:ascii="Calibri" w:cs="Calibri" w:eastAsia="Calibri" w:hAnsi="Calibri"/>
          <w:i/>
          <w:iCs/>
          <w:color w:val="1C3057"/>
          <w:sz w:val="28"/>
          <w:szCs w:val="28"/>
        </w:rPr>
        <w:t xml:space="preserve">Inspired Minds. Empowered Futures.</w:t>
      </w:r>
    </w:p>
    <w:p>
      <w:pPr>
        <w:spacing w:before="420"/>
        <w:jc w:val="center"/>
      </w:pPr>
      <w:r>
        <w:rPr>
          <w:rFonts w:ascii="Calibri" w:cs="Calibri" w:eastAsia="Calibri" w:hAnsi="Calibri"/>
          <w:color w:val="5A5A5A"/>
          <w:sz w:val="23"/>
          <w:szCs w:val="23"/>
        </w:rPr>
        <w:t xml:space="preserve">Enrichment strand, one lesson a week  |  For first teaching September 2026  |  Version 1</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1. What This Strand Is</w:t>
      </w:r>
    </w:p>
    <w:p>
      <w:pPr>
        <w:spacing w:after="130" w:before="40" w:line="300"/>
      </w:pPr>
      <w:r>
        <w:rPr>
          <w:rFonts w:ascii="Calibri" w:cs="Calibri" w:eastAsia="Calibri" w:hAnsi="Calibri"/>
          <w:b w:val="false"/>
          <w:bCs w:val="false"/>
          <w:i w:val="false"/>
          <w:iCs w:val="false"/>
          <w:color w:val="1A1A1A"/>
          <w:sz w:val="28"/>
          <w:szCs w:val="28"/>
        </w:rPr>
        <w:t xml:space="preserve">The Muqaddimah is a five-year Civilisational History strand, taught for one lesson a week alongside mainstream statutory History. It is not the statutory curriculum and does not replace it. It uses the enrichment hour to carry the civilisational and Islamic intellectual depth that the timetable would otherwise have no room for.</w:t>
      </w:r>
    </w:p>
    <w:p>
      <w:pPr>
        <w:spacing w:after="130" w:before="40" w:line="300"/>
      </w:pPr>
      <w:r>
        <w:rPr>
          <w:rFonts w:ascii="Calibri" w:cs="Calibri" w:eastAsia="Calibri" w:hAnsi="Calibri"/>
          <w:b w:val="false"/>
          <w:bCs w:val="false"/>
          <w:i w:val="false"/>
          <w:iCs w:val="false"/>
          <w:color w:val="1A1A1A"/>
          <w:sz w:val="28"/>
          <w:szCs w:val="28"/>
        </w:rPr>
        <w:t xml:space="preserve">It takes its name and its method from the Muqaddimah of Ibn Khaldun, the 14th-century North African scholar who set out to study history as a science: not a chronicle of kings, but an enquiry into why civilisations rise, hold and fall. Our pupils learn to ask his question of the human past, and to answer it from evidence.</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C9A227" w:sz="24"/>
              <w:bottom w:val="none" w:color="FFFFFF" w:sz="0"/>
              <w:right w:val="none" w:color="FFFFFF" w:sz="0"/>
            </w:tcBorders>
            <w:shd w:fill="FAF3D9"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The thesis of the strand</w:t>
            </w:r>
          </w:p>
          <w:p>
            <w:pPr>
              <w:spacing w:after="60" w:before="20" w:line="292"/>
            </w:pPr>
            <w:r>
              <w:rPr>
                <w:rFonts w:ascii="Calibri" w:cs="Calibri" w:eastAsia="Calibri" w:hAnsi="Calibri"/>
                <w:color w:val="1A1A1A"/>
                <w:sz w:val="27"/>
                <w:szCs w:val="27"/>
              </w:rPr>
              <w:t xml:space="preserve">A connected world of learning became a divided one. Civilisations rise when bound by shared purpose and sustained by knowledge and justice; they weaken when that binding is lost, usually from within and before any external blow. The strand follows that pattern from its height, through the loss, to the modern division of the world, and ends by asking what lesson (ibra) the present should take from it.</w:t>
            </w:r>
          </w:p>
        </w:tc>
      </w:tr>
    </w:tbl>
    <w:p>
      <w:pPr>
        <w:pStyle w:val="Heading1"/>
        <w:pBdr>
          <w:bottom w:val="single" w:color="C9A227" w:sz="10" w:space="6"/>
        </w:pBdr>
        <w:spacing w:after="160" w:before="360"/>
      </w:pPr>
      <w:r>
        <w:rPr>
          <w:rFonts w:ascii="Georgia" w:cs="Georgia" w:eastAsia="Georgia" w:hAnsi="Georgia"/>
          <w:b/>
          <w:bCs/>
          <w:color w:val="0F1E3D"/>
          <w:sz w:val="38"/>
          <w:szCs w:val="38"/>
        </w:rPr>
        <w:t xml:space="preserve">2. The Ibn Khaldun Framework</w:t>
      </w:r>
    </w:p>
    <w:p>
      <w:pPr>
        <w:spacing w:after="130" w:before="40" w:line="300"/>
      </w:pPr>
      <w:r>
        <w:rPr>
          <w:rFonts w:ascii="Calibri" w:cs="Calibri" w:eastAsia="Calibri" w:hAnsi="Calibri"/>
          <w:b w:val="false"/>
          <w:bCs w:val="false"/>
          <w:i w:val="false"/>
          <w:iCs w:val="false"/>
          <w:color w:val="1A1A1A"/>
          <w:sz w:val="28"/>
          <w:szCs w:val="28"/>
        </w:rPr>
        <w:t xml:space="preserve">Five terms from the Muqaddimah run through every unit of the strand. They are taught as analytical tools, not vocabulary to memorise: pupils use them to explain what they study.</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2400"/>
        <w:gridCol w:w="12278"/>
      </w:tblGrid>
      <w:tr>
        <w:trPr>
          <w:tblHeader/>
        </w:trPr>
        <w:tc>
          <w:tcPr>
            <w:tcW w:type="dxa" w:w="24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Term (Arabic given alongside)</w:t>
            </w:r>
          </w:p>
        </w:tc>
        <w:tc>
          <w:tcPr>
            <w:tcW w:type="dxa" w:w="1227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Meaning as taught</w:t>
            </w:r>
          </w:p>
        </w:tc>
      </w:tr>
      <w:tr>
        <w:tc>
          <w:tcPr>
            <w:tcW w:type="dxa" w:w="2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Asabiyyah</w:t>
            </w:r>
          </w:p>
        </w:tc>
        <w:tc>
          <w:tcPr>
            <w:tcW w:type="dxa" w:w="122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Social cohesion: the shared purpose and solidarity that build and defend a society. The image of a rope of many strands.</w:t>
            </w:r>
          </w:p>
        </w:tc>
      </w:tr>
      <w:tr>
        <w:tc>
          <w:tcPr>
            <w:tcW w:type="dxa" w:w="2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Ilm</w:t>
            </w:r>
          </w:p>
        </w:tc>
        <w:tc>
          <w:tcPr>
            <w:tcW w:type="dxa" w:w="122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Knowledge: the systematic pursuit of understanding that lets a civilisation solve problems and build.</w:t>
            </w:r>
          </w:p>
        </w:tc>
      </w:tr>
      <w:tr>
        <w:tc>
          <w:tcPr>
            <w:tcW w:type="dxa" w:w="2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Adl</w:t>
            </w:r>
          </w:p>
        </w:tc>
        <w:tc>
          <w:tcPr>
            <w:tcW w:type="dxa" w:w="122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Justice: the fair treatment of all members of a society. Oppression destroys civilisations from within.</w:t>
            </w:r>
          </w:p>
        </w:tc>
      </w:tr>
      <w:tr>
        <w:tc>
          <w:tcPr>
            <w:tcW w:type="dxa" w:w="2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Umran</w:t>
            </w:r>
          </w:p>
        </w:tc>
        <w:tc>
          <w:tcPr>
            <w:tcW w:type="dxa" w:w="122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activity of building and sustaining: cities, institutions and culture carried across generations.</w:t>
            </w:r>
          </w:p>
        </w:tc>
      </w:tr>
      <w:tr>
        <w:tc>
          <w:tcPr>
            <w:tcW w:type="dxa" w:w="2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Ibra</w:t>
            </w:r>
          </w:p>
        </w:tc>
        <w:tc>
          <w:tcPr>
            <w:tcW w:type="dxa" w:w="122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Taking a lesson from the past. In the Islamic tradition, the purpose of studying history at all.</w:t>
            </w:r>
          </w:p>
        </w:tc>
      </w:tr>
    </w:tbl>
    <w:p>
      <w:pPr>
        <w:spacing w:after="130" w:before="60" w:line="300"/>
      </w:pPr>
      <w:r>
        <w:rPr>
          <w:rFonts w:ascii="Calibri" w:cs="Calibri" w:eastAsia="Calibri" w:hAnsi="Calibri"/>
          <w:b w:val="false"/>
          <w:bCs w:val="false"/>
          <w:i w:val="false"/>
          <w:iCs w:val="false"/>
          <w:color w:val="1A1A1A"/>
          <w:sz w:val="28"/>
          <w:szCs w:val="28"/>
        </w:rPr>
        <w:t xml:space="preserve">Ibn Khaldun is widely described as a founder of sociology and the philosophy of history. The strand teaches this as a strong and widely held judgement made by later scholars, not as a plain fact of the same kind as his dates. Distinguishing the two is itself part of the discipline.</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3. The Honesty Discipline</w:t>
      </w:r>
    </w:p>
    <w:p>
      <w:pPr>
        <w:spacing w:after="130" w:before="40" w:line="300"/>
      </w:pPr>
      <w:r>
        <w:rPr>
          <w:rFonts w:ascii="Calibri" w:cs="Calibri" w:eastAsia="Calibri" w:hAnsi="Calibri"/>
          <w:b w:val="false"/>
          <w:bCs w:val="false"/>
          <w:i w:val="false"/>
          <w:iCs w:val="false"/>
          <w:color w:val="1A1A1A"/>
          <w:sz w:val="28"/>
          <w:szCs w:val="28"/>
        </w:rPr>
        <w:t xml:space="preserve">The strand reconstructs the past truthfully or it does not teach it. This principle is not a slogan; it is built into the units.</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The documented and the contested are separated. Where the evidence is firm, it is taught as firm. Where it is genuinely disputed, the dispute is taught as the content, not smoothed over.</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Attractive myths are stated fairly, then tested against dates and evidence, and pupils are taught why the myth is attractive. The claim that the sack of Baghdad spilled knowledge west and caused the Renaissance is the strand's clearest worked example.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The strand teaches understanding, not advocacy. Its most sensitive unit, the contested history of Palestine, places the documented core and the genuinely contested deliberately apart, and teaches history, not a position.</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1C3057" w:sz="24"/>
              <w:bottom w:val="none" w:color="FFFFFF" w:sz="0"/>
              <w:right w:val="none" w:color="FFFFFF" w:sz="0"/>
            </w:tcBorders>
            <w:shd w:fill="EAF0F6"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Why this matters here</w:t>
            </w:r>
          </w:p>
          <w:p>
            <w:pPr>
              <w:spacing w:after="60" w:before="20" w:line="292"/>
            </w:pPr>
            <w:r>
              <w:rPr>
                <w:rFonts w:ascii="Calibri" w:cs="Calibri" w:eastAsia="Calibri" w:hAnsi="Calibri"/>
                <w:color w:val="1A1A1A"/>
                <w:sz w:val="27"/>
                <w:szCs w:val="27"/>
              </w:rPr>
              <w:t xml:space="preserve">A strand that argues a civilisational thesis is only trustworthy if it is scrupulous about evidence. The honesty discipline is what makes the argument worth making. It is also itself a training in sidq: reporting what the evidence shows, even when a neater story is available.</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4. The Six-Stage Civilisational Arc</w:t>
      </w:r>
    </w:p>
    <w:p>
      <w:pPr>
        <w:spacing w:after="160" w:before="40" w:line="300"/>
      </w:pPr>
      <w:r>
        <w:rPr>
          <w:rFonts w:ascii="Calibri" w:cs="Calibri" w:eastAsia="Calibri" w:hAnsi="Calibri"/>
          <w:b w:val="false"/>
          <w:bCs w:val="false"/>
          <w:i w:val="false"/>
          <w:iCs w:val="false"/>
          <w:color w:val="1A1A1A"/>
          <w:sz w:val="28"/>
          <w:szCs w:val="28"/>
        </w:rPr>
        <w:t xml:space="preserve">The strand is one continuous argument across five years. The six stages are the spine; the years deliver them.</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500"/>
        <w:gridCol w:w="3400"/>
        <w:gridCol w:w="1700"/>
        <w:gridCol w:w="8078"/>
      </w:tblGrid>
      <w:tr>
        <w:trPr>
          <w:tblHeader/>
        </w:trPr>
        <w:tc>
          <w:tcPr>
            <w:tcW w:type="dxa" w:w="15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Stage</w:t>
            </w:r>
          </w:p>
        </w:tc>
        <w:tc>
          <w:tcPr>
            <w:tcW w:type="dxa" w:w="34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Title</w:t>
            </w:r>
          </w:p>
        </w:tc>
        <w:tc>
          <w:tcPr>
            <w:tcW w:type="dxa" w:w="1700"/>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Year(s)</w:t>
            </w:r>
          </w:p>
        </w:tc>
        <w:tc>
          <w:tcPr>
            <w:tcW w:type="dxa" w:w="8078"/>
            <w:tcBorders>
              <w:top w:val="single" w:color="C9CBD4" w:sz="2"/>
              <w:left w:val="single" w:color="C9CBD4" w:sz="2"/>
              <w:bottom w:val="single" w:color="C9CBD4" w:sz="2"/>
              <w:right w:val="single" w:color="C9CBD4" w:sz="2"/>
            </w:tcBorders>
            <w:shd w:fill="0F1E3D" w:val="clear"/>
            <w:tcMar>
              <w:top w:type="dxa" w:w="90"/>
              <w:left w:type="dxa" w:w="130"/>
              <w:bottom w:type="dxa" w:w="90"/>
              <w:right w:type="dxa" w:w="130"/>
            </w:tcMar>
            <w:vAlign w:val="center"/>
          </w:tcPr>
          <w:p>
            <w:pPr>
              <w:spacing w:after="20" w:before="20" w:line="282"/>
              <w:jc w:val="left"/>
            </w:pPr>
            <w:r>
              <w:rPr>
                <w:rFonts w:ascii="Georgia" w:cs="Georgia" w:eastAsia="Georgia" w:hAnsi="Georgia"/>
                <w:b/>
                <w:bCs/>
                <w:color w:val="FFFFFF"/>
                <w:sz w:val="27"/>
                <w:szCs w:val="27"/>
              </w:rPr>
              <w:t xml:space="preserve">What it covers</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Stage 1</w:t>
            </w:r>
          </w:p>
        </w:tc>
        <w:tc>
          <w:tcPr>
            <w:tcW w:type="dxa" w:w="3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Knowledge builds a civilisation</w:t>
            </w:r>
          </w:p>
        </w:tc>
        <w:tc>
          <w:tcPr>
            <w:tcW w:type="dxa" w:w="1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7</w:t>
            </w:r>
          </w:p>
        </w:tc>
        <w:tc>
          <w:tcPr>
            <w:tcW w:type="dxa" w:w="80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What a civilisation is; Ibn Khaldun and the Muqaddimah; the rise of a learning civilisation through asabiyyah, ilm, adl and umran.</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Stage 2</w:t>
            </w:r>
          </w:p>
        </w:tc>
        <w:tc>
          <w:tcPr>
            <w:tcW w:type="dxa" w:w="3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height and what sustained it</w:t>
            </w:r>
          </w:p>
        </w:tc>
        <w:tc>
          <w:tcPr>
            <w:tcW w:type="dxa" w:w="17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7</w:t>
            </w:r>
          </w:p>
        </w:tc>
        <w:tc>
          <w:tcPr>
            <w:tcW w:type="dxa" w:w="80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flourishing: institutions of knowledge, justice and building; the conditions that hold a civilisation strong across generations.</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Stage 3</w:t>
            </w:r>
          </w:p>
        </w:tc>
        <w:tc>
          <w:tcPr>
            <w:tcW w:type="dxa" w:w="3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path lost, and the blow</w:t>
            </w:r>
          </w:p>
        </w:tc>
        <w:tc>
          <w:tcPr>
            <w:tcW w:type="dxa" w:w="1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8</w:t>
            </w:r>
          </w:p>
        </w:tc>
        <w:tc>
          <w:tcPr>
            <w:tcW w:type="dxa" w:w="80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Decline begins from within before any external blow; the Mongol blow to Baghdad (1258) at full weight but as a blow to an already-weakening centre; the Baghdad-to-Renaissance myth stated fairly then corrected.</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Stage 4</w:t>
            </w:r>
          </w:p>
        </w:tc>
        <w:tc>
          <w:tcPr>
            <w:tcW w:type="dxa" w:w="3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inversion</w:t>
            </w:r>
          </w:p>
        </w:tc>
        <w:tc>
          <w:tcPr>
            <w:tcW w:type="dxa" w:w="17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9</w:t>
            </w:r>
          </w:p>
        </w:tc>
        <w:tc>
          <w:tcPr>
            <w:tcW w:type="dxa" w:w="80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Europe ascends, building on inherited knowledge; the Islamic-sources thread introduced as a named scholarly argument, not asserted.</w:t>
            </w:r>
          </w:p>
        </w:tc>
      </w:tr>
      <w:tr>
        <w:tc>
          <w:tcPr>
            <w:tcW w:type="dxa" w:w="15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Stage 5</w:t>
            </w:r>
          </w:p>
        </w:tc>
        <w:tc>
          <w:tcPr>
            <w:tcW w:type="dxa" w:w="34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The gap becomes power: the carve-up</w:t>
            </w:r>
          </w:p>
        </w:tc>
        <w:tc>
          <w:tcPr>
            <w:tcW w:type="dxa" w:w="1700"/>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 9</w:t>
            </w:r>
          </w:p>
        </w:tc>
        <w:tc>
          <w:tcPr>
            <w:tcW w:type="dxa" w:w="8078"/>
            <w:tcBorders>
              <w:top w:val="single" w:color="C9CBD4" w:sz="2"/>
              <w:left w:val="single" w:color="C9CBD4" w:sz="2"/>
              <w:bottom w:val="single" w:color="C9CBD4" w:sz="2"/>
              <w:right w:val="single" w:color="C9CBD4" w:sz="2"/>
            </w:tcBorders>
            <w:shd w:fill="FFFFFF"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How a knowledge and technology gap became political control; the modern division of the connected world; the contested history handled with the honesty discipline at its strongest.</w:t>
            </w:r>
          </w:p>
        </w:tc>
      </w:tr>
      <w:tr>
        <w:tc>
          <w:tcPr>
            <w:tcW w:type="dxa" w:w="15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bCs/>
                <w:color w:val="1A1A1A"/>
                <w:sz w:val="26"/>
                <w:szCs w:val="26"/>
              </w:rPr>
              <w:t xml:space="preserve">Stage 6</w:t>
            </w:r>
          </w:p>
        </w:tc>
        <w:tc>
          <w:tcPr>
            <w:tcW w:type="dxa" w:w="34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Ibra: reading the lesson</w:t>
            </w:r>
          </w:p>
        </w:tc>
        <w:tc>
          <w:tcPr>
            <w:tcW w:type="dxa" w:w="1700"/>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Years 10 to 11</w:t>
            </w:r>
          </w:p>
        </w:tc>
        <w:tc>
          <w:tcPr>
            <w:tcW w:type="dxa" w:w="8078"/>
            <w:tcBorders>
              <w:top w:val="single" w:color="C9CBD4" w:sz="2"/>
              <w:left w:val="single" w:color="C9CBD4" w:sz="2"/>
              <w:bottom w:val="single" w:color="C9CBD4" w:sz="2"/>
              <w:right w:val="single" w:color="C9CBD4" w:sz="2"/>
            </w:tcBorders>
            <w:shd w:fill="F2F4F8" w:val="clear"/>
            <w:tcMar>
              <w:top w:type="dxa" w:w="90"/>
              <w:left w:type="dxa" w:w="130"/>
              <w:bottom w:type="dxa" w:w="90"/>
              <w:right w:type="dxa" w:w="130"/>
            </w:tcMar>
            <w:vAlign w:val="center"/>
          </w:tcPr>
          <w:p>
            <w:pPr>
              <w:spacing w:after="20" w:before="20" w:line="282"/>
              <w:jc w:val="left"/>
            </w:pPr>
            <w:r>
              <w:rPr>
                <w:rFonts w:ascii="Calibri" w:cs="Calibri" w:eastAsia="Calibri" w:hAnsi="Calibri"/>
                <w:b w:val="false"/>
                <w:bCs w:val="false"/>
                <w:color w:val="1A1A1A"/>
                <w:sz w:val="26"/>
                <w:szCs w:val="26"/>
              </w:rPr>
              <w:t xml:space="preserve">Epistemology: how a civilisation knows what it knows; then the close, oil, currency and the movement of scholars, and what the past asks of the present.</w:t>
            </w:r>
          </w:p>
        </w:tc>
      </w:tr>
    </w:tbl>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5. Year-by-Year Unit Map</w:t>
      </w:r>
    </w:p>
    <w:p>
      <w:pPr>
        <w:spacing w:after="160" w:before="40" w:line="300"/>
      </w:pPr>
      <w:r>
        <w:rPr>
          <w:rFonts w:ascii="Calibri" w:cs="Calibri" w:eastAsia="Calibri" w:hAnsi="Calibri"/>
          <w:b w:val="false"/>
          <w:bCs w:val="false"/>
          <w:i w:val="false"/>
          <w:iCs w:val="false"/>
          <w:color w:val="1A1A1A"/>
          <w:sz w:val="28"/>
          <w:szCs w:val="28"/>
        </w:rPr>
        <w:t xml:space="preserve">Each year is four units, one strand lesson a week, in teaching order. The Medium-Term Plans deliver these units; this map shows how they sit within the arc.</w:t>
      </w:r>
    </w:p>
    <w:p>
      <w:pPr>
        <w:pStyle w:val="Heading2"/>
        <w:spacing w:after="120" w:before="280"/>
      </w:pPr>
      <w:r>
        <w:rPr>
          <w:rFonts w:ascii="Georgia" w:cs="Georgia" w:eastAsia="Georgia" w:hAnsi="Georgia"/>
          <w:b/>
          <w:bCs/>
          <w:color w:val="1C3057"/>
          <w:sz w:val="32"/>
          <w:szCs w:val="32"/>
        </w:rPr>
        <w:t xml:space="preserve">Year 7  |  Stage 1 and 2: the rise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U1  What a civilisation is, and Ibn Khaldun</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U2  Asabiyyah and the binding of a society</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U3  Ilm and adl: knowledge and justice as the engines of building</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U4  Umran: the height of a learning civilisation</w:t>
      </w:r>
    </w:p>
    <w:p>
      <w:pPr>
        <w:pStyle w:val="Heading2"/>
        <w:spacing w:after="120" w:before="280"/>
      </w:pPr>
      <w:r>
        <w:rPr>
          <w:rFonts w:ascii="Georgia" w:cs="Georgia" w:eastAsia="Georgia" w:hAnsi="Georgia"/>
          <w:b/>
          <w:bCs/>
          <w:color w:val="1C3057"/>
          <w:sz w:val="32"/>
          <w:szCs w:val="32"/>
        </w:rPr>
        <w:t xml:space="preserve">Year 8  |  Stage 3: the hinge, ascent turns to decline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U1  The narrowing: how the path of enquiry was lost</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U2  The Mongol blow: Baghdad 1258</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U3  The myth corrected: why the sack did not cause the Renaissance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U4  The Ottoman world: a civilisation that held, then weakened</w:t>
      </w:r>
    </w:p>
    <w:p>
      <w:pPr>
        <w:pageBreakBefore/>
      </w:pPr>
    </w:p>
    <w:p>
      <w:pPr>
        <w:pStyle w:val="Heading2"/>
        <w:spacing w:after="120" w:before="280"/>
      </w:pPr>
      <w:r>
        <w:rPr>
          <w:rFonts w:ascii="Georgia" w:cs="Georgia" w:eastAsia="Georgia" w:hAnsi="Georgia"/>
          <w:b/>
          <w:bCs/>
          <w:color w:val="1C3057"/>
          <w:sz w:val="32"/>
          <w:szCs w:val="32"/>
        </w:rPr>
        <w:t xml:space="preserve">Year 9  |  Stages 4 and 5: the inversion and the carve-up</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U1  Europe ascends: built on the inheritance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U2  The gap becomes power</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U3  The carve-up of the connected world</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U4  Palestine: the contested history, taught with the honesty discipline</w:t>
      </w:r>
    </w:p>
    <w:p>
      <w:pPr>
        <w:pStyle w:val="Heading2"/>
        <w:spacing w:after="120" w:before="280"/>
      </w:pPr>
      <w:r>
        <w:rPr>
          <w:rFonts w:ascii="Georgia" w:cs="Georgia" w:eastAsia="Georgia" w:hAnsi="Georgia"/>
          <w:b/>
          <w:bCs/>
          <w:color w:val="1C3057"/>
          <w:sz w:val="32"/>
          <w:szCs w:val="32"/>
        </w:rPr>
        <w:t xml:space="preserve">Year 10  |  Stage 6 (part one): epistemology</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U1  How a civilisation knows what it knows</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U2  Two traditions of knowledge, described accurately</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U3  Evidence, authority and the limits of each</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U4  Judgement: holding a question open without closing it</w:t>
      </w:r>
    </w:p>
    <w:p>
      <w:pPr>
        <w:pageBreakBefore/>
      </w:pPr>
    </w:p>
    <w:p>
      <w:pPr>
        <w:pStyle w:val="Heading2"/>
        <w:spacing w:after="120" w:before="280"/>
      </w:pPr>
      <w:r>
        <w:rPr>
          <w:rFonts w:ascii="Georgia" w:cs="Georgia" w:eastAsia="Georgia" w:hAnsi="Georgia"/>
          <w:b/>
          <w:bCs/>
          <w:color w:val="1C3057"/>
          <w:sz w:val="32"/>
          <w:szCs w:val="32"/>
        </w:rPr>
        <w:t xml:space="preserve">Year 11  |  Stage 6 (part two): ibra and the close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U1  Oil, currency and the shape of the modern world</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U2  The movement of scholars and the question of brain drain</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U3  Reading the pattern: rise and fall in our own time</w:t>
      </w:r>
    </w:p>
    <w:p>
      <w:pPr>
        <w:spacing w:after="80" w:before="20" w:line="300"/>
        <w:ind w:left="360" w:hanging="230"/>
      </w:pPr>
      <w:r>
        <w:rPr>
          <w:rFonts w:ascii="Calibri" w:cs="Calibri" w:eastAsia="Calibri" w:hAnsi="Calibri"/>
          <w:b/>
          <w:bCs/>
          <w:color w:val="C9A227"/>
          <w:sz w:val="28"/>
          <w:szCs w:val="28"/>
        </w:rPr>
        <w:t xml:space="preserve">•  </w:t>
      </w:r>
      <w:r>
        <w:rPr>
          <w:rFonts w:ascii="Calibri" w:cs="Calibri" w:eastAsia="Calibri" w:hAnsi="Calibri"/>
          <w:color w:val="1A1A1A"/>
          <w:sz w:val="28"/>
          <w:szCs w:val="28"/>
        </w:rPr>
        <w:t xml:space="preserve">U4  Ibra: what the past asks of those who study it</w:t>
      </w:r>
    </w:p>
    <w:p>
      <w:pPr>
        <w:pageBreakBefore/>
      </w:pPr>
    </w:p>
    <w:p>
      <w:pPr>
        <w:pStyle w:val="Heading1"/>
        <w:pBdr>
          <w:bottom w:val="single" w:color="C9A227" w:sz="10" w:space="6"/>
        </w:pBdr>
        <w:spacing w:after="160" w:before="360"/>
      </w:pPr>
      <w:r>
        <w:rPr>
          <w:rFonts w:ascii="Georgia" w:cs="Georgia" w:eastAsia="Georgia" w:hAnsi="Georgia"/>
          <w:b/>
          <w:bCs/>
          <w:color w:val="0F1E3D"/>
          <w:sz w:val="38"/>
          <w:szCs w:val="38"/>
        </w:rPr>
        <w:t xml:space="preserve">6. How the Strand Is Taught</w:t>
      </w:r>
    </w:p>
    <w:p>
      <w:pPr>
        <w:spacing w:after="130" w:before="40" w:line="300"/>
      </w:pPr>
      <w:r>
        <w:rPr>
          <w:rFonts w:ascii="Calibri" w:cs="Calibri" w:eastAsia="Calibri" w:hAnsi="Calibri"/>
          <w:b w:val="false"/>
          <w:bCs w:val="false"/>
          <w:i w:val="false"/>
          <w:iCs w:val="false"/>
          <w:color w:val="1A1A1A"/>
          <w:sz w:val="28"/>
          <w:szCs w:val="28"/>
        </w:rPr>
        <w:t xml:space="preserve">Every lesson opens with retrieval of prior learning and closes with a written exit product the teacher can scan. The framework terms are referred to explicitly with pupils, not left implicit. Each lesson has a genuine worldview moment: a Quranic verse or hadith, a framework point, or an Islamic civilisational parallel, made explicit rather than incidental.</w:t>
      </w:r>
    </w:p>
    <w:p>
      <w:pPr>
        <w:spacing w:after="130" w:before="40" w:line="300"/>
      </w:pPr>
      <w:r>
        <w:rPr>
          <w:rFonts w:ascii="Calibri" w:cs="Calibri" w:eastAsia="Calibri" w:hAnsi="Calibri"/>
          <w:b w:val="false"/>
          <w:bCs w:val="false"/>
          <w:i w:val="false"/>
          <w:iCs w:val="false"/>
          <w:color w:val="1A1A1A"/>
          <w:sz w:val="28"/>
          <w:szCs w:val="28"/>
        </w:rPr>
        <w:t xml:space="preserve">The strand is knowledge-rich and built on sources. A sources log underpins the strand so that claims can be traced. Knowledge organisers support each year so pupils carry the core securely from one stage to the next.</w:t>
      </w:r>
    </w:p>
    <w:p>
      <w:pPr>
        <w:pStyle w:val="Heading1"/>
        <w:pBdr>
          <w:bottom w:val="single" w:color="C9A227" w:sz="10" w:space="6"/>
        </w:pBdr>
        <w:spacing w:after="160" w:before="360"/>
      </w:pPr>
      <w:r>
        <w:rPr>
          <w:rFonts w:ascii="Georgia" w:cs="Georgia" w:eastAsia="Georgia" w:hAnsi="Georgia"/>
          <w:b/>
          <w:bCs/>
          <w:color w:val="0F1E3D"/>
          <w:sz w:val="38"/>
          <w:szCs w:val="38"/>
        </w:rPr>
        <w:t xml:space="preserve">7. How to Use This Plan</w:t>
      </w:r>
    </w:p>
    <w:p>
      <w:pPr>
        <w:spacing w:after="130" w:before="40" w:line="300"/>
      </w:pPr>
      <w:r>
        <w:rPr>
          <w:rFonts w:ascii="Calibri" w:cs="Calibri" w:eastAsia="Calibri" w:hAnsi="Calibri"/>
          <w:b w:val="false"/>
          <w:bCs w:val="false"/>
          <w:i w:val="false"/>
          <w:iCs w:val="false"/>
          <w:color w:val="1A1A1A"/>
          <w:sz w:val="28"/>
          <w:szCs w:val="28"/>
        </w:rPr>
        <w:t xml:space="preserve">This is the locked strategic spine of the strand. For week-by-week delivery, use the year unit Medium-Term Plans. For the core knowledge pupils must hold, use the year knowledge organisers. Any teacher new to the strand should read sections 1 to 4 of this plan before teaching, so that the argument and the honesty discipline are clear before the first lesson.</w:t>
      </w:r>
    </w:p>
    <w:tbl>
      <w:tblPr>
        <w:tblW w:type="dxa" w:w="14678"/>
        <w:tblBorders>
          <w:top w:val="single" w:color="auto" w:sz="4"/>
          <w:left w:val="single" w:color="auto" w:sz="4"/>
          <w:bottom w:val="single" w:color="auto" w:sz="4"/>
          <w:right w:val="single" w:color="auto" w:sz="4"/>
          <w:insideH w:val="single" w:color="auto" w:sz="4"/>
          <w:insideV w:val="single" w:color="auto" w:sz="4"/>
        </w:tblBorders>
      </w:tblPr>
      <w:tblGrid>
        <w:gridCol w:w="14678"/>
      </w:tblGrid>
      <w:tr>
        <w:tc>
          <w:tcPr>
            <w:tcW w:type="dxa" w:w="14678"/>
            <w:tcBorders>
              <w:top w:val="none" w:color="FFFFFF" w:sz="0"/>
              <w:left w:val="single" w:color="C9A227" w:sz="24"/>
              <w:bottom w:val="none" w:color="FFFFFF" w:sz="0"/>
              <w:right w:val="none" w:color="FFFFFF" w:sz="0"/>
            </w:tcBorders>
            <w:shd w:fill="FAF3D9" w:val="clear"/>
            <w:tcMar>
              <w:top w:type="dxa" w:w="170"/>
              <w:left w:type="dxa" w:w="250"/>
              <w:bottom w:type="dxa" w:w="170"/>
              <w:right w:type="dxa" w:w="210"/>
            </w:tcMar>
          </w:tcPr>
          <w:p>
            <w:pPr>
              <w:spacing w:after="70" w:before="60"/>
            </w:pPr>
            <w:r>
              <w:rPr>
                <w:rFonts w:ascii="Georgia" w:cs="Georgia" w:eastAsia="Georgia" w:hAnsi="Georgia"/>
                <w:b/>
                <w:bCs/>
                <w:color w:val="0F1E3D"/>
                <w:sz w:val="28"/>
                <w:szCs w:val="28"/>
              </w:rPr>
              <w:t xml:space="preserve">Status note</w:t>
            </w:r>
          </w:p>
          <w:p>
            <w:pPr>
              <w:spacing w:after="60" w:before="20" w:line="292"/>
            </w:pPr>
            <w:r>
              <w:rPr>
                <w:rFonts w:ascii="Calibri" w:cs="Calibri" w:eastAsia="Calibri" w:hAnsi="Calibri"/>
                <w:color w:val="1A1A1A"/>
                <w:sz w:val="27"/>
                <w:szCs w:val="27"/>
              </w:rPr>
              <w:t xml:space="preserve">This Long-Term Plan is the locked spine. It is rebuilt here to match the established strand structure for a single-file reference. The Medium-Term Plans, knowledge organisers and sources log are maintained as separate documents within the strand package.</w:t>
            </w:r>
          </w:p>
        </w:tc>
      </w:tr>
    </w:tbl>
    <w:sectPr>
      <w:headerReference w:type="default" r:id="rId7"/>
      <w:footerReference w:type="default" r:id="rId8"/>
      <w:pgSz w:w="16838" w:h="11906"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5A5A"/>
        <w:sz w:val="18"/>
        <w:szCs w:val="18"/>
      </w:rPr>
      <w:t xml:space="preserve">Page </w:t>
    </w:r>
    <w:r>
      <w:rPr>
        <w:rFonts w:ascii="Calibri" w:cs="Calibri" w:eastAsia="Calibri" w:hAnsi="Calibri"/>
        <w:color w:val="5A5A5A"/>
        <w:sz w:val="18"/>
        <w:szCs w:val="18"/>
      </w:rPr>
      <w:fldChar w:fldCharType="begin"/>
      <w:instrText xml:space="preserve">PAGE</w:instrText>
      <w:fldChar w:fldCharType="separate"/>
      <w:fldChar w:fldCharType="end"/>
    </w:r>
    <w:r>
      <w:rPr>
        <w:rFonts w:ascii="Calibri" w:cs="Calibri" w:eastAsia="Calibri" w:hAnsi="Calibri"/>
        <w:color w:val="5A5A5A"/>
        <w:sz w:val="18"/>
        <w:szCs w:val="18"/>
      </w:rPr>
      <w:t xml:space="preserve"> of </w:t>
    </w:r>
    <w:r>
      <w:rPr>
        <w:rFonts w:ascii="Calibri" w:cs="Calibri" w:eastAsia="Calibri" w:hAnsi="Calibri"/>
        <w:color w:val="5A5A5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227" w:sz="4" w:space="6"/>
      </w:pBdr>
      <w:spacing w:after="40"/>
      <w:jc w:val="right"/>
    </w:pPr>
    <w:r>
      <w:rPr>
        <w:rFonts w:ascii="Calibri" w:cs="Calibri" w:eastAsia="Calibri" w:hAnsi="Calibri"/>
        <w:color w:val="1C3057"/>
        <w:sz w:val="18"/>
        <w:szCs w:val="18"/>
      </w:rPr>
      <w:t xml:space="preserve">The Ivy House Secondary School for Girls  |  The Muqaddimah, Civilisational History  |  Whole-School LTP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Georgia" w:cs="Georgia" w:eastAsia="Georgia" w:hAnsi="Georgia"/>
      <w:b/>
      <w:bCs/>
      <w:color w:val="0F1E3D"/>
      <w:sz w:val="38"/>
      <w:szCs w:val="38"/>
    </w:rPr>
  </w:style>
  <w:style w:type="paragraph" w:styleId="Heading2">
    <w:name w:val="Heading 2"/>
    <w:basedOn w:val="Normal"/>
    <w:next w:val="Normal"/>
    <w:qFormat/>
    <w:pPr>
      <w:spacing w:after="120" w:before="280"/>
      <w:outlineLvl w:val="1"/>
    </w:pPr>
    <w:rPr>
      <w:rFonts w:ascii="Georgia" w:cs="Georgia" w:eastAsia="Georgia" w:hAnsi="Georgia"/>
      <w:b/>
      <w:bCs/>
      <w:color w:val="1C3057"/>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2026-05-18T14:56:49.559Z</dcterms:created>
  <dcterms:modified xsi:type="dcterms:W3CDTF">2026-05-18T14:56:49.573Z</dcterms:modified>
</cp:coreProperties>
</file>

<file path=docProps/custom.xml><?xml version="1.0" encoding="utf-8"?>
<Properties xmlns="http://schemas.openxmlformats.org/officeDocument/2006/custom-properties" xmlns:vt="http://schemas.openxmlformats.org/officeDocument/2006/docPropsVTypes"/>
</file>