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700"/>
        <w:jc w:val="center"/>
      </w:pPr>
      <w:r>
        <w:rPr>
          <w:rFonts w:ascii="Georgia" w:cs="Georgia" w:eastAsia="Georgia" w:hAnsi="Georgia"/>
          <w:b/>
          <w:bCs/>
          <w:color w:val="0F1E3D"/>
          <w:sz w:val="30"/>
          <w:szCs w:val="30"/>
        </w:rPr>
        <w:t xml:space="preserve">THE IVY HOUSE SECONDARY SCHOOL FOR GIRLS</w:t>
      </w:r>
    </w:p>
    <w:p>
      <w:pPr>
        <w:spacing w:after="380"/>
        <w:jc w:val="center"/>
      </w:pPr>
      <w:r>
        <w:rPr>
          <w:rFonts w:ascii="Calibri" w:cs="Calibri" w:eastAsia="Calibri" w:hAnsi="Calibri"/>
          <w:i/>
          <w:iCs/>
          <w:color w:val="1C3057"/>
          <w:sz w:val="26"/>
          <w:szCs w:val="26"/>
        </w:rPr>
        <w:t xml:space="preserve">Gardens of Jannah Trust</w:t>
      </w:r>
    </w:p>
    <w:p>
      <w:pPr>
        <w:spacing w:after="80" w:before="240"/>
        <w:jc w:val="center"/>
      </w:pPr>
      <w:r>
        <w:rPr>
          <w:rFonts w:ascii="Georgia" w:cs="Georgia" w:eastAsia="Georgia" w:hAnsi="Georgia"/>
          <w:b/>
          <w:bCs/>
          <w:color w:val="0F1E3D"/>
          <w:sz w:val="66"/>
          <w:szCs w:val="66"/>
        </w:rPr>
        <w:t xml:space="preserve">Science</w:t>
      </w:r>
    </w:p>
    <w:p>
      <w:pPr>
        <w:spacing w:after="60"/>
        <w:jc w:val="center"/>
      </w:pPr>
      <w:r>
        <w:rPr>
          <w:rFonts w:ascii="Georgia" w:cs="Georgia" w:eastAsia="Georgia" w:hAnsi="Georgia"/>
          <w:b/>
          <w:bCs/>
          <w:color w:val="C9A227"/>
          <w:sz w:val="40"/>
          <w:szCs w:val="40"/>
        </w:rPr>
        <w:t xml:space="preserve">Whole-School Long-Term Plan</w:t>
      </w:r>
    </w:p>
    <w:p>
      <w:pPr>
        <w:spacing w:after="60"/>
        <w:jc w:val="center"/>
      </w:pPr>
      <w:r>
        <w:rPr>
          <w:rFonts w:ascii="Calibri" w:cs="Calibri" w:eastAsia="Calibri" w:hAnsi="Calibri"/>
          <w:color w:val="1C3057"/>
          <w:sz w:val="30"/>
          <w:szCs w:val="30"/>
        </w:rPr>
        <w:t xml:space="preserve">Years 7 to 11</w:t>
      </w:r>
    </w:p>
    <w:p>
      <w:pPr>
        <w:spacing w:after="80" w:before="220"/>
        <w:jc w:val="center"/>
      </w:pPr>
      <w:r>
        <w:rPr>
          <w:rFonts w:ascii="Calibri" w:cs="Calibri" w:eastAsia="Calibri" w:hAnsi="Calibri"/>
          <w:i/>
          <w:iCs/>
          <w:color w:val="1C3057"/>
          <w:sz w:val="28"/>
          <w:szCs w:val="28"/>
        </w:rPr>
        <w:t xml:space="preserve">Inspired Minds. Empowered Futures.</w:t>
      </w:r>
    </w:p>
    <w:p>
      <w:pPr>
        <w:spacing w:before="420"/>
        <w:jc w:val="center"/>
      </w:pPr>
      <w:r>
        <w:rPr>
          <w:rFonts w:ascii="Calibri" w:cs="Calibri" w:eastAsia="Calibri" w:hAnsi="Calibri"/>
          <w:color w:val="5A5A5A"/>
          <w:sz w:val="24"/>
          <w:szCs w:val="24"/>
        </w:rPr>
        <w:t xml:space="preserve">AQA aligned  |  For first teaching September 2026  |  Version 1</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1. Curriculum Intent</w:t>
      </w:r>
    </w:p>
    <w:p>
      <w:pPr>
        <w:spacing w:after="130" w:before="40" w:line="300"/>
      </w:pPr>
      <w:r>
        <w:rPr>
          <w:rFonts w:ascii="Calibri" w:cs="Calibri" w:eastAsia="Calibri" w:hAnsi="Calibri"/>
          <w:b w:val="false"/>
          <w:bCs w:val="false"/>
          <w:i w:val="false"/>
          <w:iCs w:val="false"/>
          <w:caps w:val="false"/>
          <w:color w:val="1A1A1A"/>
          <w:sz w:val="28"/>
          <w:szCs w:val="28"/>
        </w:rPr>
        <w:t xml:space="preserve">Science at The Ivy House invites our pupils to study the created order with the precision of a scientist and the wonder of a believer. Across five years, every unit is a vehicle for tarbiyah: the discipline of careful observation, honest reasoning from evidence, and humility before a universe whose order points beyond itself. Our pupils do not learn science as a set of disconnected facts. They learn to think as biologists, chemists and physicists, and to recognise the signs woven through the natural world.</w:t>
      </w:r>
    </w:p>
    <w:p>
      <w:pPr>
        <w:spacing w:after="130" w:before="40" w:line="300"/>
      </w:pPr>
      <w:r>
        <w:rPr>
          <w:rFonts w:ascii="Calibri" w:cs="Calibri" w:eastAsia="Calibri" w:hAnsi="Calibri"/>
          <w:b w:val="false"/>
          <w:bCs w:val="false"/>
          <w:i w:val="false"/>
          <w:iCs w:val="false"/>
          <w:caps w:val="false"/>
          <w:color w:val="1A1A1A"/>
          <w:sz w:val="28"/>
          <w:szCs w:val="28"/>
        </w:rPr>
        <w:t xml:space="preserve">This Whole-School Long-Term Plan sets the five-year architecture, Year 7 to Year 11. It defines the journey from the first KS3 lesson to the AQA GCSE examination, and explains how each year prepares the ground for the next. The year and term Medium-Term Plans translate it into delivery; the Subject Knowledge Documents give teachers the depth required to teach each term with confidence.</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Our science promise to pupils</w:t>
            </w:r>
          </w:p>
          <w:p>
            <w:pPr>
              <w:spacing w:after="60" w:before="20" w:line="292"/>
            </w:pPr>
            <w:r>
              <w:rPr>
                <w:rFonts w:ascii="Calibri" w:cs="Calibri" w:eastAsia="Calibri" w:hAnsi="Calibri"/>
                <w:color w:val="1A1A1A"/>
                <w:sz w:val="27"/>
                <w:szCs w:val="27"/>
              </w:rPr>
              <w:t xml:space="preserve">Every pupil who completes this curriculum can observe accurately, plan and evaluate an investigation, reason from evidence, use precise scientific language, and sit the AQA GCSE with confidence. She leaves us able to think scientifically and disposed to see the study of creation as an act of reflection.</w:t>
            </w:r>
          </w:p>
        </w:tc>
      </w:tr>
    </w:tbl>
    <w:p>
      <w:pPr>
        <w:pStyle w:val="Heading1"/>
        <w:pBdr>
          <w:bottom w:val="single" w:color="C9A227" w:sz="10" w:space="6"/>
        </w:pBdr>
        <w:spacing w:after="160" w:before="360"/>
      </w:pPr>
      <w:r>
        <w:rPr>
          <w:rFonts w:ascii="Georgia" w:cs="Georgia" w:eastAsia="Georgia" w:hAnsi="Georgia"/>
          <w:b/>
          <w:bCs/>
          <w:color w:val="0F1E3D"/>
          <w:sz w:val="38"/>
          <w:szCs w:val="38"/>
        </w:rPr>
        <w:t xml:space="preserve">2. Science and the Islamic Worldview</w:t>
      </w:r>
    </w:p>
    <w:p>
      <w:pPr>
        <w:spacing w:after="130" w:before="40" w:line="300"/>
      </w:pPr>
      <w:r>
        <w:rPr>
          <w:rFonts w:ascii="Calibri" w:cs="Calibri" w:eastAsia="Calibri" w:hAnsi="Calibri"/>
          <w:b w:val="false"/>
          <w:bCs w:val="false"/>
          <w:i w:val="false"/>
          <w:iCs w:val="false"/>
          <w:caps w:val="false"/>
          <w:color w:val="1A1A1A"/>
          <w:sz w:val="28"/>
          <w:szCs w:val="28"/>
        </w:rPr>
        <w:t xml:space="preserve">The Islamic lens is never imposed on the science. It is drawn from what the discipline already does. The scientist looks closely, records honestly, tests claims, and revises understanding in the light of evidence. These are moral habits as well as scientific ones, and they form the character we want our pupils to carry into adulthood.</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Itqan: accurate measurement, careful observation and honest recording are taught as standards of work.</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Tafakkur: pupils are given structured moments to reflect on the order and balance they observe, from the cell to the cosmos.</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Amanah: topics on health, ecosystems and resources frame body and environment as a trust to be cared for.</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Sidq: pupils learn that a scientist reports what the evidence shows, and that anomalous results are investigated, not hidden.</w:t>
      </w:r>
    </w:p>
    <w:p>
      <w:pPr>
        <w:spacing w:after="130" w:before="60" w:line="300"/>
      </w:pPr>
      <w:r>
        <w:rPr>
          <w:rFonts w:ascii="Calibri" w:cs="Calibri" w:eastAsia="Calibri" w:hAnsi="Calibri"/>
          <w:b w:val="false"/>
          <w:bCs w:val="false"/>
          <w:i w:val="false"/>
          <w:iCs w:val="false"/>
          <w:caps w:val="false"/>
          <w:color w:val="1A1A1A"/>
          <w:sz w:val="28"/>
          <w:szCs w:val="28"/>
        </w:rPr>
        <w:t xml:space="preserve">Women of learning are named within the curriculum so that our pupils see themselves in their own intellectual lineage. Mariam al-Astrulabi and the wider tradition of women in the houses of knowledge are introduced where the physics and astronomy content makes them relevant, alongside the contributions of women in modern science.</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3. Five-Year Architecture</w:t>
      </w:r>
    </w:p>
    <w:p>
      <w:pPr>
        <w:spacing w:after="130" w:before="40" w:line="300"/>
      </w:pPr>
      <w:r>
        <w:rPr>
          <w:rFonts w:ascii="Calibri" w:cs="Calibri" w:eastAsia="Calibri" w:hAnsi="Calibri"/>
          <w:b w:val="false"/>
          <w:bCs w:val="false"/>
          <w:i w:val="false"/>
          <w:iCs w:val="false"/>
          <w:caps w:val="false"/>
          <w:color w:val="1A1A1A"/>
          <w:sz w:val="28"/>
          <w:szCs w:val="28"/>
        </w:rPr>
        <w:t xml:space="preserve">Science is taught as three named disciplines from Year 7. Pupils receive three lessons each week, one in each discipline, so all three scientist identities are built in parallel. This interleaved structure keeps every discipline live across the year, supports long-term memory through spaced return, and lets pupils connect ideas across the sciences.</w:t>
      </w:r>
    </w:p>
    <w:tbl>
      <w:tblPr>
        <w:tblW w:type="dxa" w:w="14278"/>
        <w:tblBorders>
          <w:top w:val="single" w:color="auto" w:sz="4"/>
          <w:left w:val="single" w:color="auto" w:sz="4"/>
          <w:bottom w:val="single" w:color="auto" w:sz="4"/>
          <w:right w:val="single" w:color="auto" w:sz="4"/>
          <w:insideH w:val="single" w:color="auto" w:sz="4"/>
          <w:insideV w:val="single" w:color="auto" w:sz="4"/>
        </w:tblBorders>
      </w:tblPr>
      <w:tblGrid>
        <w:gridCol w:w="1900"/>
        <w:gridCol w:w="2700"/>
        <w:gridCol w:w="9678"/>
      </w:tblGrid>
      <w:tr>
        <w:trPr>
          <w:tblHeader/>
        </w:trPr>
        <w:tc>
          <w:tcPr>
            <w:tcW w:type="dxa" w:w="19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Stage</w:t>
            </w:r>
          </w:p>
        </w:tc>
        <w:tc>
          <w:tcPr>
            <w:tcW w:type="dxa" w:w="27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Years</w:t>
            </w:r>
          </w:p>
        </w:tc>
        <w:tc>
          <w:tcPr>
            <w:tcW w:type="dxa" w:w="96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Purpose</w:t>
            </w:r>
          </w:p>
        </w:tc>
      </w:tr>
      <w:tr>
        <w:tc>
          <w:tcPr>
            <w:tcW w:type="dxa" w:w="1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Key Stage 3</w:t>
            </w:r>
          </w:p>
        </w:tc>
        <w:tc>
          <w:tcPr>
            <w:tcW w:type="dxa" w:w="2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7 to 8</w:t>
            </w:r>
          </w:p>
        </w:tc>
        <w:tc>
          <w:tcPr>
            <w:tcW w:type="dxa" w:w="96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Build secure foundational knowledge and working-scientifically skills across all three disciplines</w:t>
            </w:r>
          </w:p>
        </w:tc>
      </w:tr>
      <w:tr>
        <w:tc>
          <w:tcPr>
            <w:tcW w:type="dxa" w:w="1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Bridge year</w:t>
            </w:r>
          </w:p>
        </w:tc>
        <w:tc>
          <w:tcPr>
            <w:tcW w:type="dxa" w:w="27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9</w:t>
            </w:r>
          </w:p>
        </w:tc>
        <w:tc>
          <w:tcPr>
            <w:tcW w:type="dxa" w:w="96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Transition to GCSE: KS3 ideas revisited at greater depth; AQA specification foundations begin</w:t>
            </w:r>
          </w:p>
        </w:tc>
      </w:tr>
      <w:tr>
        <w:tc>
          <w:tcPr>
            <w:tcW w:type="dxa" w:w="1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Key Stage 4</w:t>
            </w:r>
          </w:p>
        </w:tc>
        <w:tc>
          <w:tcPr>
            <w:tcW w:type="dxa" w:w="2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10 to 11</w:t>
            </w:r>
          </w:p>
        </w:tc>
        <w:tc>
          <w:tcPr>
            <w:tcW w:type="dxa" w:w="96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Full AQA GCSE content, required practicals, and examination preparation</w:t>
            </w:r>
          </w:p>
        </w:tc>
      </w:tr>
    </w:tbl>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1C3057" w:sz="24"/>
              <w:bottom w:val="none" w:color="FFFFFF" w:sz="0"/>
              <w:right w:val="none" w:color="FFFFFF" w:sz="0"/>
            </w:tcBorders>
            <w:shd w:fill="EAF0F6"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Phased opening</w:t>
            </w:r>
          </w:p>
          <w:p>
            <w:pPr>
              <w:spacing w:after="60" w:before="20" w:line="292"/>
            </w:pPr>
            <w:r>
              <w:rPr>
                <w:rFonts w:ascii="Calibri" w:cs="Calibri" w:eastAsia="Calibri" w:hAnsi="Calibri"/>
                <w:color w:val="1A1A1A"/>
                <w:sz w:val="27"/>
                <w:szCs w:val="27"/>
              </w:rPr>
              <w:t xml:space="preserve">The school opens in September 2026 with its first cohorts. The full five-year plan is published now so that the curriculum is coherent from the outset and each year group meets a curriculum already designed end to end. Years are activated as cohorts progress through the school.</w:t>
            </w:r>
          </w:p>
        </w:tc>
      </w:tr>
    </w:tbl>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Examination pathway</w:t>
            </w:r>
          </w:p>
          <w:p>
            <w:pPr>
              <w:spacing w:after="60" w:before="20" w:line="292"/>
            </w:pPr>
            <w:r>
              <w:rPr>
                <w:rFonts w:ascii="Calibri" w:cs="Calibri" w:eastAsia="Calibri" w:hAnsi="Calibri"/>
                <w:color w:val="1A1A1A"/>
                <w:sz w:val="27"/>
                <w:szCs w:val="27"/>
              </w:rPr>
              <w:t xml:space="preserve">The planned pathway is AQA GCSE Combined Science: Trilogy as the default for all pupils, with Triple Science (separate Biology, Chemistry and Physics GCSEs) offered as an extension for pupils with the aptitude and ambition for it. The Year 11 physics map flags the Triple-only space physics content. Teaching note: the default and extension pathways are confirmable at department level before the first Year 9 cohort.</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4. Year-by-Year Unit Map</w:t>
      </w:r>
    </w:p>
    <w:p>
      <w:pPr>
        <w:spacing w:after="160" w:before="40" w:line="300"/>
      </w:pPr>
      <w:r>
        <w:rPr>
          <w:rFonts w:ascii="Calibri" w:cs="Calibri" w:eastAsia="Calibri" w:hAnsi="Calibri"/>
          <w:b w:val="false"/>
          <w:bCs w:val="false"/>
          <w:i w:val="false"/>
          <w:iCs w:val="false"/>
          <w:caps w:val="false"/>
          <w:color w:val="1A1A1A"/>
          <w:sz w:val="28"/>
          <w:szCs w:val="28"/>
        </w:rPr>
        <w:t xml:space="preserve">Each year is shown across its three disciplines. Content within a discipline is sequenced so that earlier ideas are prerequisites for later ones, and so that KS3 deliberately builds toward the AQA GCSE specification.</w:t>
      </w:r>
    </w:p>
    <w:p>
      <w:pPr>
        <w:pStyle w:val="Heading2"/>
        <w:spacing w:after="120" w:before="280"/>
      </w:pPr>
      <w:r>
        <w:rPr>
          <w:rFonts w:ascii="Georgia" w:cs="Georgia" w:eastAsia="Georgia" w:hAnsi="Georgia"/>
          <w:b/>
          <w:bCs/>
          <w:color w:val="1C3057"/>
          <w:sz w:val="32"/>
          <w:szCs w:val="32"/>
        </w:rPr>
        <w:t xml:space="preserve">Year 7  |  KS3 foundations</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200"/>
        <w:gridCol w:w="12478"/>
      </w:tblGrid>
      <w:tr>
        <w:trPr>
          <w:tblHeader/>
        </w:trPr>
        <w:tc>
          <w:tcPr>
            <w:tcW w:type="dxa" w:w="22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Discipline</w:t>
            </w:r>
          </w:p>
        </w:tc>
        <w:tc>
          <w:tcPr>
            <w:tcW w:type="dxa" w:w="124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Units across the year (in teaching sequence)</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Biology</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Cells, microscopy, tissues and organs;  Skeleton, joints and muscles;  Nutrition, digestion and health;  Reproduction, variation and interdependence</w:t>
            </w:r>
          </w:p>
        </w:tc>
      </w:tr>
      <w:tr>
        <w:tc>
          <w:tcPr>
            <w:tcW w:type="dxa" w:w="22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Chemistry</w:t>
            </w:r>
          </w:p>
        </w:tc>
        <w:tc>
          <w:tcPr>
            <w:tcW w:type="dxa" w:w="124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Particle model and states of matter;  Atoms, elements and the periodic table;  Compounds, mixtures and separation;  Acids, alkalis and neutralisation</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Physics</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Speed, forces and gravity;  Energy stores and transfers;  Electric circuits;  Light, sound and the solar system</w:t>
            </w:r>
          </w:p>
        </w:tc>
      </w:tr>
    </w:tbl>
    <w:p>
      <w:pPr>
        <w:pageBreakBefore/>
      </w:pPr>
    </w:p>
    <w:p>
      <w:pPr>
        <w:pStyle w:val="Heading2"/>
        <w:spacing w:after="120" w:before="280"/>
      </w:pPr>
      <w:r>
        <w:rPr>
          <w:rFonts w:ascii="Georgia" w:cs="Georgia" w:eastAsia="Georgia" w:hAnsi="Georgia"/>
          <w:b/>
          <w:bCs/>
          <w:color w:val="1C3057"/>
          <w:sz w:val="32"/>
          <w:szCs w:val="32"/>
        </w:rPr>
        <w:t xml:space="preserve">Year 8  |  KS3 deepening</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200"/>
        <w:gridCol w:w="12478"/>
      </w:tblGrid>
      <w:tr>
        <w:trPr>
          <w:tblHeader/>
        </w:trPr>
        <w:tc>
          <w:tcPr>
            <w:tcW w:type="dxa" w:w="22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Discipline</w:t>
            </w:r>
          </w:p>
        </w:tc>
        <w:tc>
          <w:tcPr>
            <w:tcW w:type="dxa" w:w="124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Units across the year (in teaching sequence)</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Biology</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Respiration and the breathing system;  Photosynthesis and plants;  Ecosystems and the carbon cycle;  Health, drugs and disease</w:t>
            </w:r>
          </w:p>
        </w:tc>
      </w:tr>
      <w:tr>
        <w:tc>
          <w:tcPr>
            <w:tcW w:type="dxa" w:w="22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Chemistry</w:t>
            </w:r>
          </w:p>
        </w:tc>
        <w:tc>
          <w:tcPr>
            <w:tcW w:type="dxa" w:w="124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Reactivity and the reactivity series;  Chemical reactions and combustion;  The Earth, rocks and resources;  Energetics: exothermic and endothermic</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Physics</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Electromagnetism;  Waves: sound and light;  Pressure and moments;  Energy resources and the home</w:t>
            </w:r>
          </w:p>
        </w:tc>
      </w:tr>
    </w:tbl>
    <w:p>
      <w:pPr>
        <w:pageBreakBefore/>
      </w:pPr>
    </w:p>
    <w:p>
      <w:pPr>
        <w:pStyle w:val="Heading2"/>
        <w:spacing w:after="120" w:before="280"/>
      </w:pPr>
      <w:r>
        <w:rPr>
          <w:rFonts w:ascii="Georgia" w:cs="Georgia" w:eastAsia="Georgia" w:hAnsi="Georgia"/>
          <w:b/>
          <w:bCs/>
          <w:color w:val="1C3057"/>
          <w:sz w:val="32"/>
          <w:szCs w:val="32"/>
        </w:rPr>
        <w:t xml:space="preserve">Year 9  |  KS3 to GCSE bridge (AQA foundations begin)</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200"/>
        <w:gridCol w:w="12478"/>
      </w:tblGrid>
      <w:tr>
        <w:trPr>
          <w:tblHeader/>
        </w:trPr>
        <w:tc>
          <w:tcPr>
            <w:tcW w:type="dxa" w:w="22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Discipline</w:t>
            </w:r>
          </w:p>
        </w:tc>
        <w:tc>
          <w:tcPr>
            <w:tcW w:type="dxa" w:w="124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Units across the year (in teaching sequence)</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Biology</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Cell biology revisited at GCSE depth;  Transport in cells and organisation;  Infection and the immune response;  Bioenergetics: photosynthesis and respiration</w:t>
            </w:r>
          </w:p>
        </w:tc>
      </w:tr>
      <w:tr>
        <w:tc>
          <w:tcPr>
            <w:tcW w:type="dxa" w:w="22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Chemistry</w:t>
            </w:r>
          </w:p>
        </w:tc>
        <w:tc>
          <w:tcPr>
            <w:tcW w:type="dxa" w:w="124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Atomic structure and the periodic table;  Bonding, structure and properties;  Quantitative chemistry introduced;  Chemical changes and reactivity</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Physics</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Energy: stores, transfers and resources;  Particle model of matter;  Atomic structure and radioactivity;  Forces introduced at GCSE depth</w:t>
            </w:r>
          </w:p>
        </w:tc>
      </w:tr>
    </w:tbl>
    <w:p>
      <w:pPr>
        <w:pageBreakBefore/>
      </w:pPr>
    </w:p>
    <w:p>
      <w:pPr>
        <w:pStyle w:val="Heading2"/>
        <w:spacing w:after="120" w:before="280"/>
      </w:pPr>
      <w:r>
        <w:rPr>
          <w:rFonts w:ascii="Georgia" w:cs="Georgia" w:eastAsia="Georgia" w:hAnsi="Georgia"/>
          <w:b/>
          <w:bCs/>
          <w:color w:val="1C3057"/>
          <w:sz w:val="32"/>
          <w:szCs w:val="32"/>
        </w:rPr>
        <w:t xml:space="preserve">Year 10  |  KS4 AQA GCSE</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200"/>
        <w:gridCol w:w="12478"/>
      </w:tblGrid>
      <w:tr>
        <w:trPr>
          <w:tblHeader/>
        </w:trPr>
        <w:tc>
          <w:tcPr>
            <w:tcW w:type="dxa" w:w="22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Discipline</w:t>
            </w:r>
          </w:p>
        </w:tc>
        <w:tc>
          <w:tcPr>
            <w:tcW w:type="dxa" w:w="124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Units across the year (in teaching sequence)</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Biology</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Cell biology;  Organisation and the digestive system;  Infection and response;  Bioenergetics</w:t>
            </w:r>
          </w:p>
        </w:tc>
      </w:tr>
      <w:tr>
        <w:tc>
          <w:tcPr>
            <w:tcW w:type="dxa" w:w="22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Chemistry</w:t>
            </w:r>
          </w:p>
        </w:tc>
        <w:tc>
          <w:tcPr>
            <w:tcW w:type="dxa" w:w="124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Atomic structure and the periodic table;  Bonding, structure and the properties of matter;  Quantitative chemistry;  Chemical changes and energy changes</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Physics</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Energy;  Electricity;  Particle model of matter;  Atomic structure</w:t>
            </w:r>
          </w:p>
        </w:tc>
      </w:tr>
    </w:tbl>
    <w:p>
      <w:pPr>
        <w:pageBreakBefore/>
      </w:pPr>
    </w:p>
    <w:p>
      <w:pPr>
        <w:pStyle w:val="Heading2"/>
        <w:spacing w:after="120" w:before="280"/>
      </w:pPr>
      <w:r>
        <w:rPr>
          <w:rFonts w:ascii="Georgia" w:cs="Georgia" w:eastAsia="Georgia" w:hAnsi="Georgia"/>
          <w:b/>
          <w:bCs/>
          <w:color w:val="1C3057"/>
          <w:sz w:val="32"/>
          <w:szCs w:val="32"/>
        </w:rPr>
        <w:t xml:space="preserve">Year 11  |  KS4 AQA GCSE and examination</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200"/>
        <w:gridCol w:w="12478"/>
      </w:tblGrid>
      <w:tr>
        <w:trPr>
          <w:tblHeader/>
        </w:trPr>
        <w:tc>
          <w:tcPr>
            <w:tcW w:type="dxa" w:w="22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Discipline</w:t>
            </w:r>
          </w:p>
        </w:tc>
        <w:tc>
          <w:tcPr>
            <w:tcW w:type="dxa" w:w="124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Units across the year (in teaching sequence)</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Biology</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Homeostasis and response;  Inheritance, variation and evolution;  Ecology;  Revision and required practicals</w:t>
            </w:r>
          </w:p>
        </w:tc>
      </w:tr>
      <w:tr>
        <w:tc>
          <w:tcPr>
            <w:tcW w:type="dxa" w:w="22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Chemistry</w:t>
            </w:r>
          </w:p>
        </w:tc>
        <w:tc>
          <w:tcPr>
            <w:tcW w:type="dxa" w:w="124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rate and extent of chemical change;  Organic chemistry;  Chemical analysis;  Chemistry of the atmosphere; using resources</w:t>
            </w:r>
          </w:p>
        </w:tc>
      </w:tr>
      <w:tr>
        <w:tc>
          <w:tcPr>
            <w:tcW w:type="dxa" w:w="22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Physics</w:t>
            </w:r>
          </w:p>
        </w:tc>
        <w:tc>
          <w:tcPr>
            <w:tcW w:type="dxa" w:w="124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Forces;  Waves;  Magnetism and electromagnetism;  Space physics (Triple); revision</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5. Working Scientifically: Five-Year Progression</w:t>
      </w:r>
    </w:p>
    <w:p>
      <w:pPr>
        <w:spacing w:after="160" w:before="40" w:line="300"/>
      </w:pPr>
      <w:r>
        <w:rPr>
          <w:rFonts w:ascii="Calibri" w:cs="Calibri" w:eastAsia="Calibri" w:hAnsi="Calibri"/>
          <w:b w:val="false"/>
          <w:bCs w:val="false"/>
          <w:i w:val="false"/>
          <w:iCs w:val="false"/>
          <w:caps w:val="false"/>
          <w:color w:val="1A1A1A"/>
          <w:sz w:val="28"/>
          <w:szCs w:val="28"/>
        </w:rPr>
        <w:t xml:space="preserve">Disciplinary skills are not left to chance. Each strand is deliberately escalated year on year so that a pupil arriving in Year 11 has been prepared, step by step, for the demands of the AQA examination and its required practicals.</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520"/>
        <w:gridCol w:w="2430"/>
        <w:gridCol w:w="2430"/>
        <w:gridCol w:w="2430"/>
        <w:gridCol w:w="2430"/>
        <w:gridCol w:w="2438"/>
      </w:tblGrid>
      <w:tr>
        <w:trPr>
          <w:tblHeader/>
        </w:trPr>
        <w:tc>
          <w:tcPr>
            <w:tcW w:type="dxa" w:w="252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Strand</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7</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8</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9</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10</w:t>
            </w:r>
          </w:p>
        </w:tc>
        <w:tc>
          <w:tcPr>
            <w:tcW w:type="dxa" w:w="243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11</w:t>
            </w:r>
          </w:p>
        </w:tc>
      </w:tr>
      <w:tr>
        <w:tc>
          <w:tcPr>
            <w:tcW w:type="dxa" w:w="252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Observation and recording</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Accurate observation, labelled drawings, structured tables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Selecting what to record; spotting anomalies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Justifying method choices; evaluating reliability</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Independent design; precision and resolution</w:t>
            </w:r>
          </w:p>
        </w:tc>
        <w:tc>
          <w:tcPr>
            <w:tcW w:type="dxa" w:w="243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Examination-standard evaluation and improvement</w:t>
            </w:r>
          </w:p>
        </w:tc>
      </w:tr>
      <w:tr>
        <w:tc>
          <w:tcPr>
            <w:tcW w:type="dxa" w:w="252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Investigation and fair testing</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Identify variables; plan a simple fair test</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Control variables; choose ranges and repeats</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Design valid procedures; assess risk</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Plan AQA required practicals</w:t>
            </w:r>
          </w:p>
        </w:tc>
        <w:tc>
          <w:tcPr>
            <w:tcW w:type="dxa" w:w="243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Evaluate practicals; suggest refinements</w:t>
            </w:r>
          </w:p>
        </w:tc>
      </w:tr>
      <w:tr>
        <w:tc>
          <w:tcPr>
            <w:tcW w:type="dxa" w:w="252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Scientific numeracy</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Read scales; simple calculations; bar charts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Means, units and line graphs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Rearranging equations; significant figures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Standard form; graph gradients</w:t>
            </w:r>
          </w:p>
        </w:tc>
        <w:tc>
          <w:tcPr>
            <w:tcW w:type="dxa" w:w="243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Uncertainty; analysing examination data</w:t>
            </w:r>
          </w:p>
        </w:tc>
      </w:tr>
      <w:tr>
        <w:tc>
          <w:tcPr>
            <w:tcW w:type="dxa" w:w="252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Scientific communication</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Use key vocabulary accurately</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Explain using cause and effect</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Construct multi-step explanations</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Use models to explain mechanisms</w:t>
            </w:r>
          </w:p>
        </w:tc>
        <w:tc>
          <w:tcPr>
            <w:tcW w:type="dxa" w:w="243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Extended evaluative writing under timed conditions</w:t>
            </w:r>
          </w:p>
        </w:tc>
      </w:tr>
      <w:tr>
        <w:tc>
          <w:tcPr>
            <w:tcW w:type="dxa" w:w="252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Disciplinary habit and worldview</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Curiosity and honest recording (sidq)</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Care and precision (itqan)</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Reflection on order in creation (tafakkur)</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Stewardship of body and environment (amanah)</w:t>
            </w:r>
          </w:p>
        </w:tc>
        <w:tc>
          <w:tcPr>
            <w:tcW w:type="dxa" w:w="243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Independent, principled scientific judgement</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6. Assessment Spine</w:t>
      </w:r>
    </w:p>
    <w:p>
      <w:pPr>
        <w:spacing w:after="130" w:before="40" w:line="300"/>
      </w:pPr>
      <w:r>
        <w:rPr>
          <w:rFonts w:ascii="Calibri" w:cs="Calibri" w:eastAsia="Calibri" w:hAnsi="Calibri"/>
          <w:b w:val="false"/>
          <w:bCs w:val="false"/>
          <w:i w:val="false"/>
          <w:iCs w:val="false"/>
          <w:caps w:val="false"/>
          <w:color w:val="1A1A1A"/>
          <w:sz w:val="28"/>
          <w:szCs w:val="28"/>
        </w:rPr>
        <w:t xml:space="preserve">Assessment is designed to check that knowledge is secure and retained, not merely covered. The pattern is consistent across all five years so that pupils and teachers know what to expect.</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900"/>
        <w:gridCol w:w="11778"/>
      </w:tblGrid>
      <w:tr>
        <w:trPr>
          <w:tblHeader/>
        </w:trPr>
        <w:tc>
          <w:tcPr>
            <w:tcW w:type="dxa" w:w="29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Form</w:t>
            </w:r>
          </w:p>
        </w:tc>
        <w:tc>
          <w:tcPr>
            <w:tcW w:type="dxa" w:w="117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Purpose and timing</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Weekly retrieval</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Low-stakes recall at the start of lessons; strengthens long-term memory and surfaces gaps early</w:t>
            </w:r>
          </w:p>
        </w:tc>
      </w:tr>
      <w:tr>
        <w:tc>
          <w:tcPr>
            <w:tcW w:type="dxa" w:w="2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End-of-unit checks</w:t>
            </w:r>
          </w:p>
        </w:tc>
        <w:tc>
          <w:tcPr>
            <w:tcW w:type="dxa" w:w="11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Short assessments at the close of each unit; inform reteaching before moving on</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Termly tests</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Cumulative tests each term; assess retention across the year, not just the most recent unit</w:t>
            </w:r>
          </w:p>
        </w:tc>
      </w:tr>
      <w:tr>
        <w:tc>
          <w:tcPr>
            <w:tcW w:type="dxa" w:w="2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Practical assessment</w:t>
            </w:r>
          </w:p>
        </w:tc>
        <w:tc>
          <w:tcPr>
            <w:tcW w:type="dxa" w:w="11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Structured assessment of working-scientifically skills; in KS4 mapped to AQA required practicals</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Mock examinations</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10 and 11; full AQA-style papers under examination conditions</w:t>
            </w:r>
          </w:p>
        </w:tc>
      </w:tr>
    </w:tbl>
    <w:p>
      <w:pPr>
        <w:pStyle w:val="Heading1"/>
        <w:pBdr>
          <w:bottom w:val="single" w:color="C9A227" w:sz="10" w:space="6"/>
        </w:pBdr>
        <w:spacing w:after="160" w:before="360"/>
      </w:pPr>
      <w:r>
        <w:rPr>
          <w:rFonts w:ascii="Georgia" w:cs="Georgia" w:eastAsia="Georgia" w:hAnsi="Georgia"/>
          <w:b/>
          <w:bCs/>
          <w:color w:val="0F1E3D"/>
          <w:sz w:val="38"/>
          <w:szCs w:val="38"/>
        </w:rPr>
        <w:t xml:space="preserve">7. Scientific Language and Reading</w:t>
      </w:r>
    </w:p>
    <w:p>
      <w:pPr>
        <w:spacing w:after="130" w:before="40" w:line="300"/>
      </w:pPr>
      <w:r>
        <w:rPr>
          <w:rFonts w:ascii="Calibri" w:cs="Calibri" w:eastAsia="Calibri" w:hAnsi="Calibri"/>
          <w:b w:val="false"/>
          <w:bCs w:val="false"/>
          <w:i w:val="false"/>
          <w:iCs w:val="false"/>
          <w:caps w:val="false"/>
          <w:color w:val="1A1A1A"/>
          <w:sz w:val="28"/>
          <w:szCs w:val="28"/>
        </w:rPr>
        <w:t xml:space="preserve">Precise language is treated as a teaching priority, not an assumption. Each Subject Knowledge Document defines a two-tier vocabulary: the essential terms every pupil must use accurately, and the higher-tier terms that stretch the most able. Pupils read scientific text in every year so that they can access the extended-response demands of the GCSE.</w:t>
      </w:r>
    </w:p>
    <w:p>
      <w:pPr>
        <w:pStyle w:val="Heading1"/>
        <w:pBdr>
          <w:bottom w:val="single" w:color="C9A227" w:sz="10" w:space="6"/>
        </w:pBdr>
        <w:spacing w:after="160" w:before="360"/>
      </w:pPr>
      <w:r>
        <w:rPr>
          <w:rFonts w:ascii="Georgia" w:cs="Georgia" w:eastAsia="Georgia" w:hAnsi="Georgia"/>
          <w:b/>
          <w:bCs/>
          <w:color w:val="0F1E3D"/>
          <w:sz w:val="38"/>
          <w:szCs w:val="38"/>
        </w:rPr>
        <w:t xml:space="preserve">8. Representation and Aspiration</w:t>
      </w:r>
    </w:p>
    <w:p>
      <w:pPr>
        <w:spacing w:after="130" w:before="40" w:line="300"/>
      </w:pPr>
      <w:r>
        <w:rPr>
          <w:rFonts w:ascii="Calibri" w:cs="Calibri" w:eastAsia="Calibri" w:hAnsi="Calibri"/>
          <w:b w:val="false"/>
          <w:bCs w:val="false"/>
          <w:i w:val="false"/>
          <w:iCs w:val="false"/>
          <w:caps w:val="false"/>
          <w:color w:val="1A1A1A"/>
          <w:sz w:val="28"/>
          <w:szCs w:val="28"/>
        </w:rPr>
        <w:t xml:space="preserve">As a school for girls, we deliberately foreground women in science. Pupils encounter female scientists and Muslim scholars of the natural world across the five years, so that the question is never whether a woman belongs in a laboratory but what she will discover there. Careers and pathways into science, engineering and medicine are signposted from Year 7 onward.</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1C3057" w:sz="24"/>
              <w:bottom w:val="none" w:color="FFFFFF" w:sz="0"/>
              <w:right w:val="none" w:color="FFFFFF" w:sz="0"/>
            </w:tcBorders>
            <w:shd w:fill="EAF0F6"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How to use this plan</w:t>
            </w:r>
          </w:p>
          <w:p>
            <w:pPr>
              <w:spacing w:after="60" w:before="20" w:line="292"/>
            </w:pPr>
            <w:r>
              <w:rPr>
                <w:rFonts w:ascii="Calibri" w:cs="Calibri" w:eastAsia="Calibri" w:hAnsi="Calibri"/>
                <w:color w:val="1A1A1A"/>
                <w:sz w:val="27"/>
                <w:szCs w:val="27"/>
              </w:rPr>
              <w:t xml:space="preserve">This is the strategic five-year reference. For week-by-week delivery, use the year and term Medium-Term Plans. For the depth of subject content needed to teach a term, read that term's Subject Knowledge Document in full before teaching it. Any teacher new to this curriculum should begin with sections 1 to 3 of this plan.</w:t>
            </w:r>
          </w:p>
        </w:tc>
      </w:tr>
    </w:tbl>
    <w:sectPr>
      <w:headerReference w:type="default" r:id="rId7"/>
      <w:footerReference w:type="default" r:id="rId8"/>
      <w:pgSz w:w="16838" w:h="11906"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5A5A"/>
        <w:sz w:val="18"/>
        <w:szCs w:val="18"/>
      </w:rPr>
      <w:t xml:space="preserve">Page </w:t>
    </w:r>
    <w:r>
      <w:rPr>
        <w:rFonts w:ascii="Calibri" w:cs="Calibri" w:eastAsia="Calibri" w:hAnsi="Calibri"/>
        <w:color w:val="5A5A5A"/>
        <w:sz w:val="18"/>
        <w:szCs w:val="18"/>
      </w:rPr>
      <w:fldChar w:fldCharType="begin"/>
      <w:instrText xml:space="preserve">PAGE</w:instrText>
      <w:fldChar w:fldCharType="separate"/>
      <w:fldChar w:fldCharType="end"/>
    </w:r>
    <w:r>
      <w:rPr>
        <w:rFonts w:ascii="Calibri" w:cs="Calibri" w:eastAsia="Calibri" w:hAnsi="Calibri"/>
        <w:color w:val="5A5A5A"/>
        <w:sz w:val="18"/>
        <w:szCs w:val="18"/>
      </w:rPr>
      <w:t xml:space="preserve"> of </w:t>
    </w:r>
    <w:r>
      <w:rPr>
        <w:rFonts w:ascii="Calibri" w:cs="Calibri" w:eastAsia="Calibri" w:hAnsi="Calibri"/>
        <w:color w:val="5A5A5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27" w:sz="4" w:space="6"/>
      </w:pBdr>
      <w:spacing w:after="40"/>
      <w:jc w:val="right"/>
    </w:pPr>
    <w:r>
      <w:rPr>
        <w:rFonts w:ascii="Calibri" w:cs="Calibri" w:eastAsia="Calibri" w:hAnsi="Calibri"/>
        <w:color w:val="1C3057"/>
        <w:sz w:val="18"/>
        <w:szCs w:val="18"/>
      </w:rPr>
      <w:t xml:space="preserve">The Ivy House Secondary School for Girls  |  Science Whole-School LTP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0F1E3D"/>
      <w:sz w:val="38"/>
      <w:szCs w:val="38"/>
    </w:rPr>
  </w:style>
  <w:style w:type="paragraph" w:styleId="Heading2">
    <w:name w:val="Heading 2"/>
    <w:basedOn w:val="Normal"/>
    <w:next w:val="Normal"/>
    <w:qFormat/>
    <w:pPr>
      <w:spacing w:after="120" w:before="280"/>
      <w:outlineLvl w:val="1"/>
    </w:pPr>
    <w:rPr>
      <w:rFonts w:ascii="Georgia" w:cs="Georgia" w:eastAsia="Georgia" w:hAnsi="Georgia"/>
      <w:b/>
      <w:bCs/>
      <w:color w:val="1C3057"/>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2026-05-18T14:31:41.198Z</dcterms:created>
  <dcterms:modified xsi:type="dcterms:W3CDTF">2026-05-18T14:31:41.199Z</dcterms:modified>
</cp:coreProperties>
</file>

<file path=docProps/custom.xml><?xml version="1.0" encoding="utf-8"?>
<Properties xmlns="http://schemas.openxmlformats.org/officeDocument/2006/custom-properties" xmlns:vt="http://schemas.openxmlformats.org/officeDocument/2006/docPropsVTypes"/>
</file>