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700"/>
        <w:jc w:val="center"/>
      </w:pPr>
      <w:r>
        <w:rPr>
          <w:rFonts w:ascii="Georgia" w:cs="Georgia" w:eastAsia="Georgia" w:hAnsi="Georgia"/>
          <w:b/>
          <w:bCs/>
          <w:color w:val="0F1E3D"/>
          <w:sz w:val="30"/>
          <w:szCs w:val="30"/>
        </w:rPr>
        <w:t xml:space="preserve">THE IVY HOUSE SECONDARY SCHOOL FOR GIRLS</w:t>
      </w:r>
    </w:p>
    <w:p>
      <w:pPr>
        <w:spacing w:after="380"/>
        <w:jc w:val="center"/>
      </w:pPr>
      <w:r>
        <w:rPr>
          <w:rFonts w:ascii="Calibri" w:cs="Calibri" w:eastAsia="Calibri" w:hAnsi="Calibri"/>
          <w:i/>
          <w:iCs/>
          <w:color w:val="1C3057"/>
          <w:sz w:val="26"/>
          <w:szCs w:val="26"/>
        </w:rPr>
        <w:t xml:space="preserve">Gardens of Jannah Trust</w:t>
      </w:r>
    </w:p>
    <w:p>
      <w:pPr>
        <w:spacing w:after="80" w:before="240"/>
        <w:jc w:val="center"/>
      </w:pPr>
      <w:r>
        <w:rPr>
          <w:rFonts w:ascii="Georgia" w:cs="Georgia" w:eastAsia="Georgia" w:hAnsi="Georgia"/>
          <w:b/>
          <w:bCs/>
          <w:color w:val="0F1E3D"/>
          <w:sz w:val="66"/>
          <w:szCs w:val="66"/>
        </w:rPr>
        <w:t xml:space="preserve">English</w:t>
      </w:r>
    </w:p>
    <w:p>
      <w:pPr>
        <w:spacing w:after="60"/>
        <w:jc w:val="center"/>
      </w:pPr>
      <w:r>
        <w:rPr>
          <w:rFonts w:ascii="Georgia" w:cs="Georgia" w:eastAsia="Georgia" w:hAnsi="Georgia"/>
          <w:b/>
          <w:bCs/>
          <w:color w:val="C9A227"/>
          <w:sz w:val="40"/>
          <w:szCs w:val="40"/>
        </w:rPr>
        <w:t xml:space="preserve">Whole School Long Term Plan</w:t>
      </w:r>
    </w:p>
    <w:p>
      <w:pPr>
        <w:spacing w:after="60"/>
        <w:jc w:val="center"/>
      </w:pPr>
      <w:r>
        <w:rPr>
          <w:rFonts w:ascii="Calibri" w:cs="Calibri" w:eastAsia="Calibri" w:hAnsi="Calibri"/>
          <w:color w:val="1C3057"/>
          <w:sz w:val="30"/>
          <w:szCs w:val="30"/>
        </w:rPr>
        <w:t xml:space="preserve">Years 7 to 11</w:t>
      </w:r>
    </w:p>
    <w:p>
      <w:pPr>
        <w:spacing w:after="80" w:before="220"/>
        <w:jc w:val="center"/>
      </w:pPr>
      <w:r>
        <w:rPr>
          <w:rFonts w:ascii="Calibri" w:cs="Calibri" w:eastAsia="Calibri" w:hAnsi="Calibri"/>
          <w:i/>
          <w:iCs/>
          <w:color w:val="1C3057"/>
          <w:sz w:val="28"/>
          <w:szCs w:val="28"/>
        </w:rPr>
        <w:t xml:space="preserve">Inspired Minds. Empowered Futures.</w:t>
      </w:r>
    </w:p>
    <w:p>
      <w:pPr>
        <w:spacing w:before="420"/>
        <w:jc w:val="center"/>
      </w:pPr>
      <w:r>
        <w:rPr>
          <w:rFonts w:ascii="Calibri" w:cs="Calibri" w:eastAsia="Calibri" w:hAnsi="Calibri"/>
          <w:color w:val="5A5A5A"/>
          <w:sz w:val="24"/>
          <w:szCs w:val="24"/>
        </w:rPr>
        <w:t xml:space="preserve">AQA aligned  |  For first teaching September 2026  |  Version 1</w:t>
      </w:r>
    </w:p>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1. Curriculum Intent</w:t>
      </w:r>
    </w:p>
    <w:p>
      <w:pPr>
        <w:spacing w:after="130" w:before="40" w:line="300"/>
      </w:pPr>
      <w:r>
        <w:rPr>
          <w:rFonts w:ascii="Calibri" w:cs="Calibri" w:eastAsia="Calibri" w:hAnsi="Calibri"/>
          <w:b w:val="false"/>
          <w:bCs w:val="false"/>
          <w:i w:val="false"/>
          <w:iCs w:val="false"/>
          <w:color w:val="1A1A1A"/>
          <w:sz w:val="28"/>
          <w:szCs w:val="28"/>
        </w:rPr>
        <w:t xml:space="preserve">English at The Ivy House teaches our pupils to read the world closely and to write into it with control and conscience. Every text in this plan is a vehicle for tarbiyah: the formation of a reader who weighs words carefully, a writer who is truthful, and a person whose moral imagination has been widened by serious literature. Our pupils do not study English as decoding and technique alone. They study it as the discipline of attending honestly to what a writer is doing and why it matters.</w:t>
      </w:r>
    </w:p>
    <w:p>
      <w:pPr>
        <w:spacing w:after="130" w:before="40" w:line="300"/>
      </w:pPr>
      <w:r>
        <w:rPr>
          <w:rFonts w:ascii="Calibri" w:cs="Calibri" w:eastAsia="Calibri" w:hAnsi="Calibri"/>
          <w:b w:val="false"/>
          <w:bCs w:val="false"/>
          <w:i w:val="false"/>
          <w:iCs w:val="false"/>
          <w:color w:val="1A1A1A"/>
          <w:sz w:val="28"/>
          <w:szCs w:val="28"/>
        </w:rPr>
        <w:t xml:space="preserve">This Whole School Long Term Plan sets the five year architecture, Year 7 to Year 11. The five year structure and text choices are locked and AQA aligned. The year and term Medium Term Plans translate this plan into delivery; the Subject Knowledge Documents give teachers the depth required to teach each text with confidence.</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C9A227" w:sz="24"/>
              <w:bottom w:val="none" w:color="FFFFFF" w:sz="0"/>
              <w:right w:val="none" w:color="FFFFFF" w:sz="0"/>
            </w:tcBorders>
            <w:shd w:fill="FAF3D9"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Our English promise to pupils</w:t>
            </w:r>
          </w:p>
          <w:p>
            <w:pPr>
              <w:spacing w:after="60" w:before="20" w:line="292"/>
            </w:pPr>
            <w:r>
              <w:rPr>
                <w:rFonts w:ascii="Calibri" w:cs="Calibri" w:eastAsia="Calibri" w:hAnsi="Calibri"/>
                <w:color w:val="1A1A1A"/>
                <w:sz w:val="27"/>
                <w:szCs w:val="27"/>
              </w:rPr>
              <w:t xml:space="preserve">Every pupil who completes this curriculum can read a whole text closely, build a sustained written argument from evidence, write with control across forms, speak with clarity, and sit the AQA GCSEs in English Language and English Literature with confidence. She leaves us a more careful reader and a more truthful writer.</w:t>
            </w:r>
          </w:p>
        </w:tc>
      </w:tr>
    </w:tbl>
    <w:p>
      <w:pPr>
        <w:pStyle w:val="Heading1"/>
        <w:pBdr>
          <w:bottom w:val="single" w:color="C9A227" w:sz="10" w:space="6"/>
        </w:pBdr>
        <w:spacing w:after="160" w:before="360"/>
      </w:pPr>
      <w:r>
        <w:rPr>
          <w:rFonts w:ascii="Georgia" w:cs="Georgia" w:eastAsia="Georgia" w:hAnsi="Georgia"/>
          <w:b/>
          <w:bCs/>
          <w:color w:val="0F1E3D"/>
          <w:sz w:val="38"/>
          <w:szCs w:val="38"/>
        </w:rPr>
        <w:t xml:space="preserve">2. English and the Islamic Worldview</w:t>
      </w:r>
    </w:p>
    <w:p>
      <w:pPr>
        <w:spacing w:after="130" w:before="40" w:line="300"/>
      </w:pPr>
      <w:r>
        <w:rPr>
          <w:rFonts w:ascii="Calibri" w:cs="Calibri" w:eastAsia="Calibri" w:hAnsi="Calibri"/>
          <w:b w:val="false"/>
          <w:bCs w:val="false"/>
          <w:i w:val="false"/>
          <w:iCs w:val="false"/>
          <w:color w:val="1A1A1A"/>
          <w:sz w:val="28"/>
          <w:szCs w:val="28"/>
        </w:rPr>
        <w:t xml:space="preserve">The Islamic concept is never imposed on a text. It is drawn from what the text already does. A novel about forced migration already raises the dignity of the stranger; a tragedy of unchecked ambition already raises the ungoverned self. We name what the literature is doing and let our pupils reflect on it. Where the curriculum draws on Quranic ayat and hadith, these are sourced and tied to the text's own concerns, not added on top of them.</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Sidq: truthfulness in reading and writing; reporting what a text actually says, not what is convenient.</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Adl and the rejection of zulm: literature that confronts injustice is read as a training in moral attention.</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Tazkiyah: texts of the divided or ungoverned self prompt reflection on the discipline of the self.</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Rahmah toward the vulnerable: narratives of refuge and confinement raise the duty owed to those without power.</w:t>
      </w:r>
    </w:p>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3. Five Year Architecture</w:t>
      </w:r>
    </w:p>
    <w:p>
      <w:pPr>
        <w:spacing w:after="130" w:before="40" w:line="300"/>
      </w:pPr>
      <w:r>
        <w:rPr>
          <w:rFonts w:ascii="Calibri" w:cs="Calibri" w:eastAsia="Calibri" w:hAnsi="Calibri"/>
          <w:b w:val="false"/>
          <w:bCs w:val="false"/>
          <w:i w:val="false"/>
          <w:iCs w:val="false"/>
          <w:color w:val="1A1A1A"/>
          <w:sz w:val="28"/>
          <w:szCs w:val="28"/>
        </w:rPr>
        <w:t xml:space="preserve">English is taught across three terms a year. The terminology is Term 1, Term 2 and Term 3 throughout. Each year studies three core texts, one per term, sequenced so that demand rises and so that Key Stage 3 deliberately builds toward the AQA GCSE.</w:t>
      </w:r>
    </w:p>
    <w:tbl>
      <w:tblPr>
        <w:tblW w:type="dxa" w:w="14278"/>
        <w:tblBorders>
          <w:top w:val="single" w:color="auto" w:sz="4"/>
          <w:left w:val="single" w:color="auto" w:sz="4"/>
          <w:bottom w:val="single" w:color="auto" w:sz="4"/>
          <w:right w:val="single" w:color="auto" w:sz="4"/>
          <w:insideH w:val="single" w:color="auto" w:sz="4"/>
          <w:insideV w:val="single" w:color="auto" w:sz="4"/>
        </w:tblBorders>
      </w:tblPr>
      <w:tblGrid>
        <w:gridCol w:w="1900"/>
        <w:gridCol w:w="2700"/>
        <w:gridCol w:w="9678"/>
      </w:tblGrid>
      <w:tr>
        <w:trPr>
          <w:tblHeader/>
        </w:trPr>
        <w:tc>
          <w:tcPr>
            <w:tcW w:type="dxa" w:w="19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Stage</w:t>
            </w:r>
          </w:p>
        </w:tc>
        <w:tc>
          <w:tcPr>
            <w:tcW w:type="dxa" w:w="27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Years</w:t>
            </w:r>
          </w:p>
        </w:tc>
        <w:tc>
          <w:tcPr>
            <w:tcW w:type="dxa" w:w="967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Purpose</w:t>
            </w:r>
          </w:p>
        </w:tc>
      </w:tr>
      <w:tr>
        <w:tc>
          <w:tcPr>
            <w:tcW w:type="dxa" w:w="1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Key Stage 3</w:t>
            </w:r>
          </w:p>
        </w:tc>
        <w:tc>
          <w:tcPr>
            <w:tcW w:type="dxa" w:w="27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Years 7 to 9</w:t>
            </w:r>
          </w:p>
        </w:tc>
        <w:tc>
          <w:tcPr>
            <w:tcW w:type="dxa" w:w="96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Build secure reading, writing and spoken language foundations through whole text study; widen moral and cultural range</w:t>
            </w:r>
          </w:p>
        </w:tc>
      </w:tr>
      <w:tr>
        <w:tc>
          <w:tcPr>
            <w:tcW w:type="dxa" w:w="19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Bridge</w:t>
            </w:r>
          </w:p>
        </w:tc>
        <w:tc>
          <w:tcPr>
            <w:tcW w:type="dxa" w:w="27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 9</w:t>
            </w:r>
          </w:p>
        </w:tc>
        <w:tc>
          <w:tcPr>
            <w:tcW w:type="dxa" w:w="96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Transition to GCSE: critical reading and evaluative writing introduced; Macbeth begins the Literature spine</w:t>
            </w:r>
          </w:p>
        </w:tc>
      </w:tr>
      <w:tr>
        <w:tc>
          <w:tcPr>
            <w:tcW w:type="dxa" w:w="1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Key Stage 4</w:t>
            </w:r>
          </w:p>
        </w:tc>
        <w:tc>
          <w:tcPr>
            <w:tcW w:type="dxa" w:w="27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Years 10 to 11</w:t>
            </w:r>
          </w:p>
        </w:tc>
        <w:tc>
          <w:tcPr>
            <w:tcW w:type="dxa" w:w="96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Full AQA GCSE: the four Literature texts and the Language papers taught and examined</w:t>
            </w:r>
          </w:p>
        </w:tc>
      </w:tr>
    </w:tbl>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1C3057" w:sz="24"/>
              <w:bottom w:val="none" w:color="FFFFFF" w:sz="0"/>
              <w:right w:val="none" w:color="FFFFFF" w:sz="0"/>
            </w:tcBorders>
            <w:shd w:fill="EAF0F6"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AQA Literature spine</w:t>
            </w:r>
          </w:p>
          <w:p>
            <w:pPr>
              <w:spacing w:after="60" w:before="20" w:line="292"/>
            </w:pPr>
            <w:r>
              <w:rPr>
                <w:rFonts w:ascii="Calibri" w:cs="Calibri" w:eastAsia="Calibri" w:hAnsi="Calibri"/>
                <w:color w:val="1A1A1A"/>
                <w:sz w:val="27"/>
                <w:szCs w:val="27"/>
              </w:rPr>
              <w:t xml:space="preserve">Shakespeare is Macbeth, studied in Year 9 and studied again for examination in Year 10. The 19th century novel is The Strange Case of Jekyll and Hyde. The modern text is An Inspector Calls. The poetry is the AQA Power and Conflict cluster, taught alongside unseen poetry. English Language is built in parallel across both years through the reading and writing demands of each term.</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4. Year by Year Text Map</w:t>
      </w:r>
    </w:p>
    <w:p>
      <w:pPr>
        <w:spacing w:after="160" w:before="40" w:line="300"/>
      </w:pPr>
      <w:r>
        <w:rPr>
          <w:rFonts w:ascii="Calibri" w:cs="Calibri" w:eastAsia="Calibri" w:hAnsi="Calibri"/>
          <w:b w:val="false"/>
          <w:bCs w:val="false"/>
          <w:i w:val="false"/>
          <w:iCs w:val="false"/>
          <w:color w:val="1A1A1A"/>
          <w:sz w:val="28"/>
          <w:szCs w:val="28"/>
        </w:rPr>
        <w:t xml:space="preserve">Each year studies three core texts. The Islamic concept shown for each is drawn from what the text already does, in keeping with section 2.</w:t>
      </w:r>
    </w:p>
    <w:p>
      <w:pPr>
        <w:pStyle w:val="Heading2"/>
        <w:spacing w:after="120" w:before="280"/>
      </w:pPr>
      <w:r>
        <w:rPr>
          <w:rFonts w:ascii="Georgia" w:cs="Georgia" w:eastAsia="Georgia" w:hAnsi="Georgia"/>
          <w:b/>
          <w:bCs/>
          <w:color w:val="1C3057"/>
          <w:sz w:val="32"/>
          <w:szCs w:val="32"/>
        </w:rPr>
        <w:t xml:space="preserve">Year 7  |  Foundations: reading closely, writing with control, speaking with clarity</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7778"/>
      </w:tblGrid>
      <w:tr>
        <w:trPr>
          <w:tblHeader/>
        </w:trPr>
        <w:tc>
          <w:tcPr>
            <w:tcW w:type="dxa" w:w="15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Term</w:t>
            </w:r>
          </w:p>
        </w:tc>
        <w:tc>
          <w:tcPr>
            <w:tcW w:type="dxa" w:w="54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Core text</w:t>
            </w:r>
          </w:p>
        </w:tc>
        <w:tc>
          <w:tcPr>
            <w:tcW w:type="dxa" w:w="77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Concept drawn from the text</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1</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 Monster Calls (Patrick Ness)</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Grief, truth and the courage to face hard things honestly. Sabr through trial and the value of truthfulness drawn from the novel's own treatment of denial and acceptance.</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2</w:t>
            </w:r>
          </w:p>
        </w:tc>
        <w:tc>
          <w:tcPr>
            <w:tcW w:type="dxa" w:w="5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Boy Everywhere (A. M. Dassu)</w:t>
            </w:r>
          </w:p>
        </w:tc>
        <w:tc>
          <w:tcPr>
            <w:tcW w:type="dxa" w:w="7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Displacement, refuge and belonging. Mercy toward the stranger and the dignity of those who must leave home, drawn from the novel's account of forced migration.</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3</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 Midsummer Night's Dream (Shakespeare)</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Order, disorder and reconciliation. The restoration of harmony after confusion, drawn from the play's structure of rupture and repair.</w:t>
            </w:r>
          </w:p>
        </w:tc>
      </w:tr>
    </w:tbl>
    <w:p>
      <w:pPr>
        <w:pageBreakBefore/>
      </w:pPr>
    </w:p>
    <w:p>
      <w:pPr>
        <w:pStyle w:val="Heading2"/>
        <w:spacing w:after="120" w:before="280"/>
      </w:pPr>
      <w:r>
        <w:rPr>
          <w:rFonts w:ascii="Georgia" w:cs="Georgia" w:eastAsia="Georgia" w:hAnsi="Georgia"/>
          <w:b/>
          <w:bCs/>
          <w:color w:val="1C3057"/>
          <w:sz w:val="32"/>
          <w:szCs w:val="32"/>
        </w:rPr>
        <w:t xml:space="preserve">Year 8  |  Deepening: sustained analysis, argument, and the writer's craft</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7778"/>
      </w:tblGrid>
      <w:tr>
        <w:trPr>
          <w:tblHeader/>
        </w:trPr>
        <w:tc>
          <w:tcPr>
            <w:tcW w:type="dxa" w:w="15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Term</w:t>
            </w:r>
          </w:p>
        </w:tc>
        <w:tc>
          <w:tcPr>
            <w:tcW w:type="dxa" w:w="54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Core text</w:t>
            </w:r>
          </w:p>
        </w:tc>
        <w:tc>
          <w:tcPr>
            <w:tcW w:type="dxa" w:w="77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Concept drawn from the text</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1</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Roll of Thunder, Hear My Cry (Mildred D. Taylor)</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Justice and dignity under oppression. Standing against injustice (zulm) and the worth of every person, drawn from the novel's treatment of resistance and family.</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2</w:t>
            </w:r>
          </w:p>
        </w:tc>
        <w:tc>
          <w:tcPr>
            <w:tcW w:type="dxa" w:w="5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Night Diary (Veera Hiranandani)</w:t>
            </w:r>
          </w:p>
        </w:tc>
        <w:tc>
          <w:tcPr>
            <w:tcW w:type="dxa" w:w="7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Identity, partition and belonging. Brotherhood across difference and mercy in a divided world, drawn from the novel's account of displacement and kinship.</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3</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Tempest (Shakespeare)</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Power, freedom and forgiveness. Mercy chosen over vengeance, drawn from the play's movement toward release and pardon.</w:t>
            </w:r>
          </w:p>
        </w:tc>
      </w:tr>
    </w:tbl>
    <w:p>
      <w:pPr>
        <w:pageBreakBefore/>
      </w:pPr>
    </w:p>
    <w:p>
      <w:pPr>
        <w:pStyle w:val="Heading2"/>
        <w:spacing w:after="120" w:before="280"/>
      </w:pPr>
      <w:r>
        <w:rPr>
          <w:rFonts w:ascii="Georgia" w:cs="Georgia" w:eastAsia="Georgia" w:hAnsi="Georgia"/>
          <w:b/>
          <w:bCs/>
          <w:color w:val="1C3057"/>
          <w:sz w:val="32"/>
          <w:szCs w:val="32"/>
        </w:rPr>
        <w:t xml:space="preserve">Year 9  |  Transition to GCSE: critical reading, evaluative writing, conceptual depth</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7778"/>
      </w:tblGrid>
      <w:tr>
        <w:trPr>
          <w:tblHeader/>
        </w:trPr>
        <w:tc>
          <w:tcPr>
            <w:tcW w:type="dxa" w:w="15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Term</w:t>
            </w:r>
          </w:p>
        </w:tc>
        <w:tc>
          <w:tcPr>
            <w:tcW w:type="dxa" w:w="54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Core text</w:t>
            </w:r>
          </w:p>
        </w:tc>
        <w:tc>
          <w:tcPr>
            <w:tcW w:type="dxa" w:w="77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Concept drawn from the text</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1</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Bone Sparrow (Zana Fraillon)</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Confinement, hope and the duty owed to the vulnerable. Responsibility (amanah) toward those without power, drawn from the novel's account of detention and friendship.</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2</w:t>
            </w:r>
          </w:p>
        </w:tc>
        <w:tc>
          <w:tcPr>
            <w:tcW w:type="dxa" w:w="5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Book Thief (Markus Zusak)</w:t>
            </w:r>
          </w:p>
        </w:tc>
        <w:tc>
          <w:tcPr>
            <w:tcW w:type="dxa" w:w="7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Words, conscience and moral courage under tyranny. The weight of speech and truthfulness, drawn from the novel's treatment of language and resistance.</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3</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Macbeth (Shakespeare)</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Ambition, conscience and consequence. The corruption of unchecked desire and the self that is not governed, drawn from the play's tragic arc.</w:t>
            </w:r>
          </w:p>
        </w:tc>
      </w:tr>
    </w:tbl>
    <w:p>
      <w:pPr>
        <w:pageBreakBefore/>
      </w:pPr>
    </w:p>
    <w:p>
      <w:pPr>
        <w:pStyle w:val="Heading2"/>
        <w:spacing w:after="120" w:before="280"/>
      </w:pPr>
      <w:r>
        <w:rPr>
          <w:rFonts w:ascii="Georgia" w:cs="Georgia" w:eastAsia="Georgia" w:hAnsi="Georgia"/>
          <w:b/>
          <w:bCs/>
          <w:color w:val="1C3057"/>
          <w:sz w:val="32"/>
          <w:szCs w:val="32"/>
        </w:rPr>
        <w:t xml:space="preserve">Year 10  |  AQA GCSE: Literature texts taught for examination; Language skills built in parallel</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7778"/>
      </w:tblGrid>
      <w:tr>
        <w:trPr>
          <w:tblHeader/>
        </w:trPr>
        <w:tc>
          <w:tcPr>
            <w:tcW w:type="dxa" w:w="15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Term</w:t>
            </w:r>
          </w:p>
        </w:tc>
        <w:tc>
          <w:tcPr>
            <w:tcW w:type="dxa" w:w="54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Core text</w:t>
            </w:r>
          </w:p>
        </w:tc>
        <w:tc>
          <w:tcPr>
            <w:tcW w:type="dxa" w:w="77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Concept drawn from the text</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1</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Strange Case of Jekyll and Hyde (R. L. Stevenson)</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divided self and moral responsibility. The struggle to govern the self (tazkiyah), drawn from the novella's treatment of restraint and its collapse.</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2</w:t>
            </w:r>
          </w:p>
        </w:tc>
        <w:tc>
          <w:tcPr>
            <w:tcW w:type="dxa" w:w="5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Macbeth studied again for examination</w:t>
            </w:r>
          </w:p>
        </w:tc>
        <w:tc>
          <w:tcPr>
            <w:tcW w:type="dxa" w:w="7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Consolidation of the Shakespeare text at examination depth, returning to ambition, conscience and consequence with analytical precision.</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3</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Power and Conflict poetry (AQA anthology)</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Power, nature and memory; the transience of worldly power, drawn from the cluster's recurring concerns.</w:t>
            </w:r>
          </w:p>
        </w:tc>
      </w:tr>
    </w:tbl>
    <w:p>
      <w:pPr>
        <w:pageBreakBefore/>
      </w:pPr>
    </w:p>
    <w:p>
      <w:pPr>
        <w:pStyle w:val="Heading2"/>
        <w:spacing w:after="120" w:before="280"/>
      </w:pPr>
      <w:r>
        <w:rPr>
          <w:rFonts w:ascii="Georgia" w:cs="Georgia" w:eastAsia="Georgia" w:hAnsi="Georgia"/>
          <w:b/>
          <w:bCs/>
          <w:color w:val="1C3057"/>
          <w:sz w:val="32"/>
          <w:szCs w:val="32"/>
        </w:rPr>
        <w:t xml:space="preserve">Year 11  |  AQA GCSE: completion, synoptic revision, examination preparation</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7778"/>
      </w:tblGrid>
      <w:tr>
        <w:trPr>
          <w:tblHeader/>
        </w:trPr>
        <w:tc>
          <w:tcPr>
            <w:tcW w:type="dxa" w:w="15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Term</w:t>
            </w:r>
          </w:p>
        </w:tc>
        <w:tc>
          <w:tcPr>
            <w:tcW w:type="dxa" w:w="5400"/>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Core text</w:t>
            </w:r>
          </w:p>
        </w:tc>
        <w:tc>
          <w:tcPr>
            <w:tcW w:type="dxa" w:w="7778"/>
            <w:tcBorders>
              <w:top w:val="single" w:color="C9CBD4" w:sz="2"/>
              <w:left w:val="single" w:color="C9CBD4" w:sz="2"/>
              <w:bottom w:val="single" w:color="C9CBD4" w:sz="2"/>
              <w:right w:val="single" w:color="C9CBD4" w:sz="2"/>
            </w:tcBorders>
            <w:shd w:fill="1C3057"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Concept drawn from the text</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1</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An Inspector Calls (J. B. Priestley)</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Collective responsibility and social justice. Accountability and care for others, drawn from the play's treatment of conscience and consequence.</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2</w:t>
            </w:r>
          </w:p>
        </w:tc>
        <w:tc>
          <w:tcPr>
            <w:tcW w:type="dxa" w:w="5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Synoptic revision across all Literature texts</w:t>
            </w:r>
          </w:p>
        </w:tc>
        <w:tc>
          <w:tcPr>
            <w:tcW w:type="dxa" w:w="7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Macbeth, Jekyll and Hyde, An Inspector Calls and Power and Conflict poetry revisited; unseen poetry and Language papers practised.</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Term 3</w:t>
            </w:r>
          </w:p>
        </w:tc>
        <w:tc>
          <w:tcPr>
            <w:tcW w:type="dxa" w:w="5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Final revision and examinations</w:t>
            </w:r>
          </w:p>
        </w:tc>
        <w:tc>
          <w:tcPr>
            <w:tcW w:type="dxa" w:w="7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Timed practice under examination conditions; targeted intervention; AQA English Language and English Literature examinations.</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5. Skills Progression Across Five Years</w:t>
      </w:r>
    </w:p>
    <w:p>
      <w:pPr>
        <w:spacing w:after="160" w:before="40" w:line="300"/>
      </w:pPr>
      <w:r>
        <w:rPr>
          <w:rFonts w:ascii="Calibri" w:cs="Calibri" w:eastAsia="Calibri" w:hAnsi="Calibri"/>
          <w:b w:val="false"/>
          <w:bCs w:val="false"/>
          <w:i w:val="false"/>
          <w:iCs w:val="false"/>
          <w:color w:val="1A1A1A"/>
          <w:sz w:val="28"/>
          <w:szCs w:val="28"/>
        </w:rPr>
        <w:t xml:space="preserve">Reading, writing and spoken language are escalated deliberately year on year so that a pupil arriving in Year 11 has been prepared, step by step, for the demands of the AQA examinations.</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520"/>
        <w:gridCol w:w="2430"/>
        <w:gridCol w:w="2430"/>
        <w:gridCol w:w="2430"/>
        <w:gridCol w:w="2430"/>
        <w:gridCol w:w="2438"/>
      </w:tblGrid>
      <w:tr>
        <w:trPr>
          <w:tblHeader/>
        </w:trPr>
        <w:tc>
          <w:tcPr>
            <w:tcW w:type="dxa" w:w="252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Strand</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7</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8</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9</w:t>
            </w:r>
          </w:p>
        </w:tc>
        <w:tc>
          <w:tcPr>
            <w:tcW w:type="dxa" w:w="243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10</w:t>
            </w:r>
          </w:p>
        </w:tc>
        <w:tc>
          <w:tcPr>
            <w:tcW w:type="dxa" w:w="243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 11</w:t>
            </w:r>
          </w:p>
        </w:tc>
      </w:tr>
      <w:tr>
        <w:tc>
          <w:tcPr>
            <w:tcW w:type="dxa" w:w="252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Reading</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Comprehension; inference; tracking a whole text</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Sustained analysis; writer's methods</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Critical reading; evaluating viewpoint</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Analytical essay on whole texts</w:t>
            </w:r>
          </w:p>
        </w:tc>
        <w:tc>
          <w:tcPr>
            <w:tcW w:type="dxa" w:w="243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Synoptic comparison; unseen analysis</w:t>
            </w:r>
          </w:p>
        </w:tc>
      </w:tr>
      <w:tr>
        <w:tc>
          <w:tcPr>
            <w:tcW w:type="dxa" w:w="252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Writing</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Narrative and descriptive with control</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Argument and the writer's craft</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Evaluative and discursive writing</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AQA Language writing tasks</w:t>
            </w:r>
          </w:p>
        </w:tc>
        <w:tc>
          <w:tcPr>
            <w:tcW w:type="dxa" w:w="243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Timed writing to examination standard</w:t>
            </w:r>
          </w:p>
        </w:tc>
      </w:tr>
      <w:tr>
        <w:tc>
          <w:tcPr>
            <w:tcW w:type="dxa" w:w="252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Spoken language</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Clear, structured talk</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Reasoned discussion</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Formal presentation</w:t>
            </w:r>
          </w:p>
        </w:tc>
        <w:tc>
          <w:tcPr>
            <w:tcW w:type="dxa" w:w="243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Debate and AQA spoken endorsement</w:t>
            </w:r>
          </w:p>
        </w:tc>
        <w:tc>
          <w:tcPr>
            <w:tcW w:type="dxa" w:w="243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Examination standard articulation</w:t>
            </w:r>
          </w:p>
        </w:tc>
      </w:tr>
      <w:tr>
        <w:tc>
          <w:tcPr>
            <w:tcW w:type="dxa" w:w="252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Vocabulary and grammar</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Tier two vocabulary; accurate sentences</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Varied syntax for effect</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Precise academic register</w:t>
            </w:r>
          </w:p>
        </w:tc>
        <w:tc>
          <w:tcPr>
            <w:tcW w:type="dxa" w:w="243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Terminology for analysis</w:t>
            </w:r>
          </w:p>
        </w:tc>
        <w:tc>
          <w:tcPr>
            <w:tcW w:type="dxa" w:w="243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Confident, controlled written voice</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6. Assessment Spine</w:t>
      </w:r>
    </w:p>
    <w:p>
      <w:pPr>
        <w:spacing w:after="130" w:before="40" w:line="300"/>
      </w:pPr>
      <w:r>
        <w:rPr>
          <w:rFonts w:ascii="Calibri" w:cs="Calibri" w:eastAsia="Calibri" w:hAnsi="Calibri"/>
          <w:b w:val="false"/>
          <w:bCs w:val="false"/>
          <w:i w:val="false"/>
          <w:iCs w:val="false"/>
          <w:color w:val="1A1A1A"/>
          <w:sz w:val="28"/>
          <w:szCs w:val="28"/>
        </w:rPr>
        <w:t xml:space="preserve">Assessment checks that reading is secure and writing is controlled, and that both are retained. The pattern is consistent across all five years.</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900"/>
        <w:gridCol w:w="11778"/>
      </w:tblGrid>
      <w:tr>
        <w:trPr>
          <w:tblHeader/>
        </w:trPr>
        <w:tc>
          <w:tcPr>
            <w:tcW w:type="dxa" w:w="29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Form</w:t>
            </w:r>
          </w:p>
        </w:tc>
        <w:tc>
          <w:tcPr>
            <w:tcW w:type="dxa" w:w="1177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Purpose and timing</w:t>
            </w:r>
          </w:p>
        </w:tc>
      </w:tr>
      <w:tr>
        <w:tc>
          <w:tcPr>
            <w:tcW w:type="dxa" w:w="2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Weekly retrieval</w:t>
            </w:r>
          </w:p>
        </w:tc>
        <w:tc>
          <w:tcPr>
            <w:tcW w:type="dxa" w:w="11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Low stakes recall of texts, vocabulary and terminology; strengthens long term memory</w:t>
            </w:r>
          </w:p>
        </w:tc>
      </w:tr>
      <w:tr>
        <w:tc>
          <w:tcPr>
            <w:tcW w:type="dxa" w:w="29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Mid term writing task</w:t>
            </w:r>
          </w:p>
        </w:tc>
        <w:tc>
          <w:tcPr>
            <w:tcW w:type="dxa" w:w="11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An extended piece each term, marked against appropriate to the year criteria</w:t>
            </w:r>
          </w:p>
        </w:tc>
      </w:tr>
      <w:tr>
        <w:tc>
          <w:tcPr>
            <w:tcW w:type="dxa" w:w="2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End of term assessment</w:t>
            </w:r>
          </w:p>
        </w:tc>
        <w:tc>
          <w:tcPr>
            <w:tcW w:type="dxa" w:w="11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Reading and writing assessed together; informs reteaching</w:t>
            </w:r>
          </w:p>
        </w:tc>
      </w:tr>
      <w:tr>
        <w:tc>
          <w:tcPr>
            <w:tcW w:type="dxa" w:w="29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Spoken language</w:t>
            </w:r>
          </w:p>
        </w:tc>
        <w:tc>
          <w:tcPr>
            <w:tcW w:type="dxa" w:w="117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Assessed formally each year; in Key Stage 4 mapped to the AQA spoken endorsement</w:t>
            </w:r>
          </w:p>
        </w:tc>
      </w:tr>
      <w:tr>
        <w:tc>
          <w:tcPr>
            <w:tcW w:type="dxa" w:w="29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Mock examinations</w:t>
            </w:r>
          </w:p>
        </w:tc>
        <w:tc>
          <w:tcPr>
            <w:tcW w:type="dxa" w:w="117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Years 10 and 11; full AQA style Language and Literature papers under examination conditions</w:t>
            </w:r>
          </w:p>
        </w:tc>
      </w:tr>
    </w:tbl>
    <w:p>
      <w:pPr>
        <w:pStyle w:val="Heading1"/>
        <w:pBdr>
          <w:bottom w:val="single" w:color="C9A227" w:sz="10" w:space="6"/>
        </w:pBdr>
        <w:spacing w:after="160" w:before="360"/>
      </w:pPr>
      <w:r>
        <w:rPr>
          <w:rFonts w:ascii="Georgia" w:cs="Georgia" w:eastAsia="Georgia" w:hAnsi="Georgia"/>
          <w:b/>
          <w:bCs/>
          <w:color w:val="0F1E3D"/>
          <w:sz w:val="38"/>
          <w:szCs w:val="38"/>
        </w:rPr>
        <w:t xml:space="preserve">7. Reading Range and Representation</w:t>
      </w:r>
    </w:p>
    <w:p>
      <w:pPr>
        <w:spacing w:after="130" w:before="40" w:line="300"/>
      </w:pPr>
      <w:r>
        <w:rPr>
          <w:rFonts w:ascii="Calibri" w:cs="Calibri" w:eastAsia="Calibri" w:hAnsi="Calibri"/>
          <w:b w:val="false"/>
          <w:bCs w:val="false"/>
          <w:i w:val="false"/>
          <w:iCs w:val="false"/>
          <w:color w:val="1A1A1A"/>
          <w:sz w:val="28"/>
          <w:szCs w:val="28"/>
        </w:rPr>
        <w:t xml:space="preserve">The text spine deliberately spans grief, migration, justice, tyranny, ambition and responsibility, and places writers of varied backgrounds alongside the canonical core. As a school for girls we ensure our pupils see themselves as serious readers and writers, and that the moral questions raised by the literature are taken seriously, not softened.</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C9A227" w:sz="24"/>
              <w:bottom w:val="none" w:color="FFFFFF" w:sz="0"/>
              <w:right w:val="none" w:color="FFFFFF" w:sz="0"/>
            </w:tcBorders>
            <w:shd w:fill="FAF3D9"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How to use this plan</w:t>
            </w:r>
          </w:p>
          <w:p>
            <w:pPr>
              <w:spacing w:after="60" w:before="20" w:line="292"/>
            </w:pPr>
            <w:r>
              <w:rPr>
                <w:rFonts w:ascii="Calibri" w:cs="Calibri" w:eastAsia="Calibri" w:hAnsi="Calibri"/>
                <w:color w:val="1A1A1A"/>
                <w:sz w:val="27"/>
                <w:szCs w:val="27"/>
              </w:rPr>
              <w:t xml:space="preserve">This is the locked strategic five year reference. For week by week delivery, use the year and term Medium Term Plans. For the depth needed to teach a text, read its Subject Knowledge Document in full before teaching. The five year structure and text choices are locked; changes go through the department, not individual teachers.</w:t>
            </w:r>
          </w:p>
        </w:tc>
      </w:tr>
    </w:tbl>
    <w:sectPr>
      <w:headerReference w:type="default" r:id="rId7"/>
      <w:footerReference w:type="default" r:id="rId8"/>
      <w:pgSz w:w="16838" w:h="11906"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5A5A"/>
        <w:sz w:val="18"/>
        <w:szCs w:val="18"/>
      </w:rPr>
      <w:t xml:space="preserve">Page </w:t>
    </w:r>
    <w:r>
      <w:rPr>
        <w:rFonts w:ascii="Calibri" w:cs="Calibri" w:eastAsia="Calibri" w:hAnsi="Calibri"/>
        <w:color w:val="5A5A5A"/>
        <w:sz w:val="18"/>
        <w:szCs w:val="18"/>
      </w:rPr>
      <w:fldChar w:fldCharType="begin"/>
      <w:instrText xml:space="preserve">PAGE</w:instrText>
      <w:fldChar w:fldCharType="separate"/>
      <w:fldChar w:fldCharType="end"/>
    </w:r>
    <w:r>
      <w:rPr>
        <w:rFonts w:ascii="Calibri" w:cs="Calibri" w:eastAsia="Calibri" w:hAnsi="Calibri"/>
        <w:color w:val="5A5A5A"/>
        <w:sz w:val="18"/>
        <w:szCs w:val="18"/>
      </w:rPr>
      <w:t xml:space="preserve"> of </w:t>
    </w:r>
    <w:r>
      <w:rPr>
        <w:rFonts w:ascii="Calibri" w:cs="Calibri" w:eastAsia="Calibri" w:hAnsi="Calibri"/>
        <w:color w:val="5A5A5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227" w:sz="4" w:space="6"/>
      </w:pBdr>
      <w:spacing w:after="40"/>
      <w:jc w:val="right"/>
    </w:pPr>
    <w:r>
      <w:rPr>
        <w:rFonts w:ascii="Calibri" w:cs="Calibri" w:eastAsia="Calibri" w:hAnsi="Calibri"/>
        <w:color w:val="1C3057"/>
        <w:sz w:val="18"/>
        <w:szCs w:val="18"/>
      </w:rPr>
      <w:t xml:space="preserve">The Ivy House Secondary School for Girls  |  English Whole School LTP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8"/>
        <w:szCs w:val="2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Georgia" w:cs="Georgia" w:eastAsia="Georgia" w:hAnsi="Georgia"/>
      <w:b/>
      <w:bCs/>
      <w:color w:val="0F1E3D"/>
      <w:sz w:val="38"/>
      <w:szCs w:val="38"/>
    </w:rPr>
  </w:style>
  <w:style w:type="paragraph" w:styleId="Heading2">
    <w:name w:val="Heading 2"/>
    <w:basedOn w:val="Normal"/>
    <w:next w:val="Normal"/>
    <w:qFormat/>
    <w:pPr>
      <w:spacing w:after="120" w:before="280"/>
      <w:outlineLvl w:val="1"/>
    </w:pPr>
    <w:rPr>
      <w:rFonts w:ascii="Georgia" w:cs="Georgia" w:eastAsia="Georgia" w:hAnsi="Georgia"/>
      <w:b/>
      <w:bCs/>
      <w:color w:val="1C3057"/>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2026-05-18T15:16:24.802Z</dcterms:created>
  <dcterms:modified xsi:type="dcterms:W3CDTF">2026-05-18T15:16:24.802Z</dcterms:modified>
</cp:coreProperties>
</file>

<file path=docProps/custom.xml><?xml version="1.0" encoding="utf-8"?>
<Properties xmlns="http://schemas.openxmlformats.org/officeDocument/2006/custom-properties" xmlns:vt="http://schemas.openxmlformats.org/officeDocument/2006/docPropsVTypes"/>
</file>