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14</w:t>
      </w:r>
    </w:p>
    <w:p>
      <w:pPr>
        <w:spacing w:after="0" w:line="480"/>
      </w:pPr>
    </w:p>
    <w:p>
      <w:pPr>
        <w:spacing w:after="0" w:line="480"/>
        <w:jc w:val="center"/>
      </w:pPr>
      <w:r>
        <w:rPr>
          <w:rFonts w:ascii="Times New Roman" w:cs="Times New Roman" w:eastAsia="Times New Roman" w:hAnsi="Times New Roman"/>
          <w:sz w:val="24"/>
          <w:szCs w:val="24"/>
        </w:rPr>
        <w:t xml:space="preserve">Defeating the TTI Defense Playbook</w:t>
      </w:r>
    </w:p>
    <w:p>
      <w:pPr>
        <w:spacing w:after="0" w:line="480"/>
        <w:jc w:val="center"/>
      </w:pPr>
      <w:r>
        <w:rPr>
          <w:rFonts w:ascii="Times New Roman" w:cs="Times New Roman" w:eastAsia="Times New Roman" w:hAnsi="Times New Roman"/>
          <w:i/>
          <w:iCs/>
          <w:sz w:val="24"/>
          <w:szCs w:val="24"/>
        </w:rPr>
        <w:t xml:space="preserve">Anticipating and Dismantling Every Argument They Will Make</w:t>
      </w:r>
    </w:p>
    <w:p>
      <w:pPr>
        <w:spacing w:after="0" w:line="480"/>
      </w:pPr>
    </w:p>
    <w:p>
      <w:pPr>
        <w:spacing w:after="0" w:line="480"/>
      </w:pPr>
      <w:r>
        <w:rPr>
          <w:rFonts w:ascii="Times New Roman" w:cs="Times New Roman" w:eastAsia="Times New Roman" w:hAnsi="Times New Roman"/>
          <w:sz w:val="24"/>
          <w:szCs w:val="24"/>
        </w:rPr>
        <w:t xml:space="preserve">Defense lawyers in TTI cases are not stupid. They are well-funded, well-trained, and increasingly organized around strategies specifically designed to prevent large verdicts in institutional abuse litigation. If you walk into trial believing that the strength of your client's story will carry the day, you will lose. The defense has a playbook. You need to know it better than they do.</w:t>
      </w:r>
    </w:p>
    <w:p>
      <w:pPr>
        <w:spacing w:after="0" w:line="480"/>
        <w:ind w:firstLine="720"/>
      </w:pPr>
      <w:r>
        <w:rPr>
          <w:rFonts w:ascii="Times New Roman" w:cs="Times New Roman" w:eastAsia="Times New Roman" w:hAnsi="Times New Roman"/>
          <w:sz w:val="24"/>
          <w:szCs w:val="24"/>
        </w:rPr>
        <w:t xml:space="preserve">In recent years, the defense bar has organized around the framework that Robert F. Tyson Jr. calls Nuclear Verdicts—a set of strategies designed to suppress jury outrage, lower damages anchors, and reframe institutional abuse as individual misfortune. These strategies layer on top of the traditional institutional defenses that TTI defendants have relied on for decades: the difficult child, therapeutic discretion, parental consent, and the absence of complaints.</w:t>
      </w:r>
    </w:p>
    <w:p>
      <w:pPr>
        <w:spacing w:after="0" w:line="480"/>
        <w:ind w:firstLine="720"/>
      </w:pPr>
      <w:r>
        <w:rPr>
          <w:rFonts w:ascii="Times New Roman" w:cs="Times New Roman" w:eastAsia="Times New Roman" w:hAnsi="Times New Roman"/>
          <w:sz w:val="24"/>
          <w:szCs w:val="24"/>
        </w:rPr>
        <w:t xml:space="preserve">This chapter catalogs every major defense you will face in TTI litigation, explains why each argument works on juries, and gives you the specific counter-strategy for each. The goal is not to react to the defense at trial. The goal is to have defeated every defense argument before the jury is seated.</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Nuclear Verdicts Strategy: What the Defense Has Learned</w:t>
      </w:r>
    </w:p>
    <w:p>
      <w:pPr>
        <w:spacing w:after="0" w:line="480"/>
      </w:pPr>
    </w:p>
    <w:p>
      <w:pPr>
        <w:spacing w:after="0" w:line="480"/>
      </w:pPr>
      <w:r>
        <w:rPr>
          <w:rFonts w:ascii="Times New Roman" w:cs="Times New Roman" w:eastAsia="Times New Roman" w:hAnsi="Times New Roman"/>
          <w:sz w:val="24"/>
          <w:szCs w:val="24"/>
        </w:rPr>
        <w:t xml:space="preserve">Tyson's </w:t>
      </w:r>
      <w:r>
        <w:rPr>
          <w:rFonts w:ascii="Times New Roman" w:cs="Times New Roman" w:eastAsia="Times New Roman" w:hAnsi="Times New Roman"/>
          <w:i/>
          <w:iCs/>
          <w:sz w:val="24"/>
          <w:szCs w:val="24"/>
        </w:rPr>
        <w:t xml:space="preserve">Nuclear Verdicts</w:t>
      </w:r>
      <w:r>
        <w:rPr>
          <w:rFonts w:ascii="Times New Roman" w:cs="Times New Roman" w:eastAsia="Times New Roman" w:hAnsi="Times New Roman"/>
          <w:sz w:val="24"/>
          <w:szCs w:val="24"/>
        </w:rPr>
        <w:t xml:space="preserve"> has become required reading for defense firms handling high-exposure institutional cases. If you have not read it, you should—not because it is right about everything, but because it tells you exactly what the defense attorney sitting across from you has been trained to do. The book identifies five core strategies that defense attorneys use to prevent large verdicts. Each one will appear in your TTI case. Each one can be defeated.</w:t>
      </w:r>
    </w:p>
    <w:p>
      <w:pPr>
        <w:spacing w:after="0" w:before="240" w:line="480"/>
      </w:pPr>
      <w:r>
        <w:rPr>
          <w:rFonts w:ascii="Times New Roman" w:cs="Times New Roman" w:eastAsia="Times New Roman" w:hAnsi="Times New Roman"/>
          <w:b/>
          <w:bCs/>
          <w:i/>
          <w:iCs/>
          <w:sz w:val="24"/>
          <w:szCs w:val="24"/>
        </w:rPr>
        <w:t xml:space="preserve">The Empathy Gambit</w:t>
      </w:r>
    </w:p>
    <w:p>
      <w:pPr>
        <w:spacing w:after="0" w:line="480"/>
        <w:ind w:firstLine="720"/>
      </w:pPr>
      <w:r>
        <w:rPr>
          <w:rFonts w:ascii="Times New Roman" w:cs="Times New Roman" w:eastAsia="Times New Roman" w:hAnsi="Times New Roman"/>
          <w:sz w:val="24"/>
          <w:szCs w:val="24"/>
        </w:rPr>
        <w:t xml:space="preserve">Tyson teaches defense attorneys to lead with empathy. In opening statement, before any denial, before any attack on the plaintiff's credibility, the defense attorney says something like: "We are sorry for what happened. No child should have to go through what this plaintiff describes. We care about the wellbeing of the young people in our programs." The goal is to defuse juror anger by appearing compassionate—to steal the moral high ground before you can claim it.</w:t>
      </w:r>
    </w:p>
    <w:p>
      <w:pPr>
        <w:spacing w:after="0" w:line="480"/>
        <w:ind w:firstLine="720"/>
      </w:pPr>
      <w:r>
        <w:rPr>
          <w:rFonts w:ascii="Times New Roman" w:cs="Times New Roman" w:eastAsia="Times New Roman" w:hAnsi="Times New Roman"/>
          <w:sz w:val="24"/>
          <w:szCs w:val="24"/>
        </w:rPr>
        <w:t xml:space="preserve">The counter: do not let the defense steal your client's pain by appearing to share it. In your opening, preempt the empathy gambit by naming it. Tell the jury: "You are going to hear the defense say they are sorry. Listen carefully to what follows the apology. Because what follows is: </w:t>
      </w:r>
      <w:r>
        <w:rPr>
          <w:rFonts w:ascii="Times New Roman" w:cs="Times New Roman" w:eastAsia="Times New Roman" w:hAnsi="Times New Roman"/>
          <w:i/>
          <w:iCs/>
          <w:sz w:val="24"/>
          <w:szCs w:val="24"/>
        </w:rPr>
        <w:t xml:space="preserve">but it wasn't our fault. But the child was already troubled. But the parents consented. But no one complained.</w:t>
      </w:r>
      <w:r>
        <w:rPr>
          <w:rFonts w:ascii="Times New Roman" w:cs="Times New Roman" w:eastAsia="Times New Roman" w:hAnsi="Times New Roman"/>
          <w:sz w:val="24"/>
          <w:szCs w:val="24"/>
        </w:rPr>
        <w:t xml:space="preserve"> An apology that precedes a denial is not an apology. It is a strategy."</w:t>
      </w:r>
    </w:p>
    <w:p>
      <w:pPr>
        <w:spacing w:after="0" w:line="480"/>
        <w:ind w:firstLine="720"/>
      </w:pPr>
      <w:r>
        <w:rPr>
          <w:rFonts w:ascii="Times New Roman" w:cs="Times New Roman" w:eastAsia="Times New Roman" w:hAnsi="Times New Roman"/>
          <w:sz w:val="24"/>
          <w:szCs w:val="24"/>
        </w:rPr>
        <w:t xml:space="preserve">Then, in cross-examination of the corporate representative, pin the empathy to action: "You say you are sorry. What specifically did the institution change as a result of Plaintiff's experience? Did you contact the family? Did you offer counseling? Did you report the conduct to any regulatory authority? Did you fire or discipline anyone?" The answer to each question will almost certainly be no. The empathy was marketing. The jury needs to see that.</w:t>
      </w:r>
    </w:p>
    <w:p>
      <w:pPr>
        <w:spacing w:after="0" w:before="240" w:line="480"/>
      </w:pPr>
      <w:r>
        <w:rPr>
          <w:rFonts w:ascii="Times New Roman" w:cs="Times New Roman" w:eastAsia="Times New Roman" w:hAnsi="Times New Roman"/>
          <w:b/>
          <w:bCs/>
          <w:i/>
          <w:iCs/>
          <w:sz w:val="24"/>
          <w:szCs w:val="24"/>
        </w:rPr>
        <w:t xml:space="preserve">Anchoring Damages Low</w:t>
      </w:r>
    </w:p>
    <w:p>
      <w:pPr>
        <w:spacing w:after="0" w:line="480"/>
        <w:ind w:firstLine="720"/>
      </w:pPr>
      <w:r>
        <w:rPr>
          <w:rFonts w:ascii="Times New Roman" w:cs="Times New Roman" w:eastAsia="Times New Roman" w:hAnsi="Times New Roman"/>
          <w:sz w:val="24"/>
          <w:szCs w:val="24"/>
        </w:rPr>
        <w:t xml:space="preserve">Tyson's most tactically effective strategy is low anchoring. The defense attorney suggests a specific, modest damages number in closing argument—not zero, not a denial that damages exist, but a number just high enough to seem reasonable while being far below what the evidence supports. The defense might say: "If you find liability, a fair number for what this plaintiff experienced is $200,000." The number is designed to create a gravitational pull that drags the verdict downward.</w:t>
      </w:r>
    </w:p>
    <w:p>
      <w:pPr>
        <w:spacing w:after="0" w:line="480"/>
        <w:ind w:firstLine="720"/>
      </w:pPr>
      <w:r>
        <w:rPr>
          <w:rFonts w:ascii="Times New Roman" w:cs="Times New Roman" w:eastAsia="Times New Roman" w:hAnsi="Times New Roman"/>
          <w:sz w:val="24"/>
          <w:szCs w:val="24"/>
        </w:rPr>
        <w:t xml:space="preserve">The counter is to anchor first and anchor high—but with justification. Your damages presentation must be built on a foundation the jury can verify: the economist's lost-earnings calculation, the life care planner's treatment cost projection, the per-diem framework for non-economic damages. When the defense offers their low anchor, your rebuttal closing is ready: "They suggested $200,000. Let's do the math. The life care plan alone projects $1.2 million in therapy costs. The economist calculates $800,000 in lost earning capacity. Before we even reach pain and suffering, we are at two million dollars. Their number isn't reasonable. It's insulting."</w:t>
      </w:r>
    </w:p>
    <w:p>
      <w:pPr>
        <w:spacing w:after="0" w:line="480"/>
        <w:ind w:firstLine="720"/>
      </w:pPr>
      <w:r>
        <w:rPr>
          <w:rFonts w:ascii="Times New Roman" w:cs="Times New Roman" w:eastAsia="Times New Roman" w:hAnsi="Times New Roman"/>
          <w:sz w:val="24"/>
          <w:szCs w:val="24"/>
        </w:rPr>
        <w:t xml:space="preserve">In TTI cases specifically, the low-anchor counter is strengthened by the concept of </w:t>
      </w:r>
      <w:r>
        <w:rPr>
          <w:rFonts w:ascii="Times New Roman" w:cs="Times New Roman" w:eastAsia="Times New Roman" w:hAnsi="Times New Roman"/>
          <w:i/>
          <w:iCs/>
          <w:sz w:val="24"/>
          <w:szCs w:val="24"/>
        </w:rPr>
        <w:t xml:space="preserve">developmental theft</w:t>
      </w:r>
      <w:r>
        <w:rPr>
          <w:rFonts w:ascii="Times New Roman" w:cs="Times New Roman" w:eastAsia="Times New Roman" w:hAnsi="Times New Roman"/>
          <w:sz w:val="24"/>
          <w:szCs w:val="24"/>
        </w:rPr>
        <w:t xml:space="preserve">. You are not asking the jury to compensate an adult for an injury. You are asking them to compensate a person whose adolescent development was stolen. Frame the per-diem argument around the developmental period: "The program took [number] days of [client's] adolescence. Those were the days when identity forms, when autonomy develops, when the capacity for trust is built. What is a day of stolen development worth?"</w:t>
      </w:r>
    </w:p>
    <w:p>
      <w:pPr>
        <w:spacing w:after="0" w:before="240" w:line="480"/>
      </w:pPr>
      <w:r>
        <w:rPr>
          <w:rFonts w:ascii="Times New Roman" w:cs="Times New Roman" w:eastAsia="Times New Roman" w:hAnsi="Times New Roman"/>
          <w:b/>
          <w:bCs/>
          <w:i/>
          <w:iCs/>
          <w:sz w:val="24"/>
          <w:szCs w:val="24"/>
        </w:rPr>
        <w:t xml:space="preserve">The Concession Strategy</w:t>
      </w:r>
    </w:p>
    <w:p>
      <w:pPr>
        <w:spacing w:after="0" w:line="480"/>
        <w:ind w:firstLine="720"/>
      </w:pPr>
      <w:r>
        <w:rPr>
          <w:rFonts w:ascii="Times New Roman" w:cs="Times New Roman" w:eastAsia="Times New Roman" w:hAnsi="Times New Roman"/>
          <w:sz w:val="24"/>
          <w:szCs w:val="24"/>
        </w:rPr>
        <w:t xml:space="preserve">Sophisticated defense attorneys in TTI cases no longer deny everything. They concede the easy points—yes, the program could have done better; yes, some practices were not ideal; yes, we understand why the plaintiff feels the way they do. The concession is not an admission. It is a pressure-relief valve designed to let juror frustration escape without producing a large verdict. If the defense appears reasonable, the jury may conclude that the institution learned its lesson and a modest verdict is sufficient.</w:t>
      </w:r>
    </w:p>
    <w:p>
      <w:pPr>
        <w:spacing w:after="0" w:line="480"/>
        <w:ind w:firstLine="720"/>
      </w:pPr>
      <w:r>
        <w:rPr>
          <w:rFonts w:ascii="Times New Roman" w:cs="Times New Roman" w:eastAsia="Times New Roman" w:hAnsi="Times New Roman"/>
          <w:sz w:val="24"/>
          <w:szCs w:val="24"/>
        </w:rPr>
        <w:t xml:space="preserve">The counter: do not accept the concession at face value. A concession that something "could have been better" is not an admission that the standard of care was breached. Press the concession in cross-examination: "You say the program could have done better. Are you conceding that the program breached the standard of care? Are you conceding that staff were inadequately trained? Are you conceding that your marketing representations were inaccurate?" Force the defense to either retract the concession—destroying their credibility—or expand it into a genuine admission.</w:t>
      </w:r>
    </w:p>
    <w:p>
      <w:pPr>
        <w:spacing w:after="0" w:before="240" w:line="480"/>
      </w:pPr>
      <w:r>
        <w:rPr>
          <w:rFonts w:ascii="Times New Roman" w:cs="Times New Roman" w:eastAsia="Times New Roman" w:hAnsi="Times New Roman"/>
          <w:b/>
          <w:bCs/>
          <w:i/>
          <w:iCs/>
          <w:sz w:val="24"/>
          <w:szCs w:val="24"/>
        </w:rPr>
        <w:t xml:space="preserve">Reframing to Individual Misfortune</w:t>
      </w:r>
    </w:p>
    <w:p>
      <w:pPr>
        <w:spacing w:after="0" w:line="480"/>
        <w:ind w:firstLine="720"/>
      </w:pPr>
      <w:r>
        <w:rPr>
          <w:rFonts w:ascii="Times New Roman" w:cs="Times New Roman" w:eastAsia="Times New Roman" w:hAnsi="Times New Roman"/>
          <w:sz w:val="24"/>
          <w:szCs w:val="24"/>
        </w:rPr>
        <w:t xml:space="preserve">The nuclear-verdict defense reframes every institutional abuse case as an individual-misfortune case. The institution is not a predatory system—it is an imperfect organization staffed by well-intentioned people. The plaintiff is not a survivor of systematic abuse—they are someone who had a difficult experience that was made worse by pre-existing vulnerabilities. The harm is not the product of institutional design—it is an unfortunate outcome that no one intended.</w:t>
      </w:r>
    </w:p>
    <w:p>
      <w:pPr>
        <w:spacing w:after="0" w:line="480"/>
        <w:ind w:firstLine="720"/>
      </w:pPr>
      <w:r>
        <w:rPr>
          <w:rFonts w:ascii="Times New Roman" w:cs="Times New Roman" w:eastAsia="Times New Roman" w:hAnsi="Times New Roman"/>
          <w:sz w:val="24"/>
          <w:szCs w:val="24"/>
        </w:rPr>
        <w:t xml:space="preserve">This reframing is the most dangerous defense strategy you will face, because it mirrors the narrative the institution used to control your client in the first place. The institution told your client that their problems were their own fault. The defense is telling the jury the same thing. Name this parallel explicitly. In closing: "They are doing to your client in this courtroom what the institution did to your client in that program. The message is the same: the problem is you. The problem was always you. And now they want twelve strangers to deliver that message one more time."</w:t>
      </w:r>
    </w:p>
    <w:p>
      <w:pPr>
        <w:spacing w:after="0" w:line="480"/>
        <w:ind w:firstLine="720"/>
      </w:pPr>
      <w:r>
        <w:rPr>
          <w:rFonts w:ascii="Times New Roman" w:cs="Times New Roman" w:eastAsia="Times New Roman" w:hAnsi="Times New Roman"/>
          <w:sz w:val="24"/>
          <w:szCs w:val="24"/>
        </w:rPr>
        <w:t xml:space="preserve">The structural counter is your coercive-control evidence. If you have built your case on the BITE framework, individual-misfortune reframing cannot survive contact with the evidence. A system of behavior control, information control, thought control, and emotional control is not an individual misfortune. It is institutional design. Your expert testimony, your documents, and your BITE-mapped discovery all point in the same direction: this was a system, not a series of unfortunate events.</w:t>
      </w:r>
    </w:p>
    <w:p>
      <w:pPr>
        <w:spacing w:after="0" w:before="240" w:line="480"/>
      </w:pPr>
      <w:r>
        <w:rPr>
          <w:rFonts w:ascii="Times New Roman" w:cs="Times New Roman" w:eastAsia="Times New Roman" w:hAnsi="Times New Roman"/>
          <w:b/>
          <w:bCs/>
          <w:i/>
          <w:iCs/>
          <w:sz w:val="24"/>
          <w:szCs w:val="24"/>
        </w:rPr>
        <w:t xml:space="preserve">Anger Defusion</w:t>
      </w:r>
    </w:p>
    <w:p>
      <w:pPr>
        <w:spacing w:after="0" w:line="480"/>
        <w:ind w:firstLine="720"/>
      </w:pPr>
      <w:r>
        <w:rPr>
          <w:rFonts w:ascii="Times New Roman" w:cs="Times New Roman" w:eastAsia="Times New Roman" w:hAnsi="Times New Roman"/>
          <w:sz w:val="24"/>
          <w:szCs w:val="24"/>
        </w:rPr>
        <w:t xml:space="preserve">Tyson's final strategy is defusing juror anger. He recognizes that large verdicts are driven by outrage, and he teaches defense attorneys to drain that outrage systematically—through empathy, concessions, and reframing. If the jury is not angry, the jury will not return a large verdict.</w:t>
      </w:r>
    </w:p>
    <w:p>
      <w:pPr>
        <w:spacing w:after="0" w:line="480"/>
        <w:ind w:firstLine="720"/>
      </w:pPr>
      <w:r>
        <w:rPr>
          <w:rFonts w:ascii="Times New Roman" w:cs="Times New Roman" w:eastAsia="Times New Roman" w:hAnsi="Times New Roman"/>
          <w:sz w:val="24"/>
          <w:szCs w:val="24"/>
        </w:rPr>
        <w:t xml:space="preserve">The counter is not to rely on anger as your damages engine. Anger is fragile—evidence is durable. Build your case on the evidence: the expert testimony, the documents, the BITE mapping, the economic analysis. If the defense succeeds in making the jury less angry, your case should still produce a just verdict because the evidence supports it. Anger is a bonus. Evidence is the foundation.</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Understanding the TTI Institutional Mind</w:t>
      </w:r>
    </w:p>
    <w:p>
      <w:pPr>
        <w:spacing w:after="0" w:line="480"/>
      </w:pPr>
    </w:p>
    <w:p>
      <w:pPr>
        <w:spacing w:after="0" w:line="480"/>
      </w:pPr>
      <w:r>
        <w:rPr>
          <w:rFonts w:ascii="Times New Roman" w:cs="Times New Roman" w:eastAsia="Times New Roman" w:hAnsi="Times New Roman"/>
          <w:sz w:val="24"/>
          <w:szCs w:val="24"/>
        </w:rPr>
        <w:t xml:space="preserve">Before cataloging the specific defenses you will face, it is worth understanding why TTI programs respond to abuse allegations the way they do. Defense strategy in these cases is not merely legal strategy. It is the institutional personality expressing itself through legal proceedings.</w:t>
      </w:r>
    </w:p>
    <w:p>
      <w:pPr>
        <w:spacing w:after="0" w:line="480"/>
        <w:ind w:firstLine="720"/>
      </w:pPr>
      <w:r>
        <w:rPr>
          <w:rFonts w:ascii="Times New Roman" w:cs="Times New Roman" w:eastAsia="Times New Roman" w:hAnsi="Times New Roman"/>
          <w:sz w:val="24"/>
          <w:szCs w:val="24"/>
        </w:rPr>
        <w:t xml:space="preserve">Robert Greene's framework for understanding human behavior applies with uncanny precision to institutional defendants. TTI programs construct a self-image—a narrative about what they are and what they do. The residential treatment center believes it is saving troubled children. The wilderness program believes it is building character through challenge. The therapeutic boarding school believes it is providing structure and guidance. These self-narratives are not cynical. The people who run these programs often believe them sincerely, which makes the institutional response to abuse allegations more defensive, more emotional, and more predictable than a purely rational cost-benefit analysis would suggest.</w:t>
      </w:r>
    </w:p>
    <w:p>
      <w:pPr>
        <w:spacing w:after="0" w:line="480"/>
        <w:ind w:firstLine="720"/>
      </w:pPr>
      <w:r>
        <w:rPr>
          <w:rFonts w:ascii="Times New Roman" w:cs="Times New Roman" w:eastAsia="Times New Roman" w:hAnsi="Times New Roman"/>
          <w:sz w:val="24"/>
          <w:szCs w:val="24"/>
        </w:rPr>
        <w:t xml:space="preserve">This is why TTI defendants almost never respond to abuse allegations by saying "we were wrong." Instead, they say the accuser is lying, the accuser is exaggerating, or the accuser was already damaged before enrollment. The institution's self-image cannot accommodate the possibility that it caused harm, so it constructs an alternative narrative in which the accuser is the problem. This is narcissistic defense at the organizational level, and it produces remarkably consistent behavior across cases.</w:t>
      </w:r>
    </w:p>
    <w:p>
      <w:pPr>
        <w:spacing w:after="0" w:line="480"/>
        <w:ind w:firstLine="720"/>
      </w:pPr>
      <w:r>
        <w:rPr>
          <w:rFonts w:ascii="Times New Roman" w:cs="Times New Roman" w:eastAsia="Times New Roman" w:hAnsi="Times New Roman"/>
          <w:sz w:val="24"/>
          <w:szCs w:val="24"/>
        </w:rPr>
        <w:t xml:space="preserve">The practical application is this: when you depose the corporate representative and they offer the standard institutional defenses—we had policies, we did training, this was an isolated incident—you are not hearing a carefully constructed legal strategy. You are hearing the institution's psychological defense mechanism. And like all defense mechanisms, it is repetitive, predictable, and vulnerable to exposure. The institution that responded to the first complaint by silencing the complainant will respond to the fifth complaint the same way. Find the pattern. Document the pattern. Present the pattern to the jury. The pattern is the proof.</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TTI Defense Arsenal</w:t>
      </w:r>
    </w:p>
    <w:p>
      <w:pPr>
        <w:spacing w:after="0" w:line="480"/>
      </w:pPr>
    </w:p>
    <w:p>
      <w:pPr>
        <w:spacing w:after="0" w:line="480"/>
      </w:pPr>
      <w:r>
        <w:rPr>
          <w:rFonts w:ascii="Times New Roman" w:cs="Times New Roman" w:eastAsia="Times New Roman" w:hAnsi="Times New Roman"/>
          <w:sz w:val="24"/>
          <w:szCs w:val="24"/>
        </w:rPr>
        <w:t xml:space="preserve">TTI cases generate a predictable set of defense arguments. Some are universal across institutional abuse litigation. Others are specific to programs that claim therapeutic justification for coercive practices. Each defense works on juries for identifiable reasons. Each can be defeated with the right preparation.</w:t>
      </w:r>
    </w:p>
    <w:p>
      <w:pPr>
        <w:spacing w:after="0" w:before="240" w:line="480"/>
      </w:pPr>
      <w:r>
        <w:rPr>
          <w:rFonts w:ascii="Times New Roman" w:cs="Times New Roman" w:eastAsia="Times New Roman" w:hAnsi="Times New Roman"/>
          <w:b/>
          <w:bCs/>
          <w:i/>
          <w:iCs/>
          <w:sz w:val="24"/>
          <w:szCs w:val="24"/>
        </w:rPr>
        <w:t xml:space="preserve">"The Difficult Child"</w:t>
      </w:r>
    </w:p>
    <w:p>
      <w:pPr>
        <w:spacing w:after="0" w:line="480"/>
        <w:ind w:firstLine="720"/>
      </w:pPr>
      <w:r>
        <w:rPr>
          <w:rFonts w:ascii="Times New Roman" w:cs="Times New Roman" w:eastAsia="Times New Roman" w:hAnsi="Times New Roman"/>
          <w:sz w:val="24"/>
          <w:szCs w:val="24"/>
        </w:rPr>
        <w:t xml:space="preserve">This is the defense's favorite argument in TTI cases. The plaintiff was a troubled teenager with behavioral problems, a difficult home life, and a history of poor choices. The parents sent them to the program because nothing else worked. The program was strict, but the plaintiff needed structure. The plaintiff's current problems are a continuation of pre-existing issues, not the result of the program's conduct.</w:t>
      </w:r>
    </w:p>
    <w:p>
      <w:pPr>
        <w:spacing w:after="0" w:line="480"/>
        <w:ind w:firstLine="720"/>
      </w:pPr>
      <w:r>
        <w:rPr>
          <w:rFonts w:ascii="Times New Roman" w:cs="Times New Roman" w:eastAsia="Times New Roman" w:hAnsi="Times New Roman"/>
          <w:sz w:val="24"/>
          <w:szCs w:val="24"/>
        </w:rPr>
        <w:t xml:space="preserve">The argument is effective because it contains a kernel of truth. Many TTI survivors did have genuine behavioral or emotional challenges before enrollment. Many parents did try other interventions first. The jury hears this narrative and thinks: "Well, this child was already struggling. How much additional harm could the program really have caused?"</w:t>
      </w:r>
    </w:p>
    <w:p>
      <w:pPr>
        <w:spacing w:after="0" w:line="480"/>
        <w:ind w:firstLine="720"/>
      </w:pPr>
      <w:r>
        <w:rPr>
          <w:rFonts w:ascii="Times New Roman" w:cs="Times New Roman" w:eastAsia="Times New Roman" w:hAnsi="Times New Roman"/>
          <w:sz w:val="24"/>
          <w:szCs w:val="24"/>
        </w:rPr>
        <w:t xml:space="preserve">The response is devastating in its simplicity. The program accepted this child. It told the parents it could help. It took their money—sometimes $5,000 to $15,000 per month. It assumed a duty of care. The child's pre-existing difficulties do not excuse the program's failure to meet that duty. They are the very reason the program was hired and the very reason the program's failure is actionable.</w:t>
      </w:r>
    </w:p>
    <w:p>
      <w:pPr>
        <w:spacing w:after="0" w:line="480"/>
        <w:ind w:firstLine="720"/>
      </w:pPr>
      <w:r>
        <w:rPr>
          <w:rFonts w:ascii="Times New Roman" w:cs="Times New Roman" w:eastAsia="Times New Roman" w:hAnsi="Times New Roman"/>
          <w:sz w:val="24"/>
          <w:szCs w:val="24"/>
        </w:rPr>
        <w:t xml:space="preserve">Frame it for the jury: "A hospital doesn't escape malpractice because the patient was already sick. The patient's illness is why they came to the hospital. The hospital's job was to help, not to harm. This program accepted a vulnerable child, promised to provide therapy, and instead operated a system of coercive control that made that child worse. The pre-existing condition is not a defense. It is an aggravating factor."</w:t>
      </w:r>
    </w:p>
    <w:p>
      <w:pPr>
        <w:spacing w:after="0" w:line="480"/>
        <w:ind w:firstLine="720"/>
      </w:pPr>
      <w:r>
        <w:rPr>
          <w:rFonts w:ascii="Times New Roman" w:cs="Times New Roman" w:eastAsia="Times New Roman" w:hAnsi="Times New Roman"/>
          <w:sz w:val="24"/>
          <w:szCs w:val="24"/>
        </w:rPr>
        <w:t xml:space="preserve">In discovery, demand the program's intake assessments, marketing materials, and communications with the family. These documents will show that the program knew about the child's vulnerabilities, marketed itself as equipped to address them, and charged the family premium rates for services it did not deliver. The pre-existing difficulty is not an excuse—it is the foundation of the fraud claim.</w:t>
      </w:r>
    </w:p>
    <w:p>
      <w:pPr>
        <w:spacing w:after="0" w:before="240" w:line="480"/>
      </w:pPr>
      <w:r>
        <w:rPr>
          <w:rFonts w:ascii="Times New Roman" w:cs="Times New Roman" w:eastAsia="Times New Roman" w:hAnsi="Times New Roman"/>
          <w:b/>
          <w:bCs/>
          <w:i/>
          <w:iCs/>
          <w:sz w:val="24"/>
          <w:szCs w:val="24"/>
        </w:rPr>
        <w:t xml:space="preserve">"Therapeutic Discretion"</w:t>
      </w:r>
    </w:p>
    <w:p>
      <w:pPr>
        <w:spacing w:after="0" w:line="480"/>
        <w:ind w:firstLine="720"/>
      </w:pPr>
      <w:r>
        <w:rPr>
          <w:rFonts w:ascii="Times New Roman" w:cs="Times New Roman" w:eastAsia="Times New Roman" w:hAnsi="Times New Roman"/>
          <w:sz w:val="24"/>
          <w:szCs w:val="24"/>
        </w:rPr>
        <w:t xml:space="preserve">The institution argues that its methods—confrontation therapy, level systems, restraint, isolation, wilderness exposure—were therapeutic interventions protected by clinical judgment. The defense retains an expert who testifies that these methods fall within a range of acceptable therapeutic practice for adolescents with the plaintiff's presenting issues.</w:t>
      </w:r>
    </w:p>
    <w:p>
      <w:pPr>
        <w:spacing w:after="0" w:line="480"/>
        <w:ind w:firstLine="720"/>
      </w:pPr>
      <w:r>
        <w:rPr>
          <w:rFonts w:ascii="Times New Roman" w:cs="Times New Roman" w:eastAsia="Times New Roman" w:hAnsi="Times New Roman"/>
          <w:sz w:val="24"/>
          <w:szCs w:val="24"/>
        </w:rPr>
        <w:t xml:space="preserve">The counter is straightforward: what was done to your client is not recognized therapy by any mainstream professional organization. The American Psychological Association, the American Academy of Child and Adolescent Psychiatry, the National Association of Social Workers—none endorse the confrontational and coercive practices that define TTI programs. Your industry standard expert testifies to this gap. The defense's "therapeutic discretion" is not clinical judgment. It is coercive control disguised as treatment.</w:t>
      </w:r>
    </w:p>
    <w:p>
      <w:pPr>
        <w:spacing w:after="0" w:line="480"/>
        <w:ind w:firstLine="720"/>
      </w:pPr>
      <w:r>
        <w:rPr>
          <w:rFonts w:ascii="Times New Roman" w:cs="Times New Roman" w:eastAsia="Times New Roman" w:hAnsi="Times New Roman"/>
          <w:sz w:val="24"/>
          <w:szCs w:val="24"/>
        </w:rPr>
        <w:t xml:space="preserve">The deeper counter targets the qualifications of the people exercising this supposed discretion. In most TTI programs, the staff members implementing "therapeutic" interventions—conducting group confrontation sessions, administering physical restraints, enforcing isolation—are not licensed therapists. They are minimally trained staff, often recent program graduates themselves, operating without clinical supervision. Therapeutic discretion requires a therapist. If the person making the clinical decision is not a clinician, the decision is not clinical.</w:t>
      </w:r>
    </w:p>
    <w:p>
      <w:pPr>
        <w:spacing w:after="0" w:line="480"/>
        <w:ind w:firstLine="720"/>
      </w:pPr>
      <w:r>
        <w:rPr>
          <w:rFonts w:ascii="Times New Roman" w:cs="Times New Roman" w:eastAsia="Times New Roman" w:hAnsi="Times New Roman"/>
          <w:sz w:val="24"/>
          <w:szCs w:val="24"/>
        </w:rPr>
        <w:t xml:space="preserve">In deposition, pin down the qualifications: "Who supervised this intervention? What were their clinical credentials? What training did they receive in this specific technique? Was the intervention documented in a treatment plan? Was it reviewed by a licensed clinician?" In most TTI cases, the answers are damning: no supervision, no credentials, no training documentation, no treatment plan, no clinical review. The defense's "therapeutic discretion" dissolves into unsupervised coercion exercised by untrained staff.</w:t>
      </w:r>
    </w:p>
    <w:p>
      <w:pPr>
        <w:spacing w:after="0" w:before="240" w:line="480"/>
      </w:pPr>
      <w:r>
        <w:rPr>
          <w:rFonts w:ascii="Times New Roman" w:cs="Times New Roman" w:eastAsia="Times New Roman" w:hAnsi="Times New Roman"/>
          <w:b/>
          <w:bCs/>
          <w:i/>
          <w:iCs/>
          <w:sz w:val="24"/>
          <w:szCs w:val="24"/>
        </w:rPr>
        <w:t xml:space="preserve">"Parental Consent"</w:t>
      </w:r>
    </w:p>
    <w:p>
      <w:pPr>
        <w:spacing w:after="0" w:line="480"/>
        <w:ind w:firstLine="720"/>
      </w:pPr>
      <w:r>
        <w:rPr>
          <w:rFonts w:ascii="Times New Roman" w:cs="Times New Roman" w:eastAsia="Times New Roman" w:hAnsi="Times New Roman"/>
          <w:sz w:val="24"/>
          <w:szCs w:val="24"/>
        </w:rPr>
        <w:t xml:space="preserve">The institution argues that the plaintiff's parents consented to the placement, the methods, and the program's approach. Consent negates the claim. The parents signed the enrollment agreement, paid the fees, and in many cases participated in the program's family component. They were not coerced. They chose this.</w:t>
      </w:r>
    </w:p>
    <w:p>
      <w:pPr>
        <w:spacing w:after="0" w:line="480"/>
        <w:ind w:firstLine="720"/>
      </w:pPr>
      <w:r>
        <w:rPr>
          <w:rFonts w:ascii="Times New Roman" w:cs="Times New Roman" w:eastAsia="Times New Roman" w:hAnsi="Times New Roman"/>
          <w:sz w:val="24"/>
          <w:szCs w:val="24"/>
        </w:rPr>
        <w:t xml:space="preserve">The response has two prongs. First, consent obtained through fraud is not consent. If the program marketed itself as providing licensed therapy, evidence-based treatment, and individualized clinical care, and instead delivered a coercive behavioral-control environment staffed by untrained personnel, then the parents consented to something that does not exist. They consented to the brochure. They did not consent to the reality.</w:t>
      </w:r>
    </w:p>
    <w:p>
      <w:pPr>
        <w:spacing w:after="0" w:line="480"/>
        <w:ind w:firstLine="720"/>
      </w:pPr>
      <w:r>
        <w:rPr>
          <w:rFonts w:ascii="Times New Roman" w:cs="Times New Roman" w:eastAsia="Times New Roman" w:hAnsi="Times New Roman"/>
          <w:sz w:val="24"/>
          <w:szCs w:val="24"/>
        </w:rPr>
        <w:t xml:space="preserve">Second, consent maintained through information control is not ongoing consent. Once the child was enrolled, the program controlled all information flowing to the parents. Calls were monitored or scripted. Letters were reviewed and censored. Parent weekends were carefully managed to present a curated version of the program. When the child said something was wrong, the program told the parents it was manipulation—a symptom of the very condition the program was treating. The parents did not maintain consent through informed judgment. They maintained it through a deliberately constructed information vacuum.</w:t>
      </w:r>
    </w:p>
    <w:p>
      <w:pPr>
        <w:spacing w:after="0" w:line="480"/>
        <w:ind w:firstLine="720"/>
      </w:pPr>
      <w:r>
        <w:rPr>
          <w:rFonts w:ascii="Times New Roman" w:cs="Times New Roman" w:eastAsia="Times New Roman" w:hAnsi="Times New Roman"/>
          <w:sz w:val="24"/>
          <w:szCs w:val="24"/>
        </w:rPr>
        <w:t xml:space="preserve">The third dimension of the consent defense targets the child's consent—or lack of it. The child did not consent at all. Many TTI placements begin with a transport service that removes the child from their bed in the middle of the night. The child is taken without warning, without explanation, and without the ability to refuse. Whatever the parents' consent covers, it does not cover involuntary confinement of a minor who was never consulted, never informed, and never given the opportunity to decline.</w:t>
      </w:r>
    </w:p>
    <w:p>
      <w:pPr>
        <w:spacing w:after="0" w:before="240" w:line="480"/>
      </w:pPr>
      <w:r>
        <w:rPr>
          <w:rFonts w:ascii="Times New Roman" w:cs="Times New Roman" w:eastAsia="Times New Roman" w:hAnsi="Times New Roman"/>
          <w:b/>
          <w:bCs/>
          <w:i/>
          <w:iCs/>
          <w:sz w:val="24"/>
          <w:szCs w:val="24"/>
        </w:rPr>
        <w:t xml:space="preserve">"No One Complained"</w:t>
      </w:r>
    </w:p>
    <w:p>
      <w:pPr>
        <w:spacing w:after="0" w:line="480"/>
        <w:ind w:firstLine="720"/>
      </w:pPr>
      <w:r>
        <w:rPr>
          <w:rFonts w:ascii="Times New Roman" w:cs="Times New Roman" w:eastAsia="Times New Roman" w:hAnsi="Times New Roman"/>
          <w:sz w:val="24"/>
          <w:szCs w:val="24"/>
        </w:rPr>
        <w:t xml:space="preserve">The defense argues that the absence of contemporaneous complaints proves the absence of abuse. If things were so bad, why didn't anyone say anything? The plaintiff never filed a complaint with the program, never reported abuse to a staff member, never told their parents during family visits, never contacted a regulatory agency.</w:t>
      </w:r>
    </w:p>
    <w:p>
      <w:pPr>
        <w:spacing w:after="0" w:line="480"/>
        <w:ind w:firstLine="720"/>
      </w:pPr>
      <w:r>
        <w:rPr>
          <w:rFonts w:ascii="Times New Roman" w:cs="Times New Roman" w:eastAsia="Times New Roman" w:hAnsi="Times New Roman"/>
          <w:sz w:val="24"/>
          <w:szCs w:val="24"/>
        </w:rPr>
        <w:t xml:space="preserve">This defense collapses under the weight of the coercive-system framework established in Chapters 2 and 4 of this book. The entire architecture of a coercive institution is designed to prevent complaints. Communication is monitored. Complaint pathways are controlled by the same people responsible for the conditions being complained about. Children who speak up are punished through level demotions, loss of privileges, extended stays, or peer confrontation sessions. The program trains participants that complaints are manipulation, that discomfort is therapeutic, and that resistance to the program is evidence of the pathology the program is treating.</w:t>
      </w:r>
    </w:p>
    <w:p>
      <w:pPr>
        <w:spacing w:after="0" w:line="480"/>
        <w:ind w:firstLine="720"/>
      </w:pPr>
      <w:r>
        <w:rPr>
          <w:rFonts w:ascii="Times New Roman" w:cs="Times New Roman" w:eastAsia="Times New Roman" w:hAnsi="Times New Roman"/>
          <w:sz w:val="24"/>
          <w:szCs w:val="24"/>
        </w:rPr>
        <w:t xml:space="preserve">In discovery, demand all records of complaint pathways: who could a participant complain to, through what mechanism, with what confidentiality protections, and what happened to complaints that were filed? In most TTI programs, you will discover that the complaint pathway was a circle leading back to the program itself. The silence is not proof that nothing happened. The silence is proof that the system worked exactly as designed.</w:t>
      </w:r>
    </w:p>
    <w:p>
      <w:pPr>
        <w:spacing w:after="0" w:line="480"/>
        <w:ind w:firstLine="720"/>
      </w:pPr>
      <w:r>
        <w:rPr>
          <w:rFonts w:ascii="Times New Roman" w:cs="Times New Roman" w:eastAsia="Times New Roman" w:hAnsi="Times New Roman"/>
          <w:sz w:val="24"/>
          <w:szCs w:val="24"/>
        </w:rPr>
        <w:t xml:space="preserve">Closing argument line: "They built a system where complaining was punished, and then they point to the silence and call it satisfaction. The silence is not proof that nothing happened. The silence is proof that the system worked."</w:t>
      </w:r>
    </w:p>
    <w:p>
      <w:pPr>
        <w:spacing w:after="0" w:before="240" w:line="480"/>
      </w:pPr>
      <w:r>
        <w:rPr>
          <w:rFonts w:ascii="Times New Roman" w:cs="Times New Roman" w:eastAsia="Times New Roman" w:hAnsi="Times New Roman"/>
          <w:b/>
          <w:bCs/>
          <w:i/>
          <w:iCs/>
          <w:sz w:val="24"/>
          <w:szCs w:val="24"/>
        </w:rPr>
        <w:t xml:space="preserve">"Pre-Existing Condition"</w:t>
      </w:r>
    </w:p>
    <w:p>
      <w:pPr>
        <w:spacing w:after="0" w:line="480"/>
        <w:ind w:firstLine="720"/>
      </w:pPr>
      <w:r>
        <w:rPr>
          <w:rFonts w:ascii="Times New Roman" w:cs="Times New Roman" w:eastAsia="Times New Roman" w:hAnsi="Times New Roman"/>
          <w:sz w:val="24"/>
          <w:szCs w:val="24"/>
        </w:rPr>
        <w:t xml:space="preserve">The defense argues that the plaintiff's current psychological symptoms are attributable to conditions that existed before enrollment. The plaintiff had depression before the program. The plaintiff had behavioral issues before the program. The plaintiff had family dysfunction before the program. Therefore, the program is not the cause of the plaintiff's current suffering.</w:t>
      </w:r>
    </w:p>
    <w:p>
      <w:pPr>
        <w:spacing w:after="0" w:line="480"/>
        <w:ind w:firstLine="720"/>
      </w:pPr>
      <w:r>
        <w:rPr>
          <w:rFonts w:ascii="Times New Roman" w:cs="Times New Roman" w:eastAsia="Times New Roman" w:hAnsi="Times New Roman"/>
          <w:sz w:val="24"/>
          <w:szCs w:val="24"/>
        </w:rPr>
        <w:t xml:space="preserve">The response requires precision from your trauma expert. The expert distinguishes between pre-existing vulnerabilities and the specific symptom constellation produced by institutional coercive control. A child who entered the program with depression and emerged with C-PTSD, dissociative symptoms, attachment disruption, and authority-related hypervigilance did not simply continue to be depressed. The program created new injuries layered on top of—and qualitatively different from—the pre-existing condition.</w:t>
      </w:r>
    </w:p>
    <w:p>
      <w:pPr>
        <w:spacing w:after="0" w:line="480"/>
        <w:ind w:firstLine="720"/>
      </w:pPr>
      <w:r>
        <w:rPr>
          <w:rFonts w:ascii="Times New Roman" w:cs="Times New Roman" w:eastAsia="Times New Roman" w:hAnsi="Times New Roman"/>
          <w:sz w:val="24"/>
          <w:szCs w:val="24"/>
        </w:rPr>
        <w:t xml:space="preserve">The concept of </w:t>
      </w:r>
      <w:r>
        <w:rPr>
          <w:rFonts w:ascii="Times New Roman" w:cs="Times New Roman" w:eastAsia="Times New Roman" w:hAnsi="Times New Roman"/>
          <w:i/>
          <w:iCs/>
          <w:sz w:val="24"/>
          <w:szCs w:val="24"/>
        </w:rPr>
        <w:t xml:space="preserve">developmental theft</w:t>
      </w:r>
      <w:r>
        <w:rPr>
          <w:rFonts w:ascii="Times New Roman" w:cs="Times New Roman" w:eastAsia="Times New Roman" w:hAnsi="Times New Roman"/>
          <w:sz w:val="24"/>
          <w:szCs w:val="24"/>
        </w:rPr>
        <w:t xml:space="preserve"> from Chapter 3 is critical here. The program did not inherit a broken child and fail to fix them. The program intercepted a developing child and disrupted the developmental processes that were supposed to be occurring during adolescence. Identity formation, autonomy development, relational capacity, cognitive flexibility—all were interrupted by the coercive environment. The plaintiff's pre-existing difficulties made them more vulnerable to this disruption, not less. A child who was already struggling needed </w:t>
      </w:r>
      <w:r>
        <w:rPr>
          <w:rFonts w:ascii="Times New Roman" w:cs="Times New Roman" w:eastAsia="Times New Roman" w:hAnsi="Times New Roman"/>
          <w:i/>
          <w:iCs/>
          <w:sz w:val="24"/>
          <w:szCs w:val="24"/>
        </w:rPr>
        <w:t xml:space="preserve">more</w:t>
      </w:r>
      <w:r>
        <w:rPr>
          <w:rFonts w:ascii="Times New Roman" w:cs="Times New Roman" w:eastAsia="Times New Roman" w:hAnsi="Times New Roman"/>
          <w:sz w:val="24"/>
          <w:szCs w:val="24"/>
        </w:rPr>
        <w:t xml:space="preserve"> protection during development, not systematic exposure to coercive control.</w:t>
      </w:r>
    </w:p>
    <w:p>
      <w:pPr>
        <w:spacing w:after="0" w:line="480"/>
        <w:ind w:firstLine="720"/>
      </w:pPr>
      <w:r>
        <w:rPr>
          <w:rFonts w:ascii="Times New Roman" w:cs="Times New Roman" w:eastAsia="Times New Roman" w:hAnsi="Times New Roman"/>
          <w:sz w:val="24"/>
          <w:szCs w:val="24"/>
        </w:rPr>
        <w:t xml:space="preserve">Frame it for the jury: "A hospital does not escape malpractice because the patient was already sick. This program accepted a vulnerable child, promised to help, and made them worse. Pre-existing difficulty is not a defense. It is an aggravating factor. They targeted vulnerability and called it enrollment."</w:t>
      </w:r>
    </w:p>
    <w:p>
      <w:pPr>
        <w:spacing w:after="0" w:line="480"/>
        <w:ind w:firstLine="720"/>
      </w:pPr>
      <w:r>
        <w:rPr>
          <w:rFonts w:ascii="Times New Roman" w:cs="Times New Roman" w:eastAsia="Times New Roman" w:hAnsi="Times New Roman"/>
          <w:sz w:val="24"/>
          <w:szCs w:val="24"/>
        </w:rPr>
        <w:t xml:space="preserve">Your economist should present a marginal-impact analysis showing the specific additional damages attributable to the program's conduct, distinguishing the developmental trajectory the child was on before enrollment from the trajectory that resulted from institutional coercive control.</w:t>
      </w:r>
    </w:p>
    <w:p>
      <w:pPr>
        <w:spacing w:after="0" w:before="240" w:line="480"/>
      </w:pPr>
      <w:r>
        <w:rPr>
          <w:rFonts w:ascii="Times New Roman" w:cs="Times New Roman" w:eastAsia="Times New Roman" w:hAnsi="Times New Roman"/>
          <w:b/>
          <w:bCs/>
          <w:i/>
          <w:iCs/>
          <w:sz w:val="24"/>
          <w:szCs w:val="24"/>
        </w:rPr>
        <w:t xml:space="preserve">"The Plaintiff Isn't Trying to Get Better"</w:t>
      </w:r>
    </w:p>
    <w:p>
      <w:pPr>
        <w:spacing w:after="0" w:line="480"/>
        <w:ind w:firstLine="720"/>
      </w:pPr>
      <w:r>
        <w:rPr>
          <w:rFonts w:ascii="Times New Roman" w:cs="Times New Roman" w:eastAsia="Times New Roman" w:hAnsi="Times New Roman"/>
          <w:sz w:val="24"/>
          <w:szCs w:val="24"/>
        </w:rPr>
        <w:t xml:space="preserve">The defense argues that the plaintiff has not pursued reasonable treatment for their injuries, suggesting that the plaintiff's current condition is the result of their own failure to mitigate damages rather than the program's conduct. They point to gaps in therapy, refusal of medication, failure to maintain employment, or continued substance use.</w:t>
      </w:r>
    </w:p>
    <w:p>
      <w:pPr>
        <w:spacing w:after="0" w:line="480"/>
        <w:ind w:firstLine="720"/>
      </w:pPr>
      <w:r>
        <w:rPr>
          <w:rFonts w:ascii="Times New Roman" w:cs="Times New Roman" w:eastAsia="Times New Roman" w:hAnsi="Times New Roman"/>
          <w:sz w:val="24"/>
          <w:szCs w:val="24"/>
        </w:rPr>
        <w:t xml:space="preserve">This defense is cruel, and it needs to be named as such—carefully. The injuries inflicted by TTI programs include a fundamental disruption of the survivor's relationship with authority, institutions, and the concept of treatment itself. A person who was harmed by a program that called itself therapeutic does not trust therapy. A person who was forcibly medicated does not voluntarily take medication. A person whose autonomy was systematically destroyed does not magically develop the executive function to maintain consistent treatment engagement.</w:t>
      </w:r>
    </w:p>
    <w:p>
      <w:pPr>
        <w:spacing w:after="0" w:line="480"/>
        <w:ind w:firstLine="720"/>
      </w:pPr>
      <w:r>
        <w:rPr>
          <w:rFonts w:ascii="Times New Roman" w:cs="Times New Roman" w:eastAsia="Times New Roman" w:hAnsi="Times New Roman"/>
          <w:sz w:val="24"/>
          <w:szCs w:val="24"/>
        </w:rPr>
        <w:t xml:space="preserve">Your trauma expert testifies to this dynamic: treatment avoidance is not a failure of character. It is a </w:t>
      </w:r>
      <w:r>
        <w:rPr>
          <w:rFonts w:ascii="Times New Roman" w:cs="Times New Roman" w:eastAsia="Times New Roman" w:hAnsi="Times New Roman"/>
          <w:i/>
          <w:iCs/>
          <w:sz w:val="24"/>
          <w:szCs w:val="24"/>
        </w:rPr>
        <w:t xml:space="preserve">symptom</w:t>
      </w:r>
      <w:r>
        <w:rPr>
          <w:rFonts w:ascii="Times New Roman" w:cs="Times New Roman" w:eastAsia="Times New Roman" w:hAnsi="Times New Roman"/>
          <w:sz w:val="24"/>
          <w:szCs w:val="24"/>
        </w:rPr>
        <w:t xml:space="preserve"> of the injury. The program taught your client that treatment is punishment, that compliance is surrender, and that the people in authority will hurt you. The client's difficulty engaging in treatment is evidence of the depth of the injury, not evidence that the injury does not exist.</w:t>
      </w:r>
    </w:p>
    <w:p>
      <w:pPr>
        <w:spacing w:after="0" w:line="480"/>
        <w:ind w:firstLine="720"/>
      </w:pPr>
      <w:r>
        <w:rPr>
          <w:rFonts w:ascii="Times New Roman" w:cs="Times New Roman" w:eastAsia="Times New Roman" w:hAnsi="Times New Roman"/>
          <w:sz w:val="24"/>
          <w:szCs w:val="24"/>
        </w:rPr>
        <w:t xml:space="preserve">In closing: "They broke [client's] ability to trust a therapist, and now they blame [client] for not going to therapy. That is not a defense. That is the injury."</w:t>
      </w:r>
    </w:p>
    <w:p>
      <w:pPr>
        <w:spacing w:after="0" w:before="240" w:line="480"/>
      </w:pPr>
      <w:r>
        <w:rPr>
          <w:rFonts w:ascii="Times New Roman" w:cs="Times New Roman" w:eastAsia="Times New Roman" w:hAnsi="Times New Roman"/>
          <w:b/>
          <w:bCs/>
          <w:i/>
          <w:iCs/>
          <w:sz w:val="24"/>
          <w:szCs w:val="24"/>
        </w:rPr>
        <w:t xml:space="preserve">"The Number Is Too High"</w:t>
      </w:r>
    </w:p>
    <w:p>
      <w:pPr>
        <w:spacing w:after="0" w:line="480"/>
        <w:ind w:firstLine="720"/>
      </w:pPr>
      <w:r>
        <w:rPr>
          <w:rFonts w:ascii="Times New Roman" w:cs="Times New Roman" w:eastAsia="Times New Roman" w:hAnsi="Times New Roman"/>
          <w:sz w:val="24"/>
          <w:szCs w:val="24"/>
        </w:rPr>
        <w:t xml:space="preserve">This is the culmination of the defense's damage-suppression strategy. It combines the empathy gambit ("we care about the plaintiff"), the concession strategy ("something bad may have happened"), and the low anchor ("but a reasonable number is X") into a single closing argument designed to make the jury feel that justice can be done with a modest verdict.</w:t>
      </w:r>
    </w:p>
    <w:p>
      <w:pPr>
        <w:spacing w:after="0" w:line="480"/>
        <w:ind w:firstLine="720"/>
      </w:pPr>
      <w:r>
        <w:rPr>
          <w:rFonts w:ascii="Times New Roman" w:cs="Times New Roman" w:eastAsia="Times New Roman" w:hAnsi="Times New Roman"/>
          <w:sz w:val="24"/>
          <w:szCs w:val="24"/>
        </w:rPr>
        <w:t xml:space="preserve">The counter begins in voir dire. During jury selection, establish the principle that the size of the verdict is measured by the size of the harm, not the comfort level of the defendant. Ask potential jurors: "If the evidence shows that the harm was worth ten million dollars, could you write that number on a verdict form? Even if the defense tells you it's too much?" Identify and remove jurors who cannot commit to following the evidence.</w:t>
      </w:r>
    </w:p>
    <w:p>
      <w:pPr>
        <w:spacing w:after="0" w:line="480"/>
        <w:ind w:firstLine="720"/>
      </w:pPr>
      <w:r>
        <w:rPr>
          <w:rFonts w:ascii="Times New Roman" w:cs="Times New Roman" w:eastAsia="Times New Roman" w:hAnsi="Times New Roman"/>
          <w:sz w:val="24"/>
          <w:szCs w:val="24"/>
        </w:rPr>
        <w:t xml:space="preserve">At trial, build your damages case on the expert foundation described in Chapter 13. The life care plan total. The economist's lost-earnings calculation. The developmental-theft framework. The per-diem analysis for non-economic damages. Each component is independently verifiable. Each component is defended by an expert who can withstand cross-examination.</w:t>
      </w:r>
    </w:p>
    <w:p>
      <w:pPr>
        <w:spacing w:after="0" w:line="480"/>
        <w:ind w:firstLine="720"/>
      </w:pPr>
      <w:r>
        <w:rPr>
          <w:rFonts w:ascii="Times New Roman" w:cs="Times New Roman" w:eastAsia="Times New Roman" w:hAnsi="Times New Roman"/>
          <w:sz w:val="24"/>
          <w:szCs w:val="24"/>
        </w:rPr>
        <w:t xml:space="preserve">In closing, deploy the per-diem framework against the low anchor: "The defense suggested [their number]. Let's test that number. [Client] was in the program for [number] days. The life care plan projects [number] years of therapy. The economist calculates [dollar amount] in lost earning capacity. Before we reach a single dollar for pain and suffering, the math already exceeds their number. Their number isn't conservative. It's a lie told in reasonable clothing."</w:t>
      </w:r>
    </w:p>
    <w:p>
      <w:pPr>
        <w:spacing w:after="0" w:line="480"/>
        <w:ind w:firstLine="720"/>
      </w:pPr>
      <w:r>
        <w:rPr>
          <w:rFonts w:ascii="Times New Roman" w:cs="Times New Roman" w:eastAsia="Times New Roman" w:hAnsi="Times New Roman"/>
          <w:sz w:val="24"/>
          <w:szCs w:val="24"/>
        </w:rPr>
        <w:t xml:space="preserve">Then reframe the size question: "The defense says the number is too high. But the question is not whether the number is high. The question is whether the number is accurate. If the harm was large—and every expert who testified in this case told you it was—then the number must be large. A small number for a large harm is not justice. It is a discount. And your verdict is not a coupon."</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Building Your Defense-Response Bank</w:t>
      </w:r>
    </w:p>
    <w:p>
      <w:pPr>
        <w:spacing w:after="0" w:line="480"/>
      </w:pPr>
    </w:p>
    <w:p>
      <w:pPr>
        <w:spacing w:after="0" w:line="480"/>
      </w:pPr>
      <w:r>
        <w:rPr>
          <w:rFonts w:ascii="Times New Roman" w:cs="Times New Roman" w:eastAsia="Times New Roman" w:hAnsi="Times New Roman"/>
          <w:sz w:val="24"/>
          <w:szCs w:val="24"/>
        </w:rPr>
        <w:t xml:space="preserve">Every TTI case benefits from a defense-response bank—a document that lists every argument the defense is likely to make and your prepared response to each. Build this document early. Update it continuously. Use it as your roadmap for discovery, deposition preparation, and trial strategy.</w:t>
      </w:r>
    </w:p>
    <w:p>
      <w:pPr>
        <w:spacing w:after="0" w:line="480"/>
        <w:ind w:firstLine="720"/>
      </w:pPr>
      <w:r>
        <w:rPr>
          <w:rFonts w:ascii="Times New Roman" w:cs="Times New Roman" w:eastAsia="Times New Roman" w:hAnsi="Times New Roman"/>
          <w:sz w:val="24"/>
          <w:szCs w:val="24"/>
        </w:rPr>
        <w:t xml:space="preserve">The defense-response bank has six columns. First, </w:t>
      </w:r>
      <w:r>
        <w:rPr>
          <w:rFonts w:ascii="Times New Roman" w:cs="Times New Roman" w:eastAsia="Times New Roman" w:hAnsi="Times New Roman"/>
          <w:i/>
          <w:iCs/>
          <w:sz w:val="24"/>
          <w:szCs w:val="24"/>
        </w:rPr>
        <w:t xml:space="preserve">Anticipated Defense</w:t>
      </w:r>
      <w:r>
        <w:rPr>
          <w:rFonts w:ascii="Times New Roman" w:cs="Times New Roman" w:eastAsia="Times New Roman" w:hAnsi="Times New Roman"/>
          <w:sz w:val="24"/>
          <w:szCs w:val="24"/>
        </w:rPr>
        <w:t xml:space="preserve">: state the argument in the defense's own likely language. Second, </w:t>
      </w:r>
      <w:r>
        <w:rPr>
          <w:rFonts w:ascii="Times New Roman" w:cs="Times New Roman" w:eastAsia="Times New Roman" w:hAnsi="Times New Roman"/>
          <w:i/>
          <w:iCs/>
          <w:sz w:val="24"/>
          <w:szCs w:val="24"/>
        </w:rPr>
        <w:t xml:space="preserve">Why It Works</w:t>
      </w:r>
      <w:r>
        <w:rPr>
          <w:rFonts w:ascii="Times New Roman" w:cs="Times New Roman" w:eastAsia="Times New Roman" w:hAnsi="Times New Roman"/>
          <w:sz w:val="24"/>
          <w:szCs w:val="24"/>
        </w:rPr>
        <w:t xml:space="preserve">: honestly assess why this argument might persuade the jury—understanding the appeal is essential to defeating it. Third, </w:t>
      </w:r>
      <w:r>
        <w:rPr>
          <w:rFonts w:ascii="Times New Roman" w:cs="Times New Roman" w:eastAsia="Times New Roman" w:hAnsi="Times New Roman"/>
          <w:i/>
          <w:iCs/>
          <w:sz w:val="24"/>
          <w:szCs w:val="24"/>
        </w:rPr>
        <w:t xml:space="preserve">Your Response</w:t>
      </w:r>
      <w:r>
        <w:rPr>
          <w:rFonts w:ascii="Times New Roman" w:cs="Times New Roman" w:eastAsia="Times New Roman" w:hAnsi="Times New Roman"/>
          <w:sz w:val="24"/>
          <w:szCs w:val="24"/>
        </w:rPr>
        <w:t xml:space="preserve">: the factual and legal counter-argument, stated concisely. Fourth, </w:t>
      </w:r>
      <w:r>
        <w:rPr>
          <w:rFonts w:ascii="Times New Roman" w:cs="Times New Roman" w:eastAsia="Times New Roman" w:hAnsi="Times New Roman"/>
          <w:i/>
          <w:iCs/>
          <w:sz w:val="24"/>
          <w:szCs w:val="24"/>
        </w:rPr>
        <w:t xml:space="preserve">Supporting Evidence</w:t>
      </w:r>
      <w:r>
        <w:rPr>
          <w:rFonts w:ascii="Times New Roman" w:cs="Times New Roman" w:eastAsia="Times New Roman" w:hAnsi="Times New Roman"/>
          <w:sz w:val="24"/>
          <w:szCs w:val="24"/>
        </w:rPr>
        <w:t xml:space="preserve">: specific exhibits, deposition excerpts, and expert opinions that support your response. Fifth, </w:t>
      </w:r>
      <w:r>
        <w:rPr>
          <w:rFonts w:ascii="Times New Roman" w:cs="Times New Roman" w:eastAsia="Times New Roman" w:hAnsi="Times New Roman"/>
          <w:i/>
          <w:iCs/>
          <w:sz w:val="24"/>
          <w:szCs w:val="24"/>
        </w:rPr>
        <w:t xml:space="preserve">Where to Deploy</w:t>
      </w:r>
      <w:r>
        <w:rPr>
          <w:rFonts w:ascii="Times New Roman" w:cs="Times New Roman" w:eastAsia="Times New Roman" w:hAnsi="Times New Roman"/>
          <w:sz w:val="24"/>
          <w:szCs w:val="24"/>
        </w:rPr>
        <w:t xml:space="preserve">: when in the trial you will address this defense—opening, cross-examination of a specific witness, your case-in-chief, or closing. Sixth, </w:t>
      </w:r>
      <w:r>
        <w:rPr>
          <w:rFonts w:ascii="Times New Roman" w:cs="Times New Roman" w:eastAsia="Times New Roman" w:hAnsi="Times New Roman"/>
          <w:i/>
          <w:iCs/>
          <w:sz w:val="24"/>
          <w:szCs w:val="24"/>
        </w:rPr>
        <w:t xml:space="preserve">Jury Instruction</w:t>
      </w:r>
      <w:r>
        <w:rPr>
          <w:rFonts w:ascii="Times New Roman" w:cs="Times New Roman" w:eastAsia="Times New Roman" w:hAnsi="Times New Roman"/>
          <w:sz w:val="24"/>
          <w:szCs w:val="24"/>
        </w:rPr>
        <w:t xml:space="preserve">: the specific jury instruction that supports your response, if applicable.</w:t>
      </w:r>
    </w:p>
    <w:p>
      <w:pPr>
        <w:spacing w:after="0" w:line="480"/>
        <w:ind w:firstLine="720"/>
      </w:pPr>
      <w:r>
        <w:rPr>
          <w:rFonts w:ascii="Times New Roman" w:cs="Times New Roman" w:eastAsia="Times New Roman" w:hAnsi="Times New Roman"/>
          <w:sz w:val="24"/>
          <w:szCs w:val="24"/>
        </w:rPr>
        <w:t xml:space="preserve">The defense in TTI cases is remarkably predictable. The same arguments appear across programs, dressed up in different terminology but rooted in the same impulse: the institution is not the problem; the child is. Build the bank at the beginning of the case. By trial, you should have a prepared response to every defense argument, supported by evidence you have already obtained.</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Nuclear Verdicts Counter-Strategy Checklist</w:t>
      </w:r>
    </w:p>
    <w:p>
      <w:pPr>
        <w:spacing w:after="0" w:line="480"/>
      </w:pPr>
    </w:p>
    <w:p>
      <w:pPr>
        <w:spacing w:after="0" w:line="480"/>
      </w:pPr>
      <w:r>
        <w:rPr>
          <w:rFonts w:ascii="Times New Roman" w:cs="Times New Roman" w:eastAsia="Times New Roman" w:hAnsi="Times New Roman"/>
          <w:sz w:val="24"/>
          <w:szCs w:val="24"/>
        </w:rPr>
        <w:t xml:space="preserve">Use this checklist to prepare for each Tyson-method defense tactic before trial.</w:t>
      </w:r>
    </w:p>
    <w:p>
      <w:pPr>
        <w:spacing w:after="0" w:line="480"/>
        <w:ind w:firstLine="720"/>
      </w:pPr>
      <w:r>
        <w:rPr>
          <w:rFonts w:ascii="Times New Roman" w:cs="Times New Roman" w:eastAsia="Times New Roman" w:hAnsi="Times New Roman"/>
          <w:i/>
          <w:iCs/>
          <w:sz w:val="24"/>
          <w:szCs w:val="24"/>
        </w:rPr>
        <w:t xml:space="preserve">Empathy gambit detected?</w:t>
      </w:r>
      <w:r>
        <w:rPr>
          <w:rFonts w:ascii="Times New Roman" w:cs="Times New Roman" w:eastAsia="Times New Roman" w:hAnsi="Times New Roman"/>
          <w:sz w:val="24"/>
          <w:szCs w:val="24"/>
        </w:rPr>
        <w:t xml:space="preserve"> Draft opening statement language that preempts the defense's empathy by naming it as strategy. Prepare a line for rebuttal closing: "An apology that precedes a denial is not an apology. It is a strategy." In the corporate representative deposition, ask what changes the institution actually made in response to the events alleged. Document the gap between expressed empathy and institutional action.</w:t>
      </w:r>
    </w:p>
    <w:p>
      <w:pPr>
        <w:spacing w:after="0" w:line="480"/>
        <w:ind w:firstLine="720"/>
      </w:pPr>
      <w:r>
        <w:rPr>
          <w:rFonts w:ascii="Times New Roman" w:cs="Times New Roman" w:eastAsia="Times New Roman" w:hAnsi="Times New Roman"/>
          <w:i/>
          <w:iCs/>
          <w:sz w:val="24"/>
          <w:szCs w:val="24"/>
        </w:rPr>
        <w:t xml:space="preserve">Low anchor expected?</w:t>
      </w:r>
      <w:r>
        <w:rPr>
          <w:rFonts w:ascii="Times New Roman" w:cs="Times New Roman" w:eastAsia="Times New Roman" w:hAnsi="Times New Roman"/>
          <w:sz w:val="24"/>
          <w:szCs w:val="24"/>
        </w:rPr>
        <w:t xml:space="preserve"> Prepare your own damages anchor first. Ground it in expert testimony: life care plan total, economist's lost-earnings calculation, therapy cost over remaining life expectancy. When the defense offers their number in closing, be ready with the math that disproves it. Never let their number be the only number the jury hears.</w:t>
      </w:r>
    </w:p>
    <w:p>
      <w:pPr>
        <w:spacing w:after="0" w:line="480"/>
        <w:ind w:firstLine="720"/>
      </w:pPr>
      <w:r>
        <w:rPr>
          <w:rFonts w:ascii="Times New Roman" w:cs="Times New Roman" w:eastAsia="Times New Roman" w:hAnsi="Times New Roman"/>
          <w:i/>
          <w:iCs/>
          <w:sz w:val="24"/>
          <w:szCs w:val="24"/>
        </w:rPr>
        <w:t xml:space="preserve">Strategic concession anticipated?</w:t>
      </w:r>
      <w:r>
        <w:rPr>
          <w:rFonts w:ascii="Times New Roman" w:cs="Times New Roman" w:eastAsia="Times New Roman" w:hAnsi="Times New Roman"/>
          <w:sz w:val="24"/>
          <w:szCs w:val="24"/>
        </w:rPr>
        <w:t xml:space="preserve"> Prepare cross-examination that forces the defense to define its concession. "You say the institution could have done better. Are you conceding a breach of the standard of care? Are you conceding that staff were inadequately trained? Are you conceding that the marketing representations were inaccurate?" Force them to retract or expand.</w:t>
      </w:r>
    </w:p>
    <w:p>
      <w:pPr>
        <w:spacing w:after="0" w:line="480"/>
        <w:ind w:firstLine="720"/>
      </w:pPr>
      <w:r>
        <w:rPr>
          <w:rFonts w:ascii="Times New Roman" w:cs="Times New Roman" w:eastAsia="Times New Roman" w:hAnsi="Times New Roman"/>
          <w:i/>
          <w:iCs/>
          <w:sz w:val="24"/>
          <w:szCs w:val="24"/>
        </w:rPr>
        <w:t xml:space="preserve">Reframing to individual misfortune?</w:t>
      </w:r>
      <w:r>
        <w:rPr>
          <w:rFonts w:ascii="Times New Roman" w:cs="Times New Roman" w:eastAsia="Times New Roman" w:hAnsi="Times New Roman"/>
          <w:sz w:val="24"/>
          <w:szCs w:val="24"/>
        </w:rPr>
        <w:t xml:space="preserve"> Prepare a thematic response: "They are doing to your client in this courtroom what the institution did to your client in that program. The message is the same: the problem is you." Your BITE-mapped evidence defeats the reframing by proving systematic institutional design.</w:t>
      </w:r>
    </w:p>
    <w:p>
      <w:pPr>
        <w:spacing w:after="0" w:line="480"/>
        <w:ind w:firstLine="720"/>
      </w:pPr>
      <w:r>
        <w:rPr>
          <w:rFonts w:ascii="Times New Roman" w:cs="Times New Roman" w:eastAsia="Times New Roman" w:hAnsi="Times New Roman"/>
          <w:i/>
          <w:iCs/>
          <w:sz w:val="24"/>
          <w:szCs w:val="24"/>
        </w:rPr>
        <w:t xml:space="preserve">Anger defusion attempted?</w:t>
      </w:r>
      <w:r>
        <w:rPr>
          <w:rFonts w:ascii="Times New Roman" w:cs="Times New Roman" w:eastAsia="Times New Roman" w:hAnsi="Times New Roman"/>
          <w:sz w:val="24"/>
          <w:szCs w:val="24"/>
        </w:rPr>
        <w:t xml:space="preserve"> Do not rely on juror anger as your damages engine. Build your case on evidence, not emotion. Anger is fragile—evidence is durable. If the defense succeeds in making the jury less angry, your verdict should still be just because the evidence supports it.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Deposition Questions Targeting Defense Strategies</w:t>
      </w:r>
    </w:p>
    <w:p>
      <w:pPr>
        <w:spacing w:after="0" w:line="480"/>
      </w:pPr>
    </w:p>
    <w:p>
      <w:pPr>
        <w:spacing w:after="0" w:line="480"/>
      </w:pPr>
      <w:r>
        <w:rPr>
          <w:rFonts w:ascii="Times New Roman" w:cs="Times New Roman" w:eastAsia="Times New Roman" w:hAnsi="Times New Roman"/>
          <w:sz w:val="24"/>
          <w:szCs w:val="24"/>
        </w:rPr>
        <w:t xml:space="preserve">These questions are designed for the corporate representative deposition when you anticipate Tyson-method defense tactics.</w:t>
      </w:r>
    </w:p>
    <w:p>
      <w:pPr>
        <w:spacing w:after="0" w:line="480"/>
        <w:ind w:firstLine="720"/>
      </w:pPr>
      <w:r>
        <w:rPr>
          <w:rFonts w:ascii="Times New Roman" w:cs="Times New Roman" w:eastAsia="Times New Roman" w:hAnsi="Times New Roman"/>
          <w:sz w:val="24"/>
          <w:szCs w:val="24"/>
        </w:rPr>
        <w:t xml:space="preserve">"Has the institution retained any consultant, advisor, or jury research firm to develop a trial strategy for this case? If so, identify the consultant and the scope of the engagement."</w:t>
      </w:r>
    </w:p>
    <w:p>
      <w:pPr>
        <w:spacing w:after="0" w:line="480"/>
        <w:ind w:firstLine="720"/>
      </w:pPr>
      <w:r>
        <w:rPr>
          <w:rFonts w:ascii="Times New Roman" w:cs="Times New Roman" w:eastAsia="Times New Roman" w:hAnsi="Times New Roman"/>
          <w:sz w:val="24"/>
          <w:szCs w:val="24"/>
        </w:rPr>
        <w:t xml:space="preserve">"Has any representative of the institution expressed remorse, apology, or regret for the Plaintiff's experience? If so, identify the person, the statement, and the date."</w:t>
      </w:r>
    </w:p>
    <w:p>
      <w:pPr>
        <w:spacing w:after="0" w:line="480"/>
        <w:ind w:firstLine="720"/>
      </w:pPr>
      <w:r>
        <w:rPr>
          <w:rFonts w:ascii="Times New Roman" w:cs="Times New Roman" w:eastAsia="Times New Roman" w:hAnsi="Times New Roman"/>
          <w:sz w:val="24"/>
          <w:szCs w:val="24"/>
        </w:rPr>
        <w:t xml:space="preserve">"Has the institution made any changes to its policies or practices as a result of the events alleged in this lawsuit? If so, describe the changes and the reasons for them."</w:t>
      </w:r>
    </w:p>
    <w:p>
      <w:pPr>
        <w:spacing w:after="0" w:line="480"/>
        <w:ind w:firstLine="720"/>
      </w:pPr>
      <w:r>
        <w:rPr>
          <w:rFonts w:ascii="Times New Roman" w:cs="Times New Roman" w:eastAsia="Times New Roman" w:hAnsi="Times New Roman"/>
          <w:sz w:val="24"/>
          <w:szCs w:val="24"/>
        </w:rPr>
        <w:t xml:space="preserve">"Does the institution contend that the Plaintiff's damages are attributable to pre-existing conditions? If so, identify the specific conditions and the basis for the institution's knowledge of them."</w:t>
      </w:r>
    </w:p>
    <w:p>
      <w:pPr>
        <w:spacing w:after="0" w:line="480"/>
        <w:ind w:firstLine="720"/>
      </w:pPr>
      <w:r>
        <w:rPr>
          <w:rFonts w:ascii="Times New Roman" w:cs="Times New Roman" w:eastAsia="Times New Roman" w:hAnsi="Times New Roman"/>
          <w:sz w:val="24"/>
          <w:szCs w:val="24"/>
        </w:rPr>
        <w:t xml:space="preserve">"Does the institution contend that its practices during the Relevant Period met the applicable standard of care? If so, identify the standard and the basis for the institution's belief that it was met."</w:t>
      </w:r>
    </w:p>
    <w:p>
      <w:pPr>
        <w:spacing w:after="0" w:line="480"/>
        <w:ind w:firstLine="720"/>
      </w:pPr>
      <w:r>
        <w:rPr>
          <w:rFonts w:ascii="Times New Roman" w:cs="Times New Roman" w:eastAsia="Times New Roman" w:hAnsi="Times New Roman"/>
          <w:sz w:val="24"/>
          <w:szCs w:val="24"/>
        </w:rPr>
        <w:t xml:space="preserve">"Has the institution ever received a complaint, grievance, or report of abuse from any participant, family member, staff member, or regulatory body? Describe each complaint and the institution's response."</w:t>
      </w:r>
    </w:p>
    <w:p>
      <w:pPr>
        <w:spacing w:after="0" w:line="480"/>
        <w:ind w:firstLine="720"/>
      </w:pPr>
      <w:r>
        <w:rPr>
          <w:rFonts w:ascii="Times New Roman" w:cs="Times New Roman" w:eastAsia="Times New Roman" w:hAnsi="Times New Roman"/>
          <w:sz w:val="24"/>
          <w:szCs w:val="24"/>
        </w:rPr>
        <w:t xml:space="preserve">"Has any former staff member of the institution made allegations of mistreatment, unsafe conditions, or policy violations? If so, identify the staff member and the substance of the allegations."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Universal Defense Responses: Quick Reference</w:t>
      </w:r>
    </w:p>
    <w:p>
      <w:pPr>
        <w:spacing w:after="0" w:line="480"/>
      </w:pPr>
    </w:p>
    <w:p>
      <w:pPr>
        <w:spacing w:after="0" w:line="480"/>
      </w:pPr>
      <w:r>
        <w:rPr>
          <w:rFonts w:ascii="Times New Roman" w:cs="Times New Roman" w:eastAsia="Times New Roman" w:hAnsi="Times New Roman"/>
          <w:i/>
          <w:iCs/>
          <w:sz w:val="24"/>
          <w:szCs w:val="24"/>
        </w:rPr>
        <w:t xml:space="preserve">No One Complained.</w:t>
      </w:r>
      <w:r>
        <w:rPr>
          <w:rFonts w:ascii="Times New Roman" w:cs="Times New Roman" w:eastAsia="Times New Roman" w:hAnsi="Times New Roman"/>
          <w:sz w:val="24"/>
          <w:szCs w:val="24"/>
        </w:rPr>
        <w:t xml:space="preserve"> Deposition question: "Describe the process by which a participant at your institution could file a complaint about staff conduct during the Relevant Period. Who received the complaint? What happened to it? Was the complainant informed of the outcome?" Closing argument line: "They built a system where complaining was punished, and then they point to the silence and call it satisfaction. The silence is not proof that nothing happened. The silence is proof that the system worked."</w:t>
      </w:r>
    </w:p>
    <w:p>
      <w:pPr>
        <w:spacing w:after="0" w:line="480"/>
        <w:ind w:firstLine="720"/>
      </w:pPr>
      <w:r>
        <w:rPr>
          <w:rFonts w:ascii="Times New Roman" w:cs="Times New Roman" w:eastAsia="Times New Roman" w:hAnsi="Times New Roman"/>
          <w:i/>
          <w:iCs/>
          <w:sz w:val="24"/>
          <w:szCs w:val="24"/>
        </w:rPr>
        <w:t xml:space="preserve">Consent.</w:t>
      </w:r>
      <w:r>
        <w:rPr>
          <w:rFonts w:ascii="Times New Roman" w:cs="Times New Roman" w:eastAsia="Times New Roman" w:hAnsi="Times New Roman"/>
          <w:sz w:val="24"/>
          <w:szCs w:val="24"/>
        </w:rPr>
        <w:t xml:space="preserve"> Deposition question: "What information was provided to Plaintiff's parents about the program's disciplinary methods, staffing qualifications, and use of physical restraint prior to enrollment?" Closing argument line: "Consent requires information. They withheld the information and now they claim consent. That is not consent. That is fraud."</w:t>
      </w:r>
    </w:p>
    <w:p>
      <w:pPr>
        <w:spacing w:after="0" w:line="480"/>
        <w:ind w:firstLine="720"/>
      </w:pPr>
      <w:r>
        <w:rPr>
          <w:rFonts w:ascii="Times New Roman" w:cs="Times New Roman" w:eastAsia="Times New Roman" w:hAnsi="Times New Roman"/>
          <w:i/>
          <w:iCs/>
          <w:sz w:val="24"/>
          <w:szCs w:val="24"/>
        </w:rPr>
        <w:t xml:space="preserve">No Records Remain.</w:t>
      </w:r>
      <w:r>
        <w:rPr>
          <w:rFonts w:ascii="Times New Roman" w:cs="Times New Roman" w:eastAsia="Times New Roman" w:hAnsi="Times New Roman"/>
          <w:sz w:val="24"/>
          <w:szCs w:val="24"/>
        </w:rPr>
        <w:t xml:space="preserve"> Motion: File a motion for spoliation sanctions and adverse inference instruction. Attach the preservation letter and the institution's document retention policy. Closing argument line: "They kept every dollar your parents paid them. But they cannot find a single record of what they did to you. Ask yourself which records an institution destroys—the ones that help it, or the ones that hurt it."</w:t>
      </w:r>
    </w:p>
    <w:p>
      <w:pPr>
        <w:spacing w:after="0" w:line="480"/>
        <w:ind w:firstLine="720"/>
      </w:pPr>
      <w:r>
        <w:rPr>
          <w:rFonts w:ascii="Times New Roman" w:cs="Times New Roman" w:eastAsia="Times New Roman" w:hAnsi="Times New Roman"/>
          <w:i/>
          <w:iCs/>
          <w:sz w:val="24"/>
          <w:szCs w:val="24"/>
        </w:rPr>
        <w:t xml:space="preserve">Stale Claim.</w:t>
      </w:r>
      <w:r>
        <w:rPr>
          <w:rFonts w:ascii="Times New Roman" w:cs="Times New Roman" w:eastAsia="Times New Roman" w:hAnsi="Times New Roman"/>
          <w:sz w:val="24"/>
          <w:szCs w:val="24"/>
        </w:rPr>
        <w:t xml:space="preserve"> Expert testimony: Trauma expert testifies that delayed disclosure is the expected psychological response to institutional coercive control, not evidence of fabrication. Closing argument line: "They spent years teaching Plaintiff that no one would believe them. And now they stand in front of you and say: why didn't they come forward sooner? That is not a defense. That is a confession."</w:t>
      </w:r>
    </w:p>
    <w:p>
      <w:pPr>
        <w:spacing w:after="0" w:line="480"/>
        <w:ind w:firstLine="720"/>
      </w:pPr>
      <w:r>
        <w:rPr>
          <w:rFonts w:ascii="Times New Roman" w:cs="Times New Roman" w:eastAsia="Times New Roman" w:hAnsi="Times New Roman"/>
          <w:i/>
          <w:iCs/>
          <w:sz w:val="24"/>
          <w:szCs w:val="24"/>
        </w:rPr>
        <w:t xml:space="preserve">Pre-Existing Condition.</w:t>
      </w:r>
      <w:r>
        <w:rPr>
          <w:rFonts w:ascii="Times New Roman" w:cs="Times New Roman" w:eastAsia="Times New Roman" w:hAnsi="Times New Roman"/>
          <w:sz w:val="24"/>
          <w:szCs w:val="24"/>
        </w:rPr>
        <w:t xml:space="preserve"> Expert testimony: Trauma expert distinguishes pre-existing vulnerabilities from the specific symptom constellation produced by institutional coercive control. Economist quantifies the marginal impact. Closing argument line: "A hospital does not escape malpractice because the patient was already sick. This institution accepted a vulnerable child, promised to help, and made them worse. Pre-existing difficulty is not a defense. It is an aggravating factor."</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Closing Argument Blueprint: The Mirror</w:t>
      </w:r>
    </w:p>
    <w:p>
      <w:pPr>
        <w:spacing w:after="0" w:line="480"/>
      </w:pPr>
    </w:p>
    <w:p>
      <w:pPr>
        <w:spacing w:after="0" w:line="480"/>
      </w:pPr>
      <w:r>
        <w:rPr>
          <w:rFonts w:ascii="Times New Roman" w:cs="Times New Roman" w:eastAsia="Times New Roman" w:hAnsi="Times New Roman"/>
          <w:sz w:val="24"/>
          <w:szCs w:val="24"/>
        </w:rPr>
        <w:t xml:space="preserve">This closing framework turns the defense's strategy into proof of the plaintiff's case.</w:t>
      </w:r>
    </w:p>
    <w:p>
      <w:pPr>
        <w:spacing w:after="0" w:line="480"/>
        <w:ind w:firstLine="720"/>
      </w:pPr>
      <w:r>
        <w:rPr>
          <w:rFonts w:ascii="Times New Roman" w:cs="Times New Roman" w:eastAsia="Times New Roman" w:hAnsi="Times New Roman"/>
          <w:i/>
          <w:iCs/>
          <w:sz w:val="24"/>
          <w:szCs w:val="24"/>
        </w:rPr>
        <w:t xml:space="preserve">The setup:</w:t>
      </w:r>
      <w:r>
        <w:rPr>
          <w:rFonts w:ascii="Times New Roman" w:cs="Times New Roman" w:eastAsia="Times New Roman" w:hAnsi="Times New Roman"/>
          <w:sz w:val="24"/>
          <w:szCs w:val="24"/>
        </w:rPr>
        <w:t xml:space="preserve"> "You have heard two stories in this trial. Ours and theirs. I want to talk about theirs. Not to argue with it. To show you something about it."</w:t>
      </w:r>
    </w:p>
    <w:p>
      <w:pPr>
        <w:spacing w:after="0" w:line="480"/>
        <w:ind w:firstLine="720"/>
      </w:pPr>
      <w:r>
        <w:rPr>
          <w:rFonts w:ascii="Times New Roman" w:cs="Times New Roman" w:eastAsia="Times New Roman" w:hAnsi="Times New Roman"/>
          <w:i/>
          <w:iCs/>
          <w:sz w:val="24"/>
          <w:szCs w:val="24"/>
        </w:rPr>
        <w:t xml:space="preserve">The mirror:</w:t>
      </w:r>
      <w:r>
        <w:rPr>
          <w:rFonts w:ascii="Times New Roman" w:cs="Times New Roman" w:eastAsia="Times New Roman" w:hAnsi="Times New Roman"/>
          <w:sz w:val="24"/>
          <w:szCs w:val="24"/>
        </w:rPr>
        <w:t xml:space="preserve"> "Their defense in this courtroom is the same system that operated inside that program. In the program, they told [Plaintiff]: you are the problem. In this courtroom, they tell you: [Plaintiff] is the problem. In the program, they controlled information—they censored letters, monitored calls, scripted family contact. In this courtroom, they say records were lost, documents destroyed, witnesses unavailable. In the program, they said: trust the process. In this courtroom, they say: trust us, we had policies."</w:t>
      </w:r>
    </w:p>
    <w:p>
      <w:pPr>
        <w:spacing w:after="0" w:line="480"/>
        <w:ind w:firstLine="720"/>
      </w:pPr>
      <w:r>
        <w:rPr>
          <w:rFonts w:ascii="Times New Roman" w:cs="Times New Roman" w:eastAsia="Times New Roman" w:hAnsi="Times New Roman"/>
          <w:i/>
          <w:iCs/>
          <w:sz w:val="24"/>
          <w:szCs w:val="24"/>
        </w:rPr>
        <w:t xml:space="preserve">The pivot:</w:t>
      </w:r>
      <w:r>
        <w:rPr>
          <w:rFonts w:ascii="Times New Roman" w:cs="Times New Roman" w:eastAsia="Times New Roman" w:hAnsi="Times New Roman"/>
          <w:sz w:val="24"/>
          <w:szCs w:val="24"/>
        </w:rPr>
        <w:t xml:space="preserve"> "And that is how you know the system was real. Because it is still operating. Right here. Right now. In front of you. The only difference is that this time, [Plaintiff] has something they never had in that program. A voice. A choice. And twelve people who will listen."</w:t>
      </w:r>
    </w:p>
    <w:p>
      <w:pPr>
        <w:spacing w:after="0" w:line="480"/>
        <w:ind w:firstLine="720"/>
      </w:pPr>
      <w:r>
        <w:rPr>
          <w:rFonts w:ascii="Times New Roman" w:cs="Times New Roman" w:eastAsia="Times New Roman" w:hAnsi="Times New Roman"/>
          <w:i/>
          <w:iCs/>
          <w:sz w:val="24"/>
          <w:szCs w:val="24"/>
        </w:rPr>
        <w:t xml:space="preserve">The close:</w:t>
      </w:r>
      <w:r>
        <w:rPr>
          <w:rFonts w:ascii="Times New Roman" w:cs="Times New Roman" w:eastAsia="Times New Roman" w:hAnsi="Times New Roman"/>
          <w:sz w:val="24"/>
          <w:szCs w:val="24"/>
        </w:rPr>
        <w:t xml:space="preserve"> "They have spent this trial trying to control the narrative the same way they spent years controlling [Plaintiff]. Do not let them. Look at the evidence. Look at the documents. Look at what they did and what they said and what they destroyed and what they cannot explain. And then do what [Plaintiff] was never allowed to do in that program: decide for yourself."</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line="480"/>
      </w:pPr>
      <w:r>
        <w:rPr>
          <w:rFonts w:ascii="Times New Roman" w:cs="Times New Roman" w:eastAsia="Times New Roman" w:hAnsi="Times New Roman"/>
          <w:sz w:val="24"/>
          <w:szCs w:val="24"/>
        </w:rPr>
        <w:t xml:space="preserve">Defense strategy in TTI cases combines the Nuclear Verdicts playbook with institution-specific defenses, all rooted in the same institutional impulse: the child is the problem, not the program.</w:t>
      </w:r>
    </w:p>
    <w:p>
      <w:pPr>
        <w:spacing w:after="0" w:line="480"/>
        <w:ind w:firstLine="720"/>
      </w:pPr>
      <w:r>
        <w:rPr>
          <w:rFonts w:ascii="Times New Roman" w:cs="Times New Roman" w:eastAsia="Times New Roman" w:hAnsi="Times New Roman"/>
          <w:sz w:val="24"/>
          <w:szCs w:val="24"/>
        </w:rPr>
        <w:t xml:space="preserve">The Nuclear Verdicts framework uses five tactics: the empathy gambit (steal the moral high ground with a strategic apology), low anchoring (suggest a modest damages number), the concession strategy (concede minor points to appear reasonable), narrative reframing (transform institutional abuse into individual misfortune), and anger defusion (drain juror outrage systematically). Each tactic can be defeated with preparation, but only if you know it is coming.</w:t>
      </w:r>
    </w:p>
    <w:p>
      <w:pPr>
        <w:spacing w:after="0" w:line="480"/>
        <w:ind w:firstLine="720"/>
      </w:pPr>
      <w:r>
        <w:rPr>
          <w:rFonts w:ascii="Times New Roman" w:cs="Times New Roman" w:eastAsia="Times New Roman" w:hAnsi="Times New Roman"/>
          <w:sz w:val="24"/>
          <w:szCs w:val="24"/>
        </w:rPr>
        <w:t xml:space="preserve">TTI-specific defenses include the "difficult child" (pre-existing conditions excuse the program), "therapeutic discretion" (coercive practices were clinical judgment), "parental consent" (consent obtained through fraud and maintained through information control), "no one complained" (the absence of complaints in a complaint-suppressing system), "pre-existing condition" (the developmental theft was already in progress), "not trying to get better" (treatment avoidance caused by the injury itself), and "the number is too high" (damage suppression through low anchoring and comfort-level appeals).</w:t>
      </w:r>
    </w:p>
    <w:p>
      <w:pPr>
        <w:spacing w:after="0" w:line="480"/>
        <w:ind w:firstLine="720"/>
      </w:pPr>
      <w:r>
        <w:rPr>
          <w:rFonts w:ascii="Times New Roman" w:cs="Times New Roman" w:eastAsia="Times New Roman" w:hAnsi="Times New Roman"/>
          <w:sz w:val="24"/>
          <w:szCs w:val="24"/>
        </w:rPr>
        <w:t xml:space="preserve">Build a defense-response bank early and update it continuously. Every anticipated defense should have a prepared factual response, supporting evidence, a deployment strategy, and a closing argument line. The defense in TTI cases is predictable. Predictability is vulnerability. Use it.</w:t>
      </w:r>
    </w:p>
    <w:p>
      <w:pPr>
        <w:spacing w:after="0" w:line="480"/>
        <w:ind w:firstLine="720"/>
      </w:pPr>
      <w:r>
        <w:rPr>
          <w:rFonts w:ascii="Times New Roman" w:cs="Times New Roman" w:eastAsia="Times New Roman" w:hAnsi="Times New Roman"/>
          <w:sz w:val="24"/>
          <w:szCs w:val="24"/>
        </w:rPr>
        <w:t xml:space="preserve">The Mirror closing argument blueprint turns the defense's own strategy into proof of the plaintiff's case by showing the jury that the institutional behavior pattern—blame the victim, control information, demand trust—is still operating in the courtroom itself. The system is the proof.</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8"/>
        <w:szCs w:val="18"/>
      </w:rPr>
      <w:t xml:space="preserve">Defeating the TTI Defense Playbook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2026-05-08T05:44:54.460Z</dcterms:created>
  <dcterms:modified xsi:type="dcterms:W3CDTF">2026-05-08T05:44:54.461Z</dcterms:modified>
</cp:coreProperties>
</file>

<file path=docProps/custom.xml><?xml version="1.0" encoding="utf-8"?>
<Properties xmlns="http://schemas.openxmlformats.org/officeDocument/2006/custom-properties" xmlns:vt="http://schemas.openxmlformats.org/officeDocument/2006/docPropsVTypes"/>
</file>