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line="480"/>
        <w:jc w:val="center"/>
      </w:pPr>
      <w:r>
        <w:rPr>
          <w:rFonts w:ascii="Times New Roman" w:cs="Times New Roman" w:eastAsia="Times New Roman" w:hAnsi="Times New Roman"/>
          <w:b/>
          <w:bCs/>
          <w:sz w:val="24"/>
          <w:szCs w:val="24"/>
        </w:rPr>
        <w:t xml:space="preserve">CHAPTER 11</w:t>
      </w:r>
    </w:p>
    <w:p>
      <w:pPr>
        <w:spacing w:after="0" w:line="480"/>
      </w:pPr>
    </w:p>
    <w:p>
      <w:pPr>
        <w:spacing w:after="0" w:line="480"/>
        <w:jc w:val="center"/>
      </w:pPr>
      <w:r>
        <w:rPr>
          <w:rFonts w:ascii="Times New Roman" w:cs="Times New Roman" w:eastAsia="Times New Roman" w:hAnsi="Times New Roman"/>
          <w:sz w:val="24"/>
          <w:szCs w:val="24"/>
        </w:rPr>
        <w:t xml:space="preserve">The Complaint as a Weapon</w:t>
      </w:r>
    </w:p>
    <w:p>
      <w:pPr>
        <w:spacing w:after="0" w:line="480"/>
        <w:jc w:val="center"/>
      </w:pPr>
      <w:r>
        <w:rPr>
          <w:rFonts w:ascii="Times New Roman" w:cs="Times New Roman" w:eastAsia="Times New Roman" w:hAnsi="Times New Roman"/>
          <w:i/>
          <w:iCs/>
          <w:sz w:val="24"/>
          <w:szCs w:val="24"/>
        </w:rPr>
        <w:t xml:space="preserve">Pleading for Trial, Not Just for Filing</w:t>
      </w:r>
    </w:p>
    <w:p>
      <w:pPr>
        <w:spacing w:after="0" w:line="480"/>
      </w:pPr>
    </w:p>
    <w:p>
      <w:pPr>
        <w:spacing w:after="0" w:line="480"/>
      </w:pPr>
      <w:r>
        <w:rPr>
          <w:rFonts w:ascii="Times New Roman" w:cs="Times New Roman" w:eastAsia="Times New Roman" w:hAnsi="Times New Roman"/>
          <w:sz w:val="24"/>
          <w:szCs w:val="24"/>
        </w:rPr>
        <w:t xml:space="preserve">Most complaints are wasted paper. They satisfy the procedural minimum—a short and plain statement of the claim—and nothing more. They name the parties. They recite the elements of each cause of action in boilerplate language. They attach an exhibit or two. And they tell the defendant absolutely nothing that the defendant did not already know, while giving the defendant nothing it needs to worry about.</w:t>
      </w:r>
    </w:p>
    <w:p>
      <w:pPr>
        <w:spacing w:after="0" w:line="480"/>
        <w:ind w:firstLine="720"/>
      </w:pPr>
      <w:r>
        <w:rPr>
          <w:rFonts w:ascii="Times New Roman" w:cs="Times New Roman" w:eastAsia="Times New Roman" w:hAnsi="Times New Roman"/>
          <w:sz w:val="24"/>
          <w:szCs w:val="24"/>
        </w:rPr>
        <w:t xml:space="preserve">This is a catastrophic mistake in TTI litigation. The complaint is not a formality. It is the first weapon you deploy against the program, and if you use it correctly, it will shape the entire trajectory of the case—from the defendant's answer through discovery, through motions practice, and into the closing argument you deliver to the jury.</w:t>
      </w:r>
    </w:p>
    <w:p>
      <w:pPr>
        <w:spacing w:after="0" w:line="480"/>
        <w:ind w:firstLine="720"/>
      </w:pPr>
      <w:r>
        <w:rPr>
          <w:rFonts w:ascii="Times New Roman" w:cs="Times New Roman" w:eastAsia="Times New Roman" w:hAnsi="Times New Roman"/>
          <w:sz w:val="24"/>
          <w:szCs w:val="24"/>
        </w:rPr>
        <w:t xml:space="preserve">The strategy is simple in concept and demanding in execution: draft the complaint so that every factual allegation is specific, provable, and designed to force the defendant into damaging admissions when they file their answer. When the program's lawyers sit down to respond, they should face a paragraph-by-paragraph dilemma: admit the allegation and concede a critical fact, or deny it and create a provable lie that you will use against them at trial.</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Why Notice Pleading Fails in TTI Cases</w:t>
      </w:r>
    </w:p>
    <w:p>
      <w:pPr>
        <w:spacing w:after="0" w:line="480"/>
      </w:pPr>
    </w:p>
    <w:p>
      <w:pPr>
        <w:spacing w:after="0" w:line="480"/>
      </w:pPr>
      <w:r>
        <w:rPr>
          <w:rFonts w:ascii="Times New Roman" w:cs="Times New Roman" w:eastAsia="Times New Roman" w:hAnsi="Times New Roman"/>
          <w:sz w:val="24"/>
          <w:szCs w:val="24"/>
        </w:rPr>
        <w:t xml:space="preserve">The rules of civil procedure require only that a complaint provide enough information to put the defendant on notice of the claims against it. This low bar exists for good reason: it prevents procedural gatekeeping from blocking meritorious claims. But in TTI cases, meeting only the minimum is a strategic error.</w:t>
      </w:r>
    </w:p>
    <w:p>
      <w:pPr>
        <w:spacing w:after="0" w:line="480"/>
        <w:ind w:firstLine="720"/>
      </w:pPr>
      <w:r>
        <w:rPr>
          <w:rFonts w:ascii="Times New Roman" w:cs="Times New Roman" w:eastAsia="Times New Roman" w:hAnsi="Times New Roman"/>
          <w:sz w:val="24"/>
          <w:szCs w:val="24"/>
        </w:rPr>
        <w:t xml:space="preserve">Here is what happens when you file a bare notice-pleading complaint against a TTI program. The program files a generic denial. Every allegation is denied. The answer tells you nothing about what the program will actually contest. Discovery becomes a fishing expedition because you have not established any anchoring facts. The defense has maximum flexibility to construct whatever narrative serves them best.</w:t>
      </w:r>
    </w:p>
    <w:p>
      <w:pPr>
        <w:spacing w:after="0" w:line="480"/>
        <w:ind w:firstLine="720"/>
      </w:pPr>
      <w:r>
        <w:rPr>
          <w:rFonts w:ascii="Times New Roman" w:cs="Times New Roman" w:eastAsia="Times New Roman" w:hAnsi="Times New Roman"/>
          <w:sz w:val="24"/>
          <w:szCs w:val="24"/>
        </w:rPr>
        <w:t xml:space="preserve">Now compare what happens when you file a fact-dense complaint. Each paragraph contains a specific, verifiable allegation: a date, a name, a document, a policy, a practice, a statement. The program's lawyers must respond to each one. They cannot deny a fact you can prove without creating an impeachment opportunity. They cannot admit a damaging fact without conceding ground. And they cannot claim "insufficient knowledge" about their own operations without looking evasive to the judge who reads both documents.</w:t>
      </w:r>
    </w:p>
    <w:p>
      <w:pPr>
        <w:spacing w:after="0" w:line="480"/>
        <w:ind w:firstLine="720"/>
      </w:pPr>
      <w:r>
        <w:rPr>
          <w:rFonts w:ascii="Times New Roman" w:cs="Times New Roman" w:eastAsia="Times New Roman" w:hAnsi="Times New Roman"/>
          <w:sz w:val="24"/>
          <w:szCs w:val="24"/>
        </w:rPr>
        <w:t xml:space="preserve">The fact-dense complaint is not more work for the sake of being thorough. It is a strategic choice that pays dividends at every subsequent stage of the litigation.</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Complaint as Requests for Admissions, Part One</w:t>
      </w:r>
    </w:p>
    <w:p>
      <w:pPr>
        <w:spacing w:after="0" w:line="480"/>
      </w:pPr>
    </w:p>
    <w:p>
      <w:pPr>
        <w:spacing w:after="0" w:line="480"/>
      </w:pPr>
      <w:r>
        <w:rPr>
          <w:rFonts w:ascii="Times New Roman" w:cs="Times New Roman" w:eastAsia="Times New Roman" w:hAnsi="Times New Roman"/>
          <w:sz w:val="24"/>
          <w:szCs w:val="24"/>
        </w:rPr>
        <w:t xml:space="preserve">Think of every factual paragraph in your complaint as an embedded request for admission. When the defendant files its answer, it is responding to each paragraph under the same duty of candor that applies to formal discovery responses. If the institution admits the allegation, you have a binding judicial admission. If it denies the allegation, you have a target.</w:t>
      </w:r>
    </w:p>
    <w:p>
      <w:pPr>
        <w:spacing w:after="0" w:line="480"/>
        <w:ind w:firstLine="720"/>
      </w:pPr>
      <w:r>
        <w:rPr>
          <w:rFonts w:ascii="Times New Roman" w:cs="Times New Roman" w:eastAsia="Times New Roman" w:hAnsi="Times New Roman"/>
          <w:sz w:val="24"/>
          <w:szCs w:val="24"/>
        </w:rPr>
        <w:t xml:space="preserve">The strategy works like this. During your pre-filing investigation, you identify facts that are both provable and damaging. You embed those facts in the complaint—not in an appendix, not in an exhibit, but in the numbered allegations themselves. When the institution's lawyers must decide how to respond, they face a dilemma that you designed.</w:t>
      </w:r>
    </w:p>
    <w:p>
      <w:pPr>
        <w:spacing w:after="0" w:line="480"/>
        <w:ind w:firstLine="720"/>
      </w:pPr>
      <w:r>
        <w:rPr>
          <w:rFonts w:ascii="Times New Roman" w:cs="Times New Roman" w:eastAsia="Times New Roman" w:hAnsi="Times New Roman"/>
          <w:sz w:val="24"/>
          <w:szCs w:val="24"/>
        </w:rPr>
        <w:t xml:space="preserve">After the answer is filed, you map every response. Create a spreadsheet: paragraph number, allegation, response (admit, deny, or insufficient knowledge), and your proof. This spreadsheet becomes your roadmap for discovery. Every denial is a deposition question. Every claim of insufficient knowledge is a 30(b)(6) topic. Every admission is a fact you never need to prove again.</w:t>
      </w:r>
    </w:p>
    <w:p>
      <w:pPr>
        <w:spacing w:after="0" w:line="480"/>
        <w:ind w:firstLine="720"/>
      </w:pPr>
      <w:r>
        <w:rPr>
          <w:rFonts w:ascii="Times New Roman" w:cs="Times New Roman" w:eastAsia="Times New Roman" w:hAnsi="Times New Roman"/>
          <w:sz w:val="24"/>
          <w:szCs w:val="24"/>
        </w:rPr>
        <w:t xml:space="preserve">At trial, the payoff arrives. You display the complaint on a screen. You show the jury a specific paragraph—the one that alleges the program marketed itself as providing licensed, individualized therapy. You show the jury the program's response: "Denied." Then you show the jury the program's own brochure, its own website, its own enrollment materials—all making exactly the representation the program denied under oath. You look at the jury and ask: if they lied about this, what else did they lied about? Then you show the next paragraph. And the next. Each disproven denial compounds the damage.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Embedding Specific, Provable Facts</w:t>
      </w:r>
    </w:p>
    <w:p>
      <w:pPr>
        <w:spacing w:after="0" w:line="480"/>
      </w:pPr>
    </w:p>
    <w:p>
      <w:pPr>
        <w:spacing w:after="0" w:line="480"/>
      </w:pPr>
      <w:r>
        <w:rPr>
          <w:rFonts w:ascii="Times New Roman" w:cs="Times New Roman" w:eastAsia="Times New Roman" w:hAnsi="Times New Roman"/>
          <w:sz w:val="24"/>
          <w:szCs w:val="24"/>
        </w:rPr>
        <w:t xml:space="preserve">A bare complaint might allege: "Defendant operated a residential treatment program where Plaintiff was enrolled." That allegation costs the defendant nothing to deny. It locks no one into anything.</w:t>
      </w:r>
    </w:p>
    <w:p>
      <w:pPr>
        <w:spacing w:after="0" w:line="480"/>
        <w:ind w:firstLine="720"/>
      </w:pPr>
      <w:r>
        <w:rPr>
          <w:rFonts w:ascii="Times New Roman" w:cs="Times New Roman" w:eastAsia="Times New Roman" w:hAnsi="Times New Roman"/>
          <w:sz w:val="24"/>
          <w:szCs w:val="24"/>
        </w:rPr>
        <w:t xml:space="preserve">A complaint built for trial alleges something different: "On or about March 15, 2018, Plaintiff was enrolled at Defendant's facility located at 4500 Mountain View Road, Cedar City, Utah, a residential treatment program marketed as providing individualized therapy from licensed clinicians, with a brochure distributed to Plaintiff's family stating that all therapeutic staff held master's-level degrees in counseling or psychology."</w:t>
      </w:r>
    </w:p>
    <w:p>
      <w:pPr>
        <w:spacing w:after="0" w:line="480"/>
        <w:ind w:firstLine="720"/>
      </w:pPr>
      <w:r>
        <w:rPr>
          <w:rFonts w:ascii="Times New Roman" w:cs="Times New Roman" w:eastAsia="Times New Roman" w:hAnsi="Times New Roman"/>
          <w:sz w:val="24"/>
          <w:szCs w:val="24"/>
        </w:rPr>
        <w:t xml:space="preserve">Now the program has a problem. If it denies this allegation, you produce the brochure and the archived website. The denial becomes a lie the jury can see. If it admits the allegation, it has conceded on the record that it marketed itself as providing licensed, individualized therapy—a representation you will compare to the reality of what actually happened inside the facility.</w:t>
      </w:r>
    </w:p>
    <w:p>
      <w:pPr>
        <w:spacing w:after="0" w:line="480"/>
        <w:ind w:firstLine="720"/>
      </w:pPr>
      <w:r>
        <w:rPr>
          <w:rFonts w:ascii="Times New Roman" w:cs="Times New Roman" w:eastAsia="Times New Roman" w:hAnsi="Times New Roman"/>
          <w:sz w:val="24"/>
          <w:szCs w:val="24"/>
        </w:rPr>
        <w:t xml:space="preserve">This is the method. For every major factual allegation, ask yourself: can I prove this? If yes, include it with enough specificity that a denial will cost the defendant credibility and an admission will advance your trial narrative.</w:t>
      </w:r>
    </w:p>
    <w:p>
      <w:pPr>
        <w:spacing w:after="0" w:before="240" w:line="480"/>
      </w:pPr>
      <w:r>
        <w:rPr>
          <w:rFonts w:ascii="Times New Roman" w:cs="Times New Roman" w:eastAsia="Times New Roman" w:hAnsi="Times New Roman"/>
          <w:b/>
          <w:bCs/>
          <w:i/>
          <w:iCs/>
          <w:sz w:val="24"/>
          <w:szCs w:val="24"/>
        </w:rPr>
        <w:t xml:space="preserve">What to Embed</w:t>
      </w:r>
    </w:p>
    <w:p>
      <w:pPr>
        <w:spacing w:after="0" w:line="480"/>
        <w:ind w:firstLine="720"/>
      </w:pPr>
      <w:r>
        <w:rPr>
          <w:rFonts w:ascii="Times New Roman" w:cs="Times New Roman" w:eastAsia="Times New Roman" w:hAnsi="Times New Roman"/>
          <w:i/>
          <w:iCs/>
          <w:sz w:val="24"/>
          <w:szCs w:val="24"/>
        </w:rPr>
        <w:t xml:space="preserve">Dates and timelines.</w:t>
      </w:r>
      <w:r>
        <w:rPr>
          <w:rFonts w:ascii="Times New Roman" w:cs="Times New Roman" w:eastAsia="Times New Roman" w:hAnsi="Times New Roman"/>
          <w:sz w:val="24"/>
          <w:szCs w:val="24"/>
        </w:rPr>
        <w:t xml:space="preserve"> Include specific dates wherever possible. The date of enrollment. The date of specific incidents. The date of discharge. Specific dates force the defendant to commit to a timeline it will be held to throughout the litigation.</w:t>
      </w:r>
    </w:p>
    <w:p>
      <w:pPr>
        <w:spacing w:after="0" w:line="480"/>
        <w:ind w:firstLine="720"/>
      </w:pPr>
      <w:r>
        <w:rPr>
          <w:rFonts w:ascii="Times New Roman" w:cs="Times New Roman" w:eastAsia="Times New Roman" w:hAnsi="Times New Roman"/>
          <w:i/>
          <w:iCs/>
          <w:sz w:val="24"/>
          <w:szCs w:val="24"/>
        </w:rPr>
        <w:t xml:space="preserve">Names.</w:t>
      </w:r>
      <w:r>
        <w:rPr>
          <w:rFonts w:ascii="Times New Roman" w:cs="Times New Roman" w:eastAsia="Times New Roman" w:hAnsi="Times New Roman"/>
          <w:sz w:val="24"/>
          <w:szCs w:val="24"/>
        </w:rPr>
        <w:t xml:space="preserve"> Name the individuals involved. The staff member who conducted the restraint. The administrator who received the complaint and took no action. The corporate officer who signed the licensing application. The educational consultant who made the referral. Named individuals cannot hide behind institutional anonymity.</w:t>
      </w:r>
    </w:p>
    <w:p>
      <w:pPr>
        <w:spacing w:after="0" w:line="480"/>
        <w:ind w:firstLine="720"/>
      </w:pPr>
      <w:r>
        <w:rPr>
          <w:rFonts w:ascii="Times New Roman" w:cs="Times New Roman" w:eastAsia="Times New Roman" w:hAnsi="Times New Roman"/>
          <w:i/>
          <w:iCs/>
          <w:sz w:val="24"/>
          <w:szCs w:val="24"/>
        </w:rPr>
        <w:t xml:space="preserve">Documents and communications.</w:t>
      </w:r>
      <w:r>
        <w:rPr>
          <w:rFonts w:ascii="Times New Roman" w:cs="Times New Roman" w:eastAsia="Times New Roman" w:hAnsi="Times New Roman"/>
          <w:sz w:val="24"/>
          <w:szCs w:val="24"/>
        </w:rPr>
        <w:t xml:space="preserve"> Reference specific documents by name, date, and content. The enrollment contract signed on a particular date. The marketing brochure that made particular promises. The incident report that documented a particular use of force. The email between staff members that discussed a particular concern. Each referenced document is a trap: deny its content and face the document at trial.</w:t>
      </w:r>
    </w:p>
    <w:p>
      <w:pPr>
        <w:spacing w:after="0" w:line="480"/>
        <w:ind w:firstLine="720"/>
      </w:pPr>
      <w:r>
        <w:rPr>
          <w:rFonts w:ascii="Times New Roman" w:cs="Times New Roman" w:eastAsia="Times New Roman" w:hAnsi="Times New Roman"/>
          <w:i/>
          <w:iCs/>
          <w:sz w:val="24"/>
          <w:szCs w:val="24"/>
        </w:rPr>
        <w:t xml:space="preserve">Policies and practices.</w:t>
      </w:r>
      <w:r>
        <w:rPr>
          <w:rFonts w:ascii="Times New Roman" w:cs="Times New Roman" w:eastAsia="Times New Roman" w:hAnsi="Times New Roman"/>
          <w:sz w:val="24"/>
          <w:szCs w:val="24"/>
        </w:rPr>
        <w:t xml:space="preserve"> Allege the program's policies by name and describe how they operated. The level system that required participants to earn basic privileges through compliance. The communication policy that restricted phone calls to monitored fifteen-minute sessions. The isolation protocol that confined children to a bare room for hours or days as punishment for rule violations. These allegations force the defendant to either admit its own coercive architecture or deny practices that are documented in its own rulebooks.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TTI-Specific Claim Sets</w:t>
      </w:r>
    </w:p>
    <w:p>
      <w:pPr>
        <w:spacing w:after="0" w:line="480"/>
      </w:pPr>
    </w:p>
    <w:p>
      <w:pPr>
        <w:spacing w:after="0" w:line="480"/>
      </w:pPr>
      <w:r>
        <w:rPr>
          <w:rFonts w:ascii="Times New Roman" w:cs="Times New Roman" w:eastAsia="Times New Roman" w:hAnsi="Times New Roman"/>
          <w:sz w:val="24"/>
          <w:szCs w:val="24"/>
        </w:rPr>
        <w:t xml:space="preserve">The legal theories available in TTI litigation are broader than most plaintiff's lawyers realize. Here are the primary claim sets to consider.</w:t>
      </w:r>
    </w:p>
    <w:p>
      <w:pPr>
        <w:spacing w:after="0" w:before="240" w:line="480"/>
      </w:pPr>
      <w:r>
        <w:rPr>
          <w:rFonts w:ascii="Times New Roman" w:cs="Times New Roman" w:eastAsia="Times New Roman" w:hAnsi="Times New Roman"/>
          <w:b/>
          <w:bCs/>
          <w:i/>
          <w:iCs/>
          <w:sz w:val="24"/>
          <w:szCs w:val="24"/>
        </w:rPr>
        <w:t xml:space="preserve">False Imprisonment</w:t>
      </w:r>
    </w:p>
    <w:p>
      <w:pPr>
        <w:spacing w:after="0" w:line="480"/>
        <w:ind w:firstLine="720"/>
      </w:pPr>
      <w:r>
        <w:rPr>
          <w:rFonts w:ascii="Times New Roman" w:cs="Times New Roman" w:eastAsia="Times New Roman" w:hAnsi="Times New Roman"/>
          <w:sz w:val="24"/>
          <w:szCs w:val="24"/>
        </w:rPr>
        <w:t xml:space="preserve">Often the strongest count. The child was confined against their will, frequently as a minor who could not legally consent to placement. Transport by third-party companies—night extractions, physical restraint during transport, confinement in vehicles for hours—creates a separate false imprisonment claim against the transport entity. Isolation rooms, locked facilities, and programs in remote wilderness areas where departure is physically impossible all support this theory.</w:t>
      </w:r>
    </w:p>
    <w:p>
      <w:pPr>
        <w:spacing w:after="0" w:before="240" w:line="480"/>
      </w:pPr>
      <w:r>
        <w:rPr>
          <w:rFonts w:ascii="Times New Roman" w:cs="Times New Roman" w:eastAsia="Times New Roman" w:hAnsi="Times New Roman"/>
          <w:b/>
          <w:bCs/>
          <w:i/>
          <w:iCs/>
          <w:sz w:val="24"/>
          <w:szCs w:val="24"/>
        </w:rPr>
        <w:t xml:space="preserve">Battery</w:t>
      </w:r>
    </w:p>
    <w:p>
      <w:pPr>
        <w:spacing w:after="0" w:line="480"/>
        <w:ind w:firstLine="720"/>
      </w:pPr>
      <w:r>
        <w:rPr>
          <w:rFonts w:ascii="Times New Roman" w:cs="Times New Roman" w:eastAsia="Times New Roman" w:hAnsi="Times New Roman"/>
          <w:sz w:val="24"/>
          <w:szCs w:val="24"/>
        </w:rPr>
        <w:t xml:space="preserve">Physical restraints, forced strip searches, assault by staff, and any unwanted physical contact constitute battery. In TTI cases, the battery is often systematic rather than episodic—restraint was a policy, not an aberration. Document each specific instance, but frame the claim around the policy that produced the contact.</w:t>
      </w:r>
    </w:p>
    <w:p>
      <w:pPr>
        <w:spacing w:after="0" w:before="240" w:line="480"/>
      </w:pPr>
      <w:r>
        <w:rPr>
          <w:rFonts w:ascii="Times New Roman" w:cs="Times New Roman" w:eastAsia="Times New Roman" w:hAnsi="Times New Roman"/>
          <w:b/>
          <w:bCs/>
          <w:i/>
          <w:iCs/>
          <w:sz w:val="24"/>
          <w:szCs w:val="24"/>
        </w:rPr>
        <w:t xml:space="preserve">Fraud and Fraudulent Concealment</w:t>
      </w:r>
    </w:p>
    <w:p>
      <w:pPr>
        <w:spacing w:after="0" w:line="480"/>
        <w:ind w:firstLine="720"/>
      </w:pPr>
      <w:r>
        <w:rPr>
          <w:rFonts w:ascii="Times New Roman" w:cs="Times New Roman" w:eastAsia="Times New Roman" w:hAnsi="Times New Roman"/>
          <w:sz w:val="24"/>
          <w:szCs w:val="24"/>
        </w:rPr>
        <w:t xml:space="preserve">The marketing-to-operations gap is the foundation of the fraud claim. What the program told parents versus what it actually did. What the educational consultant represented versus what she knew or should have known. What the program concealed from families about its practices, its regulatory history, its complaint record, and its staff qualifications. Fraudulent concealment extends the statute of limitations in many jurisdictions—the clock does not start until the plaintiff discovered or should have discovered the fraud.</w:t>
      </w:r>
    </w:p>
    <w:p>
      <w:pPr>
        <w:spacing w:after="0" w:before="240" w:line="480"/>
      </w:pPr>
      <w:r>
        <w:rPr>
          <w:rFonts w:ascii="Times New Roman" w:cs="Times New Roman" w:eastAsia="Times New Roman" w:hAnsi="Times New Roman"/>
          <w:b/>
          <w:bCs/>
          <w:i/>
          <w:iCs/>
          <w:sz w:val="24"/>
          <w:szCs w:val="24"/>
        </w:rPr>
        <w:t xml:space="preserve">Human Trafficking</w:t>
      </w:r>
    </w:p>
    <w:p>
      <w:pPr>
        <w:spacing w:after="0" w:line="480"/>
        <w:ind w:firstLine="720"/>
      </w:pPr>
      <w:r>
        <w:rPr>
          <w:rFonts w:ascii="Times New Roman" w:cs="Times New Roman" w:eastAsia="Times New Roman" w:hAnsi="Times New Roman"/>
          <w:sz w:val="24"/>
          <w:szCs w:val="24"/>
        </w:rPr>
        <w:t xml:space="preserve">The federal Trafficking Victims Protection Act and its state equivalents are increasingly used in TTI litigation. The theory: the program obtained the labor or services of minors through force, fraud, or coercion. When a program forces children to perform labor—grounds maintenance, building construction, food preparation, cleaning—under threat of punishment, isolation, or loss of privileges, the trafficking framework applies. TVPA claims provide mandatory restitution and the possibility of treble damages. This is not a stretch—it is the logical application of trafficking law to an industry that confines children and extracts compliance through coercion.</w:t>
      </w:r>
    </w:p>
    <w:p>
      <w:pPr>
        <w:spacing w:after="0" w:before="240" w:line="480"/>
      </w:pPr>
      <w:r>
        <w:rPr>
          <w:rFonts w:ascii="Times New Roman" w:cs="Times New Roman" w:eastAsia="Times New Roman" w:hAnsi="Times New Roman"/>
          <w:b/>
          <w:bCs/>
          <w:i/>
          <w:iCs/>
          <w:sz w:val="24"/>
          <w:szCs w:val="24"/>
        </w:rPr>
        <w:t xml:space="preserve">Child Abuse Statutes</w:t>
      </w:r>
    </w:p>
    <w:p>
      <w:pPr>
        <w:spacing w:after="0" w:line="480"/>
        <w:ind w:firstLine="720"/>
      </w:pPr>
      <w:r>
        <w:rPr>
          <w:rFonts w:ascii="Times New Roman" w:cs="Times New Roman" w:eastAsia="Times New Roman" w:hAnsi="Times New Roman"/>
          <w:sz w:val="24"/>
          <w:szCs w:val="24"/>
        </w:rPr>
        <w:t xml:space="preserve">Every state has statutes defining child abuse and neglect, and many provide civil causes of action. In TTI cases, the program's practices—isolation, restraint, denial of medical care, emotional abuse, forced labor—frequently meet statutory definitions of abuse. These statutes sometimes provide enhanced damages, reduced statutes of limitations, or mandatory attorney's fee awards.</w:t>
      </w:r>
    </w:p>
    <w:p>
      <w:pPr>
        <w:spacing w:after="0" w:before="240" w:line="480"/>
      </w:pPr>
      <w:r>
        <w:rPr>
          <w:rFonts w:ascii="Times New Roman" w:cs="Times New Roman" w:eastAsia="Times New Roman" w:hAnsi="Times New Roman"/>
          <w:b/>
          <w:bCs/>
          <w:i/>
          <w:iCs/>
          <w:sz w:val="24"/>
          <w:szCs w:val="24"/>
        </w:rPr>
        <w:t xml:space="preserve">Negligence and Negligent Supervision</w:t>
      </w:r>
    </w:p>
    <w:p>
      <w:pPr>
        <w:spacing w:after="0" w:line="480"/>
        <w:ind w:firstLine="720"/>
      </w:pPr>
      <w:r>
        <w:rPr>
          <w:rFonts w:ascii="Times New Roman" w:cs="Times New Roman" w:eastAsia="Times New Roman" w:hAnsi="Times New Roman"/>
          <w:sz w:val="24"/>
          <w:szCs w:val="24"/>
        </w:rPr>
        <w:t xml:space="preserve">The negligence count is strategically essential even when the conduct was intentional—because negligence triggers insurance coverage. A complaint that alleges only intentional torts may not trigger the program's commercial general liability policy, because the insurer will argue that no negligent "occurrence" is alleged. Include negligence-based counts: negligent hiring, negligent supervision, negligent retention of dangerous employees, negligent training, and institutional negligence. These counts ensure the insurer has a duty to defend—and a duty to indemnify—which means the insurance policy's limits are available to satisfy a judgment or settlement.</w:t>
      </w:r>
    </w:p>
    <w:p>
      <w:pPr>
        <w:spacing w:after="0" w:before="240" w:line="480"/>
      </w:pPr>
      <w:r>
        <w:rPr>
          <w:rFonts w:ascii="Times New Roman" w:cs="Times New Roman" w:eastAsia="Times New Roman" w:hAnsi="Times New Roman"/>
          <w:b/>
          <w:bCs/>
          <w:i/>
          <w:iCs/>
          <w:sz w:val="24"/>
          <w:szCs w:val="24"/>
        </w:rPr>
        <w:t xml:space="preserve">Consumer Protection</w:t>
      </w:r>
    </w:p>
    <w:p>
      <w:pPr>
        <w:spacing w:after="0" w:line="480"/>
        <w:ind w:firstLine="720"/>
      </w:pPr>
      <w:r>
        <w:rPr>
          <w:rFonts w:ascii="Times New Roman" w:cs="Times New Roman" w:eastAsia="Times New Roman" w:hAnsi="Times New Roman"/>
          <w:sz w:val="24"/>
          <w:szCs w:val="24"/>
        </w:rPr>
        <w:t xml:space="preserve">Many states' consumer protection acts apply to the marketing and sale of residential treatment services. When the program's marketing materials misrepresent its services, its staff qualifications, its accreditation, or its outcomes, these statutes provide an additional cause of action—often with mandatory treble damages and attorney's fees that make even moderate cases economically viable.</w:t>
      </w:r>
    </w:p>
    <w:p>
      <w:pPr>
        <w:spacing w:after="0" w:before="240" w:line="480"/>
      </w:pPr>
      <w:r>
        <w:rPr>
          <w:rFonts w:ascii="Times New Roman" w:cs="Times New Roman" w:eastAsia="Times New Roman" w:hAnsi="Times New Roman"/>
          <w:b/>
          <w:bCs/>
          <w:i/>
          <w:iCs/>
          <w:sz w:val="24"/>
          <w:szCs w:val="24"/>
        </w:rPr>
        <w:t xml:space="preserve">Intentional Infliction of Emotional Distress</w:t>
      </w:r>
    </w:p>
    <w:p>
      <w:pPr>
        <w:spacing w:after="0" w:line="480"/>
        <w:ind w:firstLine="720"/>
      </w:pPr>
      <w:r>
        <w:rPr>
          <w:rFonts w:ascii="Times New Roman" w:cs="Times New Roman" w:eastAsia="Times New Roman" w:hAnsi="Times New Roman"/>
          <w:sz w:val="24"/>
          <w:szCs w:val="24"/>
        </w:rPr>
        <w:t xml:space="preserve">The program's conduct—isolation of minors, forced confessions, peer surveillance, punished emotions, weaponized attachment—constitutes outrageous conduct that no civilized society should tolerate. IIED claims are difficult to win in many jurisdictions because the "outrageousness" standard is high, but TTI facts routinely clear it. Document the specific practices that shock the conscience, and present them in the language of the program's own policies.</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Structuring the Complaint Around Coercive-System Theory</w:t>
      </w:r>
    </w:p>
    <w:p>
      <w:pPr>
        <w:spacing w:after="0" w:line="480"/>
      </w:pPr>
    </w:p>
    <w:p>
      <w:pPr>
        <w:spacing w:after="0" w:line="480"/>
      </w:pPr>
      <w:r>
        <w:rPr>
          <w:rFonts w:ascii="Times New Roman" w:cs="Times New Roman" w:eastAsia="Times New Roman" w:hAnsi="Times New Roman"/>
          <w:sz w:val="24"/>
          <w:szCs w:val="24"/>
        </w:rPr>
        <w:t xml:space="preserve">The traditional approach organizes counts by cause of action: Count I for negligence, Count II for fraud, Count III for battery. Each count recites elements in boilerplate language. This structure treats the institution as a backdrop and the individual incidents as the story.</w:t>
      </w:r>
    </w:p>
    <w:p>
      <w:pPr>
        <w:spacing w:after="0" w:line="480"/>
        <w:ind w:firstLine="720"/>
      </w:pPr>
      <w:r>
        <w:rPr>
          <w:rFonts w:ascii="Times New Roman" w:cs="Times New Roman" w:eastAsia="Times New Roman" w:hAnsi="Times New Roman"/>
          <w:sz w:val="24"/>
          <w:szCs w:val="24"/>
        </w:rPr>
        <w:t xml:space="preserve">In TTI cases, I recommend organizing the factual narrative around the coercive-system framework before stating the legal counts. The complaint should tell the story of how the program operated as a system of control, moving through the client's journey: recruitment and marketing, enrollment and intake, operational conditions organized by BITE category, the program's response to harm, and the aftermath. Then the counts draw on this narrative—each cause of action pulling from the system-level facts rather than isolated incidents.</w:t>
      </w:r>
    </w:p>
    <w:p>
      <w:pPr>
        <w:spacing w:after="0" w:line="480"/>
        <w:ind w:firstLine="720"/>
      </w:pPr>
      <w:r>
        <w:rPr>
          <w:rFonts w:ascii="Times New Roman" w:cs="Times New Roman" w:eastAsia="Times New Roman" w:hAnsi="Times New Roman"/>
          <w:sz w:val="24"/>
          <w:szCs w:val="24"/>
        </w:rPr>
        <w:t xml:space="preserve">This structure forces the defendant to respond to the system-level facts—not just the individual incidents—in its answer. It primes the judge to see the case as a coercive-system case rather than a simple negligence case. And it creates the narrative architecture that you will use at trial.</w:t>
      </w:r>
    </w:p>
    <w:p>
      <w:pPr>
        <w:spacing w:after="0" w:before="240" w:line="480"/>
      </w:pPr>
      <w:r>
        <w:rPr>
          <w:rFonts w:ascii="Times New Roman" w:cs="Times New Roman" w:eastAsia="Times New Roman" w:hAnsi="Times New Roman"/>
          <w:b/>
          <w:bCs/>
          <w:i/>
          <w:iCs/>
          <w:sz w:val="24"/>
          <w:szCs w:val="24"/>
        </w:rPr>
        <w:t xml:space="preserve">The Dual-Track Pleading Strategy</w:t>
      </w:r>
    </w:p>
    <w:p>
      <w:pPr>
        <w:spacing w:after="0" w:line="480"/>
        <w:ind w:firstLine="720"/>
      </w:pPr>
      <w:r>
        <w:rPr>
          <w:rFonts w:ascii="Times New Roman" w:cs="Times New Roman" w:eastAsia="Times New Roman" w:hAnsi="Times New Roman"/>
          <w:sz w:val="24"/>
          <w:szCs w:val="24"/>
        </w:rPr>
        <w:t xml:space="preserve">Your complaint must run two tracks simultaneously, and understanding why is essential to the economics of TTI litigation.</w:t>
      </w:r>
    </w:p>
    <w:p>
      <w:pPr>
        <w:spacing w:after="0" w:line="480"/>
        <w:ind w:firstLine="720"/>
      </w:pPr>
      <w:r>
        <w:rPr>
          <w:rFonts w:ascii="Times New Roman" w:cs="Times New Roman" w:eastAsia="Times New Roman" w:hAnsi="Times New Roman"/>
          <w:i/>
          <w:iCs/>
          <w:sz w:val="24"/>
          <w:szCs w:val="24"/>
        </w:rPr>
        <w:t xml:space="preserve">Track One: The insured claims.</w:t>
      </w:r>
      <w:r>
        <w:rPr>
          <w:rFonts w:ascii="Times New Roman" w:cs="Times New Roman" w:eastAsia="Times New Roman" w:hAnsi="Times New Roman"/>
          <w:sz w:val="24"/>
          <w:szCs w:val="24"/>
        </w:rPr>
        <w:t xml:space="preserve"> These are the negligence-based counts—negligence, negligent hiring, negligent supervision, negligent retention—that trigger the program's commercial general liability insurance. CGL policies cover bodily injury caused by negligent "occurrences" during the policy period. These counts ensure the insurer has a duty to defend and a duty to indemnify, which means the insurance policy's limits are available for settlement or judgment. Never file a complaint that contains only intentional tort claims, no matter how compelling the facts. You will win the narrative and lose the money.</w:t>
      </w:r>
    </w:p>
    <w:p>
      <w:pPr>
        <w:spacing w:after="0" w:line="480"/>
        <w:ind w:firstLine="720"/>
      </w:pPr>
      <w:r>
        <w:rPr>
          <w:rFonts w:ascii="Times New Roman" w:cs="Times New Roman" w:eastAsia="Times New Roman" w:hAnsi="Times New Roman"/>
          <w:i/>
          <w:iCs/>
          <w:sz w:val="24"/>
          <w:szCs w:val="24"/>
        </w:rPr>
        <w:t xml:space="preserve">Track Two: The uninsured claims.</w:t>
      </w:r>
      <w:r>
        <w:rPr>
          <w:rFonts w:ascii="Times New Roman" w:cs="Times New Roman" w:eastAsia="Times New Roman" w:hAnsi="Times New Roman"/>
          <w:sz w:val="24"/>
          <w:szCs w:val="24"/>
        </w:rPr>
        <w:t xml:space="preserve"> These are the intentional tort counts—battery, fraud, false imprisonment, IIED, human trafficking—that CGL policies typically exclude. These counts tell the full coercive-system story, support punitive damages, and create personal exposure for individual defendants. They also tell the jury the truth about what happened: the harm was not accidental. It was designed.</w:t>
      </w:r>
    </w:p>
    <w:p>
      <w:pPr>
        <w:spacing w:after="0" w:line="480"/>
        <w:ind w:firstLine="720"/>
      </w:pPr>
      <w:r>
        <w:rPr>
          <w:rFonts w:ascii="Times New Roman" w:cs="Times New Roman" w:eastAsia="Times New Roman" w:hAnsi="Times New Roman"/>
          <w:sz w:val="24"/>
          <w:szCs w:val="24"/>
        </w:rPr>
        <w:t xml:space="preserve">Both tracks are essential. Track One gets the insurance money to the table. Track Two tells the jury the truth and creates the settlement pressure that makes Track One pay at its policy limits.</w:t>
      </w:r>
    </w:p>
    <w:p>
      <w:pPr>
        <w:spacing w:after="0" w:line="480"/>
        <w:ind w:firstLine="720"/>
      </w:pPr>
      <w:r>
        <w:rPr>
          <w:rFonts w:ascii="Times New Roman" w:cs="Times New Roman" w:eastAsia="Times New Roman" w:hAnsi="Times New Roman"/>
          <w:sz w:val="24"/>
          <w:szCs w:val="24"/>
        </w:rPr>
        <w:t xml:space="preserve">There is a third dimension that many practitioners miss: </w:t>
      </w:r>
      <w:r>
        <w:rPr>
          <w:rFonts w:ascii="Times New Roman" w:cs="Times New Roman" w:eastAsia="Times New Roman" w:hAnsi="Times New Roman"/>
          <w:i/>
          <w:iCs/>
          <w:sz w:val="24"/>
          <w:szCs w:val="24"/>
        </w:rPr>
        <w:t xml:space="preserve">the parent fraud track.</w:t>
      </w:r>
      <w:r>
        <w:rPr>
          <w:rFonts w:ascii="Times New Roman" w:cs="Times New Roman" w:eastAsia="Times New Roman" w:hAnsi="Times New Roman"/>
          <w:sz w:val="24"/>
          <w:szCs w:val="24"/>
        </w:rPr>
        <w:t xml:space="preserve"> Many TTI programs carry policies with specific exclusions for intentional abuse of minors—exclusions that may eliminate coverage even for some negligence-based claims if the insurer can argue that the underlying conduct was intentional. But fraud on the parent is a separate wrong that often falls outside the abuse exclusion entirely. The parent was not abused; the parent was defrauded. The intake coordinator misrepresented the program's clinical staffing. The marketing materials misrepresented the safety protocols. The contract misrepresented the therapeutic modalities. Misrepresentation, fraud, and negligent misrepresentation claims brought by or on behalf of the parent as a separate party—or as part of the survivor's case—can trigger coverage that would otherwise be unavailable under intentional-abuse exclusions. In practice, this means your complaint should include parent-directed fraud counts that stand independently of the abuse claims, ensuring that even if the abuse exclusion eliminates one path to coverage, the fraud path remains open.</w:t>
      </w:r>
    </w:p>
    <w:p>
      <w:pPr>
        <w:spacing w:after="0" w:line="480"/>
        <w:ind w:firstLine="720"/>
      </w:pPr>
      <w:r>
        <w:rPr>
          <w:rFonts w:ascii="Times New Roman" w:cs="Times New Roman" w:eastAsia="Times New Roman" w:hAnsi="Times New Roman"/>
          <w:sz w:val="24"/>
          <w:szCs w:val="24"/>
        </w:rPr>
        <w:t xml:space="preserve">The insurance dynamics are further complicated by reinsurance and self-insurance arrangements. Facilities—particularly those backed by private equity—may retain coverage post-settlement through reinsurance treaties or self-insured retention structures that make them more resilient to litigation pressure than small operators. Understanding the defendant's insurance architecture—primary coverage, excess layers, reinsurance arrangements, and self-insured retention—is essential to calibrating your settlement strategy. The discovery necessary to uncover this architecture is described in Chapter 12.</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Setting Up Future Motions from the Complaint</w:t>
      </w:r>
    </w:p>
    <w:p>
      <w:pPr>
        <w:spacing w:after="0" w:line="480"/>
      </w:pPr>
    </w:p>
    <w:p>
      <w:pPr>
        <w:spacing w:after="0" w:line="480"/>
      </w:pPr>
      <w:r>
        <w:rPr>
          <w:rFonts w:ascii="Times New Roman" w:cs="Times New Roman" w:eastAsia="Times New Roman" w:hAnsi="Times New Roman"/>
          <w:sz w:val="24"/>
          <w:szCs w:val="24"/>
        </w:rPr>
        <w:t xml:space="preserve">A well-drafted complaint does not just survive a motion to dismiss. It creates the foundation for your own offensive motions throughout the case.</w:t>
      </w:r>
    </w:p>
    <w:p>
      <w:pPr>
        <w:spacing w:after="0" w:line="480"/>
        <w:ind w:firstLine="720"/>
      </w:pPr>
      <w:r>
        <w:rPr>
          <w:rFonts w:ascii="Times New Roman" w:cs="Times New Roman" w:eastAsia="Times New Roman" w:hAnsi="Times New Roman"/>
          <w:i/>
          <w:iCs/>
          <w:sz w:val="24"/>
          <w:szCs w:val="24"/>
        </w:rPr>
        <w:t xml:space="preserve">Summary judgment.</w:t>
      </w:r>
      <w:r>
        <w:rPr>
          <w:rFonts w:ascii="Times New Roman" w:cs="Times New Roman" w:eastAsia="Times New Roman" w:hAnsi="Times New Roman"/>
          <w:sz w:val="24"/>
          <w:szCs w:val="24"/>
        </w:rPr>
        <w:t xml:space="preserve"> By embedding specific, provable facts and forcing admissions in the answer, you create a pathway to partial summary judgment on key issues. If the program admits that it used physical restraint as a disciplinary measure, the question of whether restraint occurred is resolved—the only remaining question is damages.</w:t>
      </w:r>
    </w:p>
    <w:p>
      <w:pPr>
        <w:spacing w:after="0" w:line="480"/>
        <w:ind w:firstLine="720"/>
      </w:pPr>
      <w:r>
        <w:rPr>
          <w:rFonts w:ascii="Times New Roman" w:cs="Times New Roman" w:eastAsia="Times New Roman" w:hAnsi="Times New Roman"/>
          <w:i/>
          <w:iCs/>
          <w:sz w:val="24"/>
          <w:szCs w:val="24"/>
        </w:rPr>
        <w:t xml:space="preserve">Motions in limine.</w:t>
      </w:r>
      <w:r>
        <w:rPr>
          <w:rFonts w:ascii="Times New Roman" w:cs="Times New Roman" w:eastAsia="Times New Roman" w:hAnsi="Times New Roman"/>
          <w:sz w:val="24"/>
          <w:szCs w:val="24"/>
        </w:rPr>
        <w:t xml:space="preserve"> The factual specificity of the complaint supports pretrial motions to exclude defense evidence that contradicts admitted facts. If the program admitted that certain policies existed, it cannot introduce evidence at trial suggesting those policies did not exist.</w:t>
      </w:r>
    </w:p>
    <w:p>
      <w:pPr>
        <w:spacing w:after="0" w:line="480"/>
        <w:ind w:firstLine="720"/>
      </w:pPr>
      <w:r>
        <w:rPr>
          <w:rFonts w:ascii="Times New Roman" w:cs="Times New Roman" w:eastAsia="Times New Roman" w:hAnsi="Times New Roman"/>
          <w:i/>
          <w:iCs/>
          <w:sz w:val="24"/>
          <w:szCs w:val="24"/>
        </w:rPr>
        <w:t xml:space="preserve">Sanctions for inconsistent positions.</w:t>
      </w:r>
      <w:r>
        <w:rPr>
          <w:rFonts w:ascii="Times New Roman" w:cs="Times New Roman" w:eastAsia="Times New Roman" w:hAnsi="Times New Roman"/>
          <w:sz w:val="24"/>
          <w:szCs w:val="24"/>
        </w:rPr>
        <w:t xml:space="preserve"> If the program denies facts in its answer that it later admits in discovery—or that you prove were true—the complaint becomes the baseline for a sanctions motion. The program's own answer becomes evidence of its litigation conduct.</w:t>
      </w:r>
    </w:p>
    <w:p>
      <w:pPr>
        <w:spacing w:after="0" w:line="480"/>
        <w:ind w:firstLine="720"/>
      </w:pPr>
      <w:r>
        <w:rPr>
          <w:rFonts w:ascii="Times New Roman" w:cs="Times New Roman" w:eastAsia="Times New Roman" w:hAnsi="Times New Roman"/>
          <w:i/>
          <w:iCs/>
          <w:sz w:val="24"/>
          <w:szCs w:val="24"/>
        </w:rPr>
        <w:t xml:space="preserve">Trial themes.</w:t>
      </w:r>
      <w:r>
        <w:rPr>
          <w:rFonts w:ascii="Times New Roman" w:cs="Times New Roman" w:eastAsia="Times New Roman" w:hAnsi="Times New Roman"/>
          <w:sz w:val="24"/>
          <w:szCs w:val="24"/>
        </w:rPr>
        <w:t xml:space="preserve"> In jurisdictions that allow the complaint to be read or referenced during opening statement, a fact-dense, narratively compelling complaint is the foundation of your trial presentation from day one.</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Using AI for Complaint Drafting</w:t>
      </w:r>
    </w:p>
    <w:p>
      <w:pPr>
        <w:spacing w:after="0" w:line="480"/>
      </w:pPr>
    </w:p>
    <w:p>
      <w:pPr>
        <w:spacing w:after="0" w:line="480"/>
      </w:pPr>
      <w:r>
        <w:rPr>
          <w:rFonts w:ascii="Times New Roman" w:cs="Times New Roman" w:eastAsia="Times New Roman" w:hAnsi="Times New Roman"/>
          <w:sz w:val="24"/>
          <w:szCs w:val="24"/>
        </w:rPr>
        <w:t xml:space="preserve">Large language models can accelerate complaint preparation when used as tools rather than replacements for legal judgment.</w:t>
      </w:r>
    </w:p>
    <w:p>
      <w:pPr>
        <w:spacing w:after="0" w:line="480"/>
        <w:ind w:firstLine="720"/>
      </w:pPr>
      <w:r>
        <w:rPr>
          <w:rFonts w:ascii="Times New Roman" w:cs="Times New Roman" w:eastAsia="Times New Roman" w:hAnsi="Times New Roman"/>
          <w:i/>
          <w:iCs/>
          <w:sz w:val="24"/>
          <w:szCs w:val="24"/>
        </w:rPr>
        <w:t xml:space="preserve">Fact organization.</w:t>
      </w:r>
      <w:r>
        <w:rPr>
          <w:rFonts w:ascii="Times New Roman" w:cs="Times New Roman" w:eastAsia="Times New Roman" w:hAnsi="Times New Roman"/>
          <w:sz w:val="24"/>
          <w:szCs w:val="24"/>
        </w:rPr>
        <w:t xml:space="preserve"> Upload intake notes and ask the model to organize factual allegations chronologically and by BITE category. Review every output for accuracy—the model may infer connections that do not exist in your evidence.</w:t>
      </w:r>
    </w:p>
    <w:p>
      <w:pPr>
        <w:spacing w:after="0" w:line="480"/>
        <w:ind w:firstLine="720"/>
      </w:pPr>
      <w:r>
        <w:rPr>
          <w:rFonts w:ascii="Times New Roman" w:cs="Times New Roman" w:eastAsia="Times New Roman" w:hAnsi="Times New Roman"/>
          <w:i/>
          <w:iCs/>
          <w:sz w:val="24"/>
          <w:szCs w:val="24"/>
        </w:rPr>
        <w:t xml:space="preserve">Element mapping.</w:t>
      </w:r>
      <w:r>
        <w:rPr>
          <w:rFonts w:ascii="Times New Roman" w:cs="Times New Roman" w:eastAsia="Times New Roman" w:hAnsi="Times New Roman"/>
          <w:sz w:val="24"/>
          <w:szCs w:val="24"/>
        </w:rPr>
        <w:t xml:space="preserve"> Provide the elements of each cause of action and your factual summary. Ask the model to map facts to elements and identify gaps. This ensures every element is supported and spots weaknesses before the defense does.</w:t>
      </w:r>
    </w:p>
    <w:p>
      <w:pPr>
        <w:spacing w:after="0" w:line="480"/>
        <w:ind w:firstLine="720"/>
      </w:pPr>
      <w:r>
        <w:rPr>
          <w:rFonts w:ascii="Times New Roman" w:cs="Times New Roman" w:eastAsia="Times New Roman" w:hAnsi="Times New Roman"/>
          <w:i/>
          <w:iCs/>
          <w:sz w:val="24"/>
          <w:szCs w:val="24"/>
        </w:rPr>
        <w:t xml:space="preserve">Denial prediction.</w:t>
      </w:r>
      <w:r>
        <w:rPr>
          <w:rFonts w:ascii="Times New Roman" w:cs="Times New Roman" w:eastAsia="Times New Roman" w:hAnsi="Times New Roman"/>
          <w:sz w:val="24"/>
          <w:szCs w:val="24"/>
        </w:rPr>
        <w:t xml:space="preserve"> Ask the model to read your draft complaint and predict which allegations the defendant is most likely to deny. Use these predictions to strengthen the provability of vulnerable paragraphs before filing.</w:t>
      </w:r>
    </w:p>
    <w:p>
      <w:pPr>
        <w:spacing w:after="0" w:line="480"/>
        <w:ind w:firstLine="720"/>
      </w:pPr>
      <w:r>
        <w:rPr>
          <w:rFonts w:ascii="Times New Roman" w:cs="Times New Roman" w:eastAsia="Times New Roman" w:hAnsi="Times New Roman"/>
          <w:i/>
          <w:iCs/>
          <w:sz w:val="24"/>
          <w:szCs w:val="24"/>
        </w:rPr>
        <w:t xml:space="preserve">Answer analysis.</w:t>
      </w:r>
      <w:r>
        <w:rPr>
          <w:rFonts w:ascii="Times New Roman" w:cs="Times New Roman" w:eastAsia="Times New Roman" w:hAnsi="Times New Roman"/>
          <w:sz w:val="24"/>
          <w:szCs w:val="24"/>
        </w:rPr>
        <w:t xml:space="preserve"> After the answer is filed, upload both documents and ask the model to generate the answer-mapping spreadsheet described above. Verify every entry, but the initial automated mapping saves hours of manual work.</w:t>
      </w:r>
    </w:p>
    <w:p>
      <w:pPr>
        <w:spacing w:after="0" w:line="480"/>
        <w:ind w:firstLine="720"/>
      </w:pPr>
      <w:r>
        <w:rPr>
          <w:rFonts w:ascii="Times New Roman" w:cs="Times New Roman" w:eastAsia="Times New Roman" w:hAnsi="Times New Roman"/>
          <w:sz w:val="24"/>
          <w:szCs w:val="24"/>
        </w:rPr>
        <w:t xml:space="preserve">Critical caveat: AI-generated legal content must be reviewed for hallucinated case law, incorrect jurisdictional standards, and logical errors. The model is a drafting accelerant, not a legal authority. Every factual allegation must be verified against your actual evidence. Every legal citation must be confirmed as real.</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Sample Complaint Structure for a TTI Coercive-System Case</w:t>
      </w:r>
    </w:p>
    <w:p>
      <w:pPr>
        <w:spacing w:after="0" w:line="480"/>
      </w:pPr>
    </w:p>
    <w:p>
      <w:pPr>
        <w:spacing w:after="0" w:line="480"/>
      </w:pPr>
      <w:r>
        <w:rPr>
          <w:rFonts w:ascii="Times New Roman" w:cs="Times New Roman" w:eastAsia="Times New Roman" w:hAnsi="Times New Roman"/>
          <w:sz w:val="24"/>
          <w:szCs w:val="24"/>
        </w:rPr>
        <w:t xml:space="preserve">The following structure organizes the complaint around the client's journey through the program, with BITE-framework integration woven into each section.</w:t>
      </w:r>
    </w:p>
    <w:p>
      <w:pPr>
        <w:spacing w:after="0" w:line="480"/>
        <w:ind w:firstLine="720"/>
      </w:pPr>
      <w:r>
        <w:rPr>
          <w:rFonts w:ascii="Times New Roman" w:cs="Times New Roman" w:eastAsia="Times New Roman" w:hAnsi="Times New Roman"/>
          <w:i/>
          <w:iCs/>
          <w:sz w:val="24"/>
          <w:szCs w:val="24"/>
        </w:rPr>
        <w:t xml:space="preserve">I. Parties (three to five paragraphs).</w:t>
      </w:r>
      <w:r>
        <w:rPr>
          <w:rFonts w:ascii="Times New Roman" w:cs="Times New Roman" w:eastAsia="Times New Roman" w:hAnsi="Times New Roman"/>
          <w:sz w:val="24"/>
          <w:szCs w:val="24"/>
        </w:rPr>
        <w:t xml:space="preserve"> Name every entity in the corporate chain, with formation dates, states of incorporation, and the relationship between entities. Name the program, its parent company, the private equity firm if applicable, the transport company, and the educational consultant. Name individual defendants with their roles and the time periods they served. Include alter ego and agency allegations here.</w:t>
      </w:r>
    </w:p>
    <w:p>
      <w:pPr>
        <w:spacing w:after="0" w:line="480"/>
        <w:ind w:firstLine="720"/>
      </w:pPr>
      <w:r>
        <w:rPr>
          <w:rFonts w:ascii="Times New Roman" w:cs="Times New Roman" w:eastAsia="Times New Roman" w:hAnsi="Times New Roman"/>
          <w:i/>
          <w:iCs/>
          <w:sz w:val="24"/>
          <w:szCs w:val="24"/>
        </w:rPr>
        <w:t xml:space="preserve">II. Jurisdiction and Venue (two to three paragraphs).</w:t>
      </w:r>
      <w:r>
        <w:rPr>
          <w:rFonts w:ascii="Times New Roman" w:cs="Times New Roman" w:eastAsia="Times New Roman" w:hAnsi="Times New Roman"/>
          <w:sz w:val="24"/>
          <w:szCs w:val="24"/>
        </w:rPr>
        <w:t xml:space="preserve"> Standard, but include specific facts supporting personal jurisdiction if the defendant will challenge it—particularly when the program operates across state lines, the transport crossed state lines, or the marketing targeted families in the forum state.</w:t>
      </w:r>
    </w:p>
    <w:p>
      <w:pPr>
        <w:spacing w:after="0" w:line="480"/>
        <w:ind w:firstLine="720"/>
      </w:pPr>
      <w:r>
        <w:rPr>
          <w:rFonts w:ascii="Times New Roman" w:cs="Times New Roman" w:eastAsia="Times New Roman" w:hAnsi="Times New Roman"/>
          <w:i/>
          <w:iCs/>
          <w:sz w:val="24"/>
          <w:szCs w:val="24"/>
        </w:rPr>
        <w:t xml:space="preserve">III. Factual Allegations — Recruitment and Marketing (ten to fifteen paragraphs).</w:t>
      </w:r>
      <w:r>
        <w:rPr>
          <w:rFonts w:ascii="Times New Roman" w:cs="Times New Roman" w:eastAsia="Times New Roman" w:hAnsi="Times New Roman"/>
          <w:sz w:val="24"/>
          <w:szCs w:val="24"/>
        </w:rPr>
        <w:t xml:space="preserve"> Every promise the program made. Quote brochures, websites, and the educational consultant's verbal representations with dates and sources. Allege what was omitted: referral fees, complaint history, regulatory actions, staff turnover, actual qualifications versus marketed qualifications. This section builds the fraud claim paragraph by paragraph.</w:t>
      </w:r>
    </w:p>
    <w:p>
      <w:pPr>
        <w:spacing w:after="0" w:line="480"/>
        <w:ind w:firstLine="720"/>
      </w:pPr>
      <w:r>
        <w:rPr>
          <w:rFonts w:ascii="Times New Roman" w:cs="Times New Roman" w:eastAsia="Times New Roman" w:hAnsi="Times New Roman"/>
          <w:i/>
          <w:iCs/>
          <w:sz w:val="24"/>
          <w:szCs w:val="24"/>
        </w:rPr>
        <w:t xml:space="preserve">IV. Factual Allegations — Transport and Intake (five to ten paragraphs).</w:t>
      </w:r>
      <w:r>
        <w:rPr>
          <w:rFonts w:ascii="Times New Roman" w:cs="Times New Roman" w:eastAsia="Times New Roman" w:hAnsi="Times New Roman"/>
          <w:sz w:val="24"/>
          <w:szCs w:val="24"/>
        </w:rPr>
        <w:t xml:space="preserve"> How the client arrived. Night extraction by strangers. Physical restraint during transport. Strip search at intake. Confiscation of personal belongings. Separation from every familiar person and environment. This section builds the false imprisonment and battery claims from the first moment.</w:t>
      </w:r>
    </w:p>
    <w:p>
      <w:pPr>
        <w:spacing w:after="0" w:line="480"/>
        <w:ind w:firstLine="720"/>
      </w:pPr>
      <w:r>
        <w:rPr>
          <w:rFonts w:ascii="Times New Roman" w:cs="Times New Roman" w:eastAsia="Times New Roman" w:hAnsi="Times New Roman"/>
          <w:i/>
          <w:iCs/>
          <w:sz w:val="24"/>
          <w:szCs w:val="24"/>
        </w:rPr>
        <w:t xml:space="preserve">V. Factual Allegations — Operational Conditions (twenty to forty paragraphs).</w:t>
      </w:r>
      <w:r>
        <w:rPr>
          <w:rFonts w:ascii="Times New Roman" w:cs="Times New Roman" w:eastAsia="Times New Roman" w:hAnsi="Times New Roman"/>
          <w:sz w:val="24"/>
          <w:szCs w:val="24"/>
        </w:rPr>
        <w:t xml:space="preserve"> The heart of the complaint. Organize by BITE category. Allege specific policies, specific practices, and specific incidents with dates, names, and documentary support for each. This is where the coercive system is laid bare: the level system, the isolation protocol, the censored communication, the forced confessions, the peer surveillance, the punished emotions, the weaponized attachment. Every paragraph is a provable fact embedded as a request for admission.</w:t>
      </w:r>
    </w:p>
    <w:p>
      <w:pPr>
        <w:spacing w:after="0" w:line="480"/>
        <w:ind w:firstLine="720"/>
      </w:pPr>
      <w:r>
        <w:rPr>
          <w:rFonts w:ascii="Times New Roman" w:cs="Times New Roman" w:eastAsia="Times New Roman" w:hAnsi="Times New Roman"/>
          <w:i/>
          <w:iCs/>
          <w:sz w:val="24"/>
          <w:szCs w:val="24"/>
        </w:rPr>
        <w:t xml:space="preserve">VI. Factual Allegations — Response to Harm (five to ten paragraphs).</w:t>
      </w:r>
      <w:r>
        <w:rPr>
          <w:rFonts w:ascii="Times New Roman" w:cs="Times New Roman" w:eastAsia="Times New Roman" w:hAnsi="Times New Roman"/>
          <w:sz w:val="24"/>
          <w:szCs w:val="24"/>
        </w:rPr>
        <w:t xml:space="preserve"> What happened when the client or others reported problems. How the program responded to internal complaints, regulatory inquiries, and parent concerns. Evidence of concealment, retaliation, and the "trust the process" coaching that silenced families. This section builds the fraudulent concealment claim and extends the statute of limitations.</w:t>
      </w:r>
    </w:p>
    <w:p>
      <w:pPr>
        <w:spacing w:after="0" w:line="480"/>
        <w:ind w:firstLine="720"/>
      </w:pPr>
      <w:r>
        <w:rPr>
          <w:rFonts w:ascii="Times New Roman" w:cs="Times New Roman" w:eastAsia="Times New Roman" w:hAnsi="Times New Roman"/>
          <w:i/>
          <w:iCs/>
          <w:sz w:val="24"/>
          <w:szCs w:val="24"/>
        </w:rPr>
        <w:t xml:space="preserve">VII. Factual Allegations — Damages (five to ten paragraphs).</w:t>
      </w:r>
      <w:r>
        <w:rPr>
          <w:rFonts w:ascii="Times New Roman" w:cs="Times New Roman" w:eastAsia="Times New Roman" w:hAnsi="Times New Roman"/>
          <w:sz w:val="24"/>
          <w:szCs w:val="24"/>
        </w:rPr>
        <w:t xml:space="preserve"> The aftermath. Psychiatric diagnoses, treatment history, employment disruption, relationship impact, substance use, educational interruption, financial harm. Connect each category of damage to specific operational conditions alleged in Section V. This section previews the damages case and establishes the causal chain.</w:t>
      </w:r>
    </w:p>
    <w:p>
      <w:pPr>
        <w:spacing w:after="0" w:line="480"/>
        <w:ind w:firstLine="720"/>
      </w:pPr>
      <w:r>
        <w:rPr>
          <w:rFonts w:ascii="Times New Roman" w:cs="Times New Roman" w:eastAsia="Times New Roman" w:hAnsi="Times New Roman"/>
          <w:i/>
          <w:iCs/>
          <w:sz w:val="24"/>
          <w:szCs w:val="24"/>
        </w:rPr>
        <w:t xml:space="preserve">VIII. Counts (one count per cause of action).</w:t>
      </w:r>
      <w:r>
        <w:rPr>
          <w:rFonts w:ascii="Times New Roman" w:cs="Times New Roman" w:eastAsia="Times New Roman" w:hAnsi="Times New Roman"/>
          <w:sz w:val="24"/>
          <w:szCs w:val="24"/>
        </w:rPr>
        <w:t xml:space="preserve"> Each count incorporates the preceding paragraphs by reference, states the elements of the claim, and identifies which factual paragraphs support each element. Track One counts (negligence-based) appear first to establish the insurance trigger. Track Two counts (intentional torts, trafficking, consumer protection) follow to tell the full story.</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The Denial Parade: Closing Argument Blueprint</w:t>
      </w:r>
    </w:p>
    <w:p>
      <w:pPr>
        <w:spacing w:after="0" w:line="480"/>
      </w:pPr>
    </w:p>
    <w:p>
      <w:pPr>
        <w:spacing w:after="0" w:line="480"/>
      </w:pPr>
      <w:r>
        <w:rPr>
          <w:rFonts w:ascii="Times New Roman" w:cs="Times New Roman" w:eastAsia="Times New Roman" w:hAnsi="Times New Roman"/>
          <w:sz w:val="24"/>
          <w:szCs w:val="24"/>
        </w:rPr>
        <w:t xml:space="preserve">This closing argument framework uses the complaint and the answer as the backbone of your summation. It is the trial payoff for every hour you invested in the fact-dense complaint.</w:t>
      </w:r>
    </w:p>
    <w:p>
      <w:pPr>
        <w:spacing w:after="0" w:line="480"/>
        <w:ind w:firstLine="720"/>
      </w:pPr>
      <w:r>
        <w:rPr>
          <w:rFonts w:ascii="Times New Roman" w:cs="Times New Roman" w:eastAsia="Times New Roman" w:hAnsi="Times New Roman"/>
          <w:i/>
          <w:iCs/>
          <w:sz w:val="24"/>
          <w:szCs w:val="24"/>
        </w:rPr>
        <w:t xml:space="preserve">The setup:</w:t>
      </w:r>
      <w:r>
        <w:rPr>
          <w:rFonts w:ascii="Times New Roman" w:cs="Times New Roman" w:eastAsia="Times New Roman" w:hAnsi="Times New Roman"/>
          <w:sz w:val="24"/>
          <w:szCs w:val="24"/>
        </w:rPr>
        <w:t xml:space="preserve"> "Let me take you back to the very beginning of this case. When we filed the complaint, we told you exactly what happened. And when the defendant answered, they had a choice: tell the truth or deny it. Let me show you what they chose."</w:t>
      </w:r>
    </w:p>
    <w:p>
      <w:pPr>
        <w:spacing w:after="0" w:line="480"/>
        <w:ind w:firstLine="720"/>
      </w:pPr>
      <w:r>
        <w:rPr>
          <w:rFonts w:ascii="Times New Roman" w:cs="Times New Roman" w:eastAsia="Times New Roman" w:hAnsi="Times New Roman"/>
          <w:i/>
          <w:iCs/>
          <w:sz w:val="24"/>
          <w:szCs w:val="24"/>
        </w:rPr>
        <w:t xml:space="preserve">The pattern:</w:t>
      </w:r>
      <w:r>
        <w:rPr>
          <w:rFonts w:ascii="Times New Roman" w:cs="Times New Roman" w:eastAsia="Times New Roman" w:hAnsi="Times New Roman"/>
          <w:sz w:val="24"/>
          <w:szCs w:val="24"/>
        </w:rPr>
        <w:t xml:space="preserve"> Display five to seven specific denials alongside the documentary proof that contradicts each one. For each: read the allegation, read the denial, show the proof. Let the pattern speak for itself. The marketing brochure that promised licensed therapists—denied. The restraint log that documents the isolation—denied. The email between staff discussing the complaint they never reported—denied. Each denial is a lie, and each lie is proven with the program's own documents.</w:t>
      </w:r>
    </w:p>
    <w:p>
      <w:pPr>
        <w:spacing w:after="0" w:line="480"/>
        <w:ind w:firstLine="720"/>
      </w:pPr>
      <w:r>
        <w:rPr>
          <w:rFonts w:ascii="Times New Roman" w:cs="Times New Roman" w:eastAsia="Times New Roman" w:hAnsi="Times New Roman"/>
          <w:i/>
          <w:iCs/>
          <w:sz w:val="24"/>
          <w:szCs w:val="24"/>
        </w:rPr>
        <w:t xml:space="preserve">The pivot:</w:t>
      </w:r>
      <w:r>
        <w:rPr>
          <w:rFonts w:ascii="Times New Roman" w:cs="Times New Roman" w:eastAsia="Times New Roman" w:hAnsi="Times New Roman"/>
          <w:sz w:val="24"/>
          <w:szCs w:val="24"/>
        </w:rPr>
        <w:t xml:space="preserve"> "Now ask yourself: if they denied this—something we can prove with their own documents—what else did they deny that they knew was true? And if they lied to this jury, under oath, in a legal proceeding, what makes you think they told the truth to the families who trusted them with their children?"</w:t>
      </w:r>
    </w:p>
    <w:p>
      <w:pPr>
        <w:spacing w:after="0" w:line="480"/>
        <w:ind w:firstLine="720"/>
      </w:pPr>
      <w:r>
        <w:rPr>
          <w:rFonts w:ascii="Times New Roman" w:cs="Times New Roman" w:eastAsia="Times New Roman" w:hAnsi="Times New Roman"/>
          <w:i/>
          <w:iCs/>
          <w:sz w:val="24"/>
          <w:szCs w:val="24"/>
        </w:rPr>
        <w:t xml:space="preserve">The close:</w:t>
      </w:r>
      <w:r>
        <w:rPr>
          <w:rFonts w:ascii="Times New Roman" w:cs="Times New Roman" w:eastAsia="Times New Roman" w:hAnsi="Times New Roman"/>
          <w:sz w:val="24"/>
          <w:szCs w:val="24"/>
        </w:rPr>
        <w:t xml:space="preserve"> Connect the program's litigation conduct to its operational conduct. The same impulse that drove the program to conceal problems from regulators, families, and licensing agencies drove it to deny the truth in this courtroom. The denial is not a defense strategy. It is the same strategy—the strategy of concealment that this case is about.</w:t>
      </w:r>
    </w:p>
    <w:p>
      <w:pPr>
        <w:spacing w:after="0" w:line="480"/>
        <w:jc w:val="center"/>
      </w:pPr>
      <w:r>
        <w:rPr>
          <w:rFonts w:ascii="Times New Roman" w:cs="Times New Roman" w:eastAsia="Times New Roman" w:hAnsi="Times New Roman"/>
          <w:i/>
          <w:iCs/>
          <w:sz w:val="24"/>
          <w:szCs w:val="24"/>
        </w:rPr>
        <w:t xml:space="preserve">     </w:t>
      </w:r>
      <w:r>
        <w:rPr>
          <w:rFonts w:ascii="Times New Roman" w:cs="Times New Roman" w:eastAsia="Times New Roman" w:hAnsi="Times New Roman"/>
          <w:sz w:val="24"/>
          <w:szCs w:val="24"/>
        </w:rPr>
        <w:t xml:space="preserve">     *</w:t>
      </w:r>
    </w:p>
    <w:p>
      <w:pPr>
        <w:spacing w:after="0" w:line="480"/>
      </w:pPr>
    </w:p>
    <w:p>
      <w:pPr>
        <w:spacing w:after="0" w:before="240" w:line="480"/>
        <w:jc w:val="center"/>
      </w:pPr>
      <w:r>
        <w:rPr>
          <w:rFonts w:ascii="Times New Roman" w:cs="Times New Roman" w:eastAsia="Times New Roman" w:hAnsi="Times New Roman"/>
          <w:b/>
          <w:bCs/>
          <w:sz w:val="24"/>
          <w:szCs w:val="24"/>
        </w:rPr>
        <w:t xml:space="preserve">Chapter Summary</w:t>
      </w:r>
    </w:p>
    <w:p>
      <w:pPr>
        <w:spacing w:after="0" w:line="480"/>
      </w:pPr>
    </w:p>
    <w:p>
      <w:pPr>
        <w:spacing w:after="0" w:line="480"/>
      </w:pPr>
      <w:r>
        <w:rPr>
          <w:rFonts w:ascii="Times New Roman" w:cs="Times New Roman" w:eastAsia="Times New Roman" w:hAnsi="Times New Roman"/>
          <w:sz w:val="24"/>
          <w:szCs w:val="24"/>
        </w:rPr>
        <w:t xml:space="preserve">The complaint is the first trial exhibit, not a procedural formality. Draft it for trial, not for filing.</w:t>
      </w:r>
    </w:p>
    <w:p>
      <w:pPr>
        <w:spacing w:after="0" w:line="480"/>
        <w:ind w:firstLine="720"/>
      </w:pPr>
      <w:r>
        <w:rPr>
          <w:rFonts w:ascii="Times New Roman" w:cs="Times New Roman" w:eastAsia="Times New Roman" w:hAnsi="Times New Roman"/>
          <w:sz w:val="24"/>
          <w:szCs w:val="24"/>
        </w:rPr>
        <w:t xml:space="preserve">Embed specific, provable facts—dates, names, documents, policies, practices—that force the defendant into damaging admissions or provable denials. Every factual paragraph is an embedded request for admission.</w:t>
      </w:r>
    </w:p>
    <w:p>
      <w:pPr>
        <w:spacing w:after="0" w:line="480"/>
        <w:ind w:firstLine="720"/>
      </w:pPr>
      <w:r>
        <w:rPr>
          <w:rFonts w:ascii="Times New Roman" w:cs="Times New Roman" w:eastAsia="Times New Roman" w:hAnsi="Times New Roman"/>
          <w:sz w:val="24"/>
          <w:szCs w:val="24"/>
        </w:rPr>
        <w:t xml:space="preserve">After the answer, map every response into a spreadsheet that drives discovery, depositions, and trial preparation. Every denial is a deposition question. Every admission is a fact you never need to prove again.</w:t>
      </w:r>
    </w:p>
    <w:p>
      <w:pPr>
        <w:spacing w:after="0" w:line="480"/>
        <w:ind w:firstLine="720"/>
      </w:pPr>
      <w:r>
        <w:rPr>
          <w:rFonts w:ascii="Times New Roman" w:cs="Times New Roman" w:eastAsia="Times New Roman" w:hAnsi="Times New Roman"/>
          <w:sz w:val="24"/>
          <w:szCs w:val="24"/>
        </w:rPr>
        <w:t xml:space="preserve">TTI claim sets include false imprisonment, battery, fraud, human trafficking (TVPA), child abuse statutes, negligence, consumer protection, and IIED. Each serves a specific strategic function in the case.</w:t>
      </w:r>
    </w:p>
    <w:p>
      <w:pPr>
        <w:spacing w:after="0" w:line="480"/>
        <w:ind w:firstLine="720"/>
      </w:pPr>
      <w:r>
        <w:rPr>
          <w:rFonts w:ascii="Times New Roman" w:cs="Times New Roman" w:eastAsia="Times New Roman" w:hAnsi="Times New Roman"/>
          <w:sz w:val="24"/>
          <w:szCs w:val="24"/>
        </w:rPr>
        <w:t xml:space="preserve">The dual-track pleading strategy is essential: negligence counts trigger insurance coverage and get money to the table; intentional tort counts tell the truth to the jury and create settlement pressure. Never file a complaint with only intentional tort claims.</w:t>
      </w:r>
    </w:p>
    <w:p>
      <w:pPr>
        <w:spacing w:after="0" w:line="480"/>
        <w:ind w:firstLine="720"/>
      </w:pPr>
      <w:r>
        <w:rPr>
          <w:rFonts w:ascii="Times New Roman" w:cs="Times New Roman" w:eastAsia="Times New Roman" w:hAnsi="Times New Roman"/>
          <w:sz w:val="24"/>
          <w:szCs w:val="24"/>
        </w:rPr>
        <w:t xml:space="preserve">Structure the factual narrative around the coercive-system theory—recruitment, enrollment, operational conditions by BITE category, response to harm, aftermath—then state the legal counts. This forces the defendant to respond to the system, not just the incidents.</w:t>
      </w:r>
    </w:p>
    <w:p>
      <w:pPr>
        <w:spacing w:after="0" w:line="480"/>
        <w:ind w:firstLine="720"/>
      </w:pPr>
      <w:r>
        <w:rPr>
          <w:rFonts w:ascii="Times New Roman" w:cs="Times New Roman" w:eastAsia="Times New Roman" w:hAnsi="Times New Roman"/>
          <w:sz w:val="24"/>
          <w:szCs w:val="24"/>
        </w:rPr>
        <w:t xml:space="preserve">The complaint sets up future motions: partial summary judgment on admitted facts, motions in limine based on admissions, and sanctions for inconsistent positions between answer and discovery.</w:t>
      </w:r>
    </w:p>
    <w:p>
      <w:pPr>
        <w:spacing w:after="0" w:line="480"/>
        <w:ind w:firstLine="720"/>
      </w:pPr>
      <w:r>
        <w:rPr>
          <w:rFonts w:ascii="Times New Roman" w:cs="Times New Roman" w:eastAsia="Times New Roman" w:hAnsi="Times New Roman"/>
          <w:sz w:val="24"/>
          <w:szCs w:val="24"/>
        </w:rPr>
        <w:t xml:space="preserve">AI tools can accelerate fact organization, element mapping, denial prediction, and answer analysis—but every output must be verified against your actual evidence and confirmed legal authority.</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i/>
        <w:iCs/>
        <w:color w:val="888888"/>
        <w:sz w:val="18"/>
        <w:szCs w:val="18"/>
      </w:rPr>
      <w:t xml:space="preserve">The Complaint as a Weapon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2026-05-13T20:44:46.984Z</dcterms:created>
  <dcterms:modified xsi:type="dcterms:W3CDTF">2026-05-13T20:44:46.984Z</dcterms:modified>
</cp:coreProperties>
</file>

<file path=docProps/custom.xml><?xml version="1.0" encoding="utf-8"?>
<Properties xmlns="http://schemas.openxmlformats.org/officeDocument/2006/custom-properties" xmlns:vt="http://schemas.openxmlformats.org/officeDocument/2006/docPropsVTypes"/>
</file>