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17</w:t>
      </w:r>
    </w:p>
    <w:p>
      <w:pPr>
        <w:spacing w:after="0" w:line="480"/>
      </w:pPr>
    </w:p>
    <w:p>
      <w:pPr>
        <w:spacing w:after="0" w:line="480"/>
        <w:jc w:val="center"/>
      </w:pPr>
      <w:r>
        <w:rPr>
          <w:rFonts w:ascii="Times New Roman" w:cs="Times New Roman" w:eastAsia="Times New Roman" w:hAnsi="Times New Roman"/>
          <w:sz w:val="24"/>
          <w:szCs w:val="24"/>
        </w:rPr>
        <w:t xml:space="preserve">Damages</w:t>
      </w:r>
    </w:p>
    <w:p>
      <w:pPr>
        <w:spacing w:after="0" w:line="480"/>
        <w:jc w:val="center"/>
      </w:pPr>
      <w:r>
        <w:rPr>
          <w:rFonts w:ascii="Times New Roman" w:cs="Times New Roman" w:eastAsia="Times New Roman" w:hAnsi="Times New Roman"/>
          <w:i/>
          <w:iCs/>
          <w:sz w:val="24"/>
          <w:szCs w:val="24"/>
        </w:rPr>
        <w:t xml:space="preserve">Proving the Value of What Was Taken</w:t>
      </w:r>
    </w:p>
    <w:p>
      <w:pPr>
        <w:spacing w:after="0" w:line="480"/>
      </w:pPr>
    </w:p>
    <w:p>
      <w:pPr>
        <w:spacing w:after="0" w:line="480"/>
      </w:pPr>
      <w:r>
        <w:rPr>
          <w:rFonts w:ascii="Times New Roman" w:cs="Times New Roman" w:eastAsia="Times New Roman" w:hAnsi="Times New Roman"/>
          <w:sz w:val="24"/>
          <w:szCs w:val="24"/>
        </w:rPr>
        <w:t xml:space="preserve">What was taken cannot be returned.</w:t>
      </w:r>
    </w:p>
    <w:p>
      <w:pPr>
        <w:spacing w:after="0" w:line="480"/>
        <w:ind w:firstLine="720"/>
      </w:pPr>
      <w:r>
        <w:rPr>
          <w:rFonts w:ascii="Times New Roman" w:cs="Times New Roman" w:eastAsia="Times New Roman" w:hAnsi="Times New Roman"/>
          <w:sz w:val="24"/>
          <w:szCs w:val="24"/>
        </w:rPr>
        <w:t xml:space="preserve">That is the central truth of damages in TTI cases, and it is the truth that most trial lawyers fail to communicate. They get lost in the arithmetic of medical bills, therapy costs, and lost wages. They present economic damages as if the case were a breach of contract and noneconomic damages as an afterthought—a vague appeal to the jury's sympathy. The result is a verdict that compensates for treatment without measuring what the treatment is trying to repair. The jury writes a check for therapy sessions without understanding what was destroyed that made the therapy necessary.</w:t>
      </w:r>
    </w:p>
    <w:p>
      <w:pPr>
        <w:spacing w:after="0" w:line="480"/>
        <w:ind w:firstLine="720"/>
      </w:pPr>
      <w:r>
        <w:rPr>
          <w:rFonts w:ascii="Times New Roman" w:cs="Times New Roman" w:eastAsia="Times New Roman" w:hAnsi="Times New Roman"/>
          <w:sz w:val="24"/>
          <w:szCs w:val="24"/>
        </w:rPr>
        <w:t xml:space="preserve">Institutional abuse does not produce injuries the way a car accident does. A car accident breaks a bone. The bone heals or it does not. The damages are the cost of healing plus the cost of what cannot heal. The framework is linear: before the accident, the person was whole; after the accident, they were not; the damages measure the distance between those two states. TTI abuse operates differently. It does not break something that was whole. It corrupts something that was forming. It takes a young person in the program's care and deforms the developmental process that would have made them who they were supposed to be. The survivor does not emerge from the program as a broken version of their former self. They emerge as someone who was never allowed to become their full self in the first place.</w:t>
      </w:r>
    </w:p>
    <w:p>
      <w:pPr>
        <w:spacing w:after="0" w:line="480"/>
        <w:ind w:firstLine="720"/>
      </w:pPr>
      <w:r>
        <w:rPr>
          <w:rFonts w:ascii="Times New Roman" w:cs="Times New Roman" w:eastAsia="Times New Roman" w:hAnsi="Times New Roman"/>
          <w:sz w:val="24"/>
          <w:szCs w:val="24"/>
        </w:rPr>
        <w:t xml:space="preserve">This chapter draws on William Barton's </w:t>
      </w:r>
      <w:r>
        <w:rPr>
          <w:rFonts w:ascii="Times New Roman" w:cs="Times New Roman" w:eastAsia="Times New Roman" w:hAnsi="Times New Roman"/>
          <w:i/>
          <w:iCs/>
          <w:sz w:val="24"/>
          <w:szCs w:val="24"/>
        </w:rPr>
        <w:t xml:space="preserve">Recovering for Psychological Injuries</w:t>
      </w:r>
      <w:r>
        <w:rPr>
          <w:rFonts w:ascii="Times New Roman" w:cs="Times New Roman" w:eastAsia="Times New Roman" w:hAnsi="Times New Roman"/>
          <w:sz w:val="24"/>
          <w:szCs w:val="24"/>
        </w:rPr>
        <w:t xml:space="preserve">, the definitive practitioner guide to making invisible psychological harm visible, measurable, and compensable in the courtroom. To that foundation it adds David Ball's harms-and-losses framework—updated through the newer </w:t>
      </w:r>
      <w:r>
        <w:rPr>
          <w:rFonts w:ascii="Times New Roman" w:cs="Times New Roman" w:eastAsia="Times New Roman" w:hAnsi="Times New Roman"/>
          <w:i/>
          <w:iCs/>
          <w:sz w:val="24"/>
          <w:szCs w:val="24"/>
        </w:rPr>
        <w:t xml:space="preserve">Damages Evolving</w:t>
      </w:r>
      <w:r>
        <w:rPr>
          <w:rFonts w:ascii="Times New Roman" w:cs="Times New Roman" w:eastAsia="Times New Roman" w:hAnsi="Times New Roman"/>
          <w:sz w:val="24"/>
          <w:szCs w:val="24"/>
        </w:rPr>
        <w:t xml:space="preserve"> collaboration with Nick Rowley, which pushes damages presentation toward more experiential, jury-centered approaches—the clinical literature on complex trauma, and the concept of developmental theft introduced in Chapter 3. Two additional works provide essential scientific grounding: Bessel van der Kolk's </w:t>
      </w:r>
      <w:r>
        <w:rPr>
          <w:rFonts w:ascii="Times New Roman" w:cs="Times New Roman" w:eastAsia="Times New Roman" w:hAnsi="Times New Roman"/>
          <w:i/>
          <w:iCs/>
          <w:sz w:val="24"/>
          <w:szCs w:val="24"/>
        </w:rPr>
        <w:t xml:space="preserve">The Body Keeps the Score</w:t>
      </w:r>
      <w:r>
        <w:rPr>
          <w:rFonts w:ascii="Times New Roman" w:cs="Times New Roman" w:eastAsia="Times New Roman" w:hAnsi="Times New Roman"/>
          <w:sz w:val="24"/>
          <w:szCs w:val="24"/>
        </w:rPr>
        <w:t xml:space="preserve"> explains how trauma is stored in the body and nervous system, not merely in memory, which is critical for helping juries understand why TTI survivors present the way they do on the stand; and Judith Herman's </w:t>
      </w:r>
      <w:r>
        <w:rPr>
          <w:rFonts w:ascii="Times New Roman" w:cs="Times New Roman" w:eastAsia="Times New Roman" w:hAnsi="Times New Roman"/>
          <w:i/>
          <w:iCs/>
          <w:sz w:val="24"/>
          <w:szCs w:val="24"/>
        </w:rPr>
        <w:t xml:space="preserve">Trauma and Recovery</w:t>
      </w:r>
      <w:r>
        <w:rPr>
          <w:rFonts w:ascii="Times New Roman" w:cs="Times New Roman" w:eastAsia="Times New Roman" w:hAnsi="Times New Roman"/>
          <w:sz w:val="24"/>
          <w:szCs w:val="24"/>
        </w:rPr>
        <w:t xml:space="preserve"> establishes the framework of complex PTSD and the three-stage recovery model that structures the clinical testimony in these cases. Readers who have not yet read Barton's book should do so—it is essential reading for any lawyer handling cases in which the primary injuries are psychological.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Making the Invisible Visible</w:t>
      </w:r>
    </w:p>
    <w:p>
      <w:pPr>
        <w:spacing w:after="0" w:line="480"/>
      </w:pPr>
    </w:p>
    <w:p>
      <w:pPr>
        <w:spacing w:after="0" w:line="480"/>
      </w:pPr>
      <w:r>
        <w:rPr>
          <w:rFonts w:ascii="Times New Roman" w:cs="Times New Roman" w:eastAsia="Times New Roman" w:hAnsi="Times New Roman"/>
          <w:sz w:val="24"/>
          <w:szCs w:val="24"/>
        </w:rPr>
        <w:t xml:space="preserve">The jury cannot compensate what it cannot see, and psychological injuries are invisible until the lawyer makes them visible. A broken arm appears on an X-ray. A laceration leaves a scar. But the TTI survivor who cannot sleep, cannot trust, cannot love, cannot hold her daughter without flinching—her injuries do not appear on any scan. The lawyer's job is to make the jury see those injuries as clearly as they would see a broken bone. Not through sympathy. Through evidence, structure, and the disciplined art of making the internal external.</w:t>
      </w:r>
    </w:p>
    <w:p>
      <w:pPr>
        <w:spacing w:after="0" w:line="480"/>
        <w:ind w:firstLine="720"/>
      </w:pPr>
      <w:r>
        <w:rPr>
          <w:rFonts w:ascii="Times New Roman" w:cs="Times New Roman" w:eastAsia="Times New Roman" w:hAnsi="Times New Roman"/>
          <w:sz w:val="24"/>
          <w:szCs w:val="24"/>
        </w:rPr>
        <w:t xml:space="preserve">Ball's harms-and-losses method provides the most effective tool for this work. His core insight complements Barton's: where Barton teaches the lawyer to make invisible injuries visible, Ball teaches the lawyer to make visible injuries </w:t>
      </w:r>
      <w:r>
        <w:rPr>
          <w:rFonts w:ascii="Times New Roman" w:cs="Times New Roman" w:eastAsia="Times New Roman" w:hAnsi="Times New Roman"/>
          <w:i/>
          <w:iCs/>
          <w:sz w:val="24"/>
          <w:szCs w:val="24"/>
        </w:rPr>
        <w:t xml:space="preserve">specific</w:t>
      </w:r>
      <w:r>
        <w:rPr>
          <w:rFonts w:ascii="Times New Roman" w:cs="Times New Roman" w:eastAsia="Times New Roman" w:hAnsi="Times New Roman"/>
          <w:sz w:val="24"/>
          <w:szCs w:val="24"/>
        </w:rPr>
        <w:t xml:space="preserve">. Jurors do not award damages based on diagnosis. They award damages based on what the injury did to the person's life. A diagnosis of C-PTSD means nothing to a jury until you show them what C-PTSD looks like at three in the morning when the survivor wakes up screaming and cannot remember where they are.</w:t>
      </w:r>
    </w:p>
    <w:p>
      <w:pPr>
        <w:spacing w:after="0" w:line="480"/>
        <w:ind w:firstLine="720"/>
      </w:pPr>
      <w:r>
        <w:rPr>
          <w:rFonts w:ascii="Times New Roman" w:cs="Times New Roman" w:eastAsia="Times New Roman" w:hAnsi="Times New Roman"/>
          <w:sz w:val="24"/>
          <w:szCs w:val="24"/>
        </w:rPr>
        <w:t xml:space="preserve">The technique is cinematic, not clinical. Do not say "the plaintiff suffers from hypervigilance." Say: "She cannot sit in a restaurant with her back to the door. She checks the locks three times before bed. She sleeps with the lights on because darkness takes her back to the isolation room." Do not say "the plaintiff experiences attachment disruption." Say: "He has been married twice and cannot sustain a relationship because the program taught him that the people who say they care about you are the people who will hurt you." Do not say "the plaintiff has diminished earning capacity." Say: "She dropped out of college three times because she cannot sit in a classroom without the walls closing in, and she is thirty-four years old and working a job that pays half of what her intelligence and ambition would have earned if the program had not taken two years of her development and replaced it with trauma."</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Taxonomy of Loss in TTI Cases</w:t>
      </w:r>
    </w:p>
    <w:p>
      <w:pPr>
        <w:spacing w:after="0" w:line="480"/>
      </w:pPr>
    </w:p>
    <w:p>
      <w:pPr>
        <w:spacing w:after="0" w:line="480"/>
      </w:pPr>
      <w:r>
        <w:rPr>
          <w:rFonts w:ascii="Times New Roman" w:cs="Times New Roman" w:eastAsia="Times New Roman" w:hAnsi="Times New Roman"/>
          <w:sz w:val="24"/>
          <w:szCs w:val="24"/>
        </w:rPr>
        <w:t xml:space="preserve">TTI cases produce categories of loss that do not appear in standard personal injury litigation. The following taxonomy is specific to coercive residential programs and should be used to organize your harms-and-losses presentation.</w:t>
      </w:r>
    </w:p>
    <w:p>
      <w:pPr>
        <w:spacing w:after="0" w:before="240" w:line="480"/>
      </w:pPr>
      <w:r>
        <w:rPr>
          <w:rFonts w:ascii="Times New Roman" w:cs="Times New Roman" w:eastAsia="Times New Roman" w:hAnsi="Times New Roman"/>
          <w:b/>
          <w:bCs/>
          <w:i/>
          <w:iCs/>
          <w:sz w:val="24"/>
          <w:szCs w:val="24"/>
        </w:rPr>
        <w:t xml:space="preserve">Developmental Theft</w:t>
      </w:r>
    </w:p>
    <w:p>
      <w:pPr>
        <w:spacing w:after="0" w:line="480"/>
        <w:ind w:firstLine="720"/>
      </w:pPr>
      <w:r>
        <w:rPr>
          <w:rFonts w:ascii="Times New Roman" w:cs="Times New Roman" w:eastAsia="Times New Roman" w:hAnsi="Times New Roman"/>
          <w:sz w:val="24"/>
          <w:szCs w:val="24"/>
        </w:rPr>
        <w:t xml:space="preserve">This is the category most often missed. When a program subjects a young person to coercive control during critical developmental windows—adolescence, early adulthood, formative educational years—it does not merely cause injury. It steals development. The teenager who spent two years in a wilderness program did not just suffer abuse during those two years. They missed two years of normal adolescent development: first relationships, academic growth, social learning, identity formation, the gradual expansion of autonomy that transforms a child into an adult. Those years cannot be given back. The developmental milestones that should have occurred during those years did not occur, and the survivor must now try to reach them—if they can reach them at all—as an adult, carrying the weight of what was done to them during the years they should have been growing.</w:t>
      </w:r>
    </w:p>
    <w:p>
      <w:pPr>
        <w:spacing w:after="0" w:before="240" w:line="480"/>
      </w:pPr>
      <w:r>
        <w:rPr>
          <w:rFonts w:ascii="Times New Roman" w:cs="Times New Roman" w:eastAsia="Times New Roman" w:hAnsi="Times New Roman"/>
          <w:b/>
          <w:bCs/>
          <w:i/>
          <w:iCs/>
          <w:sz w:val="24"/>
          <w:szCs w:val="24"/>
        </w:rPr>
        <w:t xml:space="preserve">Relational Destruction</w:t>
      </w:r>
    </w:p>
    <w:p>
      <w:pPr>
        <w:spacing w:after="0" w:line="480"/>
        <w:ind w:firstLine="720"/>
      </w:pPr>
      <w:r>
        <w:rPr>
          <w:rFonts w:ascii="Times New Roman" w:cs="Times New Roman" w:eastAsia="Times New Roman" w:hAnsi="Times New Roman"/>
          <w:sz w:val="24"/>
          <w:szCs w:val="24"/>
        </w:rPr>
        <w:t xml:space="preserve">TTI programs, particularly those operating the BITE model of coercive control, systematically destroy the survivor's capacity for healthy relationships. The program taught them that authority figures are dangerous, that intimacy is a weapon, that trust leads to exploitation, and that vulnerability is punished. These lessons do not end when the survivor leaves. They are carried into every subsequent relationship—with partners, children, friends, employers, therapists. The survivor who cannot sustain a marriage because the program destroyed their capacity to trust is not experiencing a personality defect. They are living the ongoing consequence of what was done to them.</w:t>
      </w:r>
    </w:p>
    <w:p>
      <w:pPr>
        <w:spacing w:after="0" w:before="240" w:line="480"/>
      </w:pPr>
      <w:r>
        <w:rPr>
          <w:rFonts w:ascii="Times New Roman" w:cs="Times New Roman" w:eastAsia="Times New Roman" w:hAnsi="Times New Roman"/>
          <w:b/>
          <w:bCs/>
          <w:i/>
          <w:iCs/>
          <w:sz w:val="24"/>
          <w:szCs w:val="24"/>
        </w:rPr>
        <w:t xml:space="preserve">Identity Corruption</w:t>
      </w:r>
    </w:p>
    <w:p>
      <w:pPr>
        <w:spacing w:after="0" w:line="480"/>
        <w:ind w:firstLine="720"/>
      </w:pPr>
      <w:r>
        <w:rPr>
          <w:rFonts w:ascii="Times New Roman" w:cs="Times New Roman" w:eastAsia="Times New Roman" w:hAnsi="Times New Roman"/>
          <w:sz w:val="24"/>
          <w:szCs w:val="24"/>
        </w:rPr>
        <w:t xml:space="preserve">Coercive programs attack the survivor's sense of self. They tell the survivor that they are broken, sick, defective, or unworthy. They strip away personal belongings, connections to prior identity, and the right to emotional expression. They replace the authentic self with a compliant self—a version of the person shaped by the program's demands rather than by the person's own nature. The survivor who leaves does not simply recover their former identity. The former identity was interrupted during formation. What remains is a hybrid: part authentic self, part institutional construction, part trauma response. The work of therapy is not to heal a wound. It is to excavate a buried self and help it grow in soil that was poisoned by the program.</w:t>
      </w:r>
    </w:p>
    <w:p>
      <w:pPr>
        <w:spacing w:after="0" w:before="240" w:line="480"/>
      </w:pPr>
      <w:r>
        <w:rPr>
          <w:rFonts w:ascii="Times New Roman" w:cs="Times New Roman" w:eastAsia="Times New Roman" w:hAnsi="Times New Roman"/>
          <w:b/>
          <w:bCs/>
          <w:i/>
          <w:iCs/>
          <w:sz w:val="24"/>
          <w:szCs w:val="24"/>
        </w:rPr>
        <w:t xml:space="preserve">Economic Cascade</w:t>
      </w:r>
    </w:p>
    <w:p>
      <w:pPr>
        <w:spacing w:after="0" w:line="480"/>
        <w:ind w:firstLine="720"/>
      </w:pPr>
      <w:r>
        <w:rPr>
          <w:rFonts w:ascii="Times New Roman" w:cs="Times New Roman" w:eastAsia="Times New Roman" w:hAnsi="Times New Roman"/>
          <w:sz w:val="24"/>
          <w:szCs w:val="24"/>
        </w:rPr>
        <w:t xml:space="preserve">The economic damages in TTI cases are not limited to medical bills and lost wages. They cascade. The developmental theft produces educational disruption, which produces diminished earning capacity, which produces economic instability, which produces housing insecurity, which produces stress, which exacerbates the psychological injuries, which produces more treatment costs. The cascade is not linear. It is exponential. A survivor who was institutionalized at fifteen and emerged at seventeen without a high school diploma does not just lose two years of education. They lose the trajectory that education would have produced—the college degree, the career, the earning capacity, the financial stability, the ability to provide for a family.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Emotional Vocabulary of Damages</w:t>
      </w:r>
    </w:p>
    <w:p>
      <w:pPr>
        <w:spacing w:after="0" w:line="480"/>
      </w:pPr>
    </w:p>
    <w:p>
      <w:pPr>
        <w:spacing w:after="0" w:line="480"/>
      </w:pPr>
      <w:r>
        <w:rPr>
          <w:rFonts w:ascii="Times New Roman" w:cs="Times New Roman" w:eastAsia="Times New Roman" w:hAnsi="Times New Roman"/>
          <w:sz w:val="24"/>
          <w:szCs w:val="24"/>
        </w:rPr>
        <w:t xml:space="preserve">Lawyers and experts routinely use imprecise language that fails to communicate the survivor's actual experience. A survivor who says they "feel bad" is describing a universe of possible emotional states. A survivor who says they feel </w:t>
      </w:r>
      <w:r>
        <w:rPr>
          <w:rFonts w:ascii="Times New Roman" w:cs="Times New Roman" w:eastAsia="Times New Roman" w:hAnsi="Times New Roman"/>
          <w:i/>
          <w:iCs/>
          <w:sz w:val="24"/>
          <w:szCs w:val="24"/>
        </w:rPr>
        <w:t xml:space="preserve">shame</w:t>
      </w:r>
      <w:r>
        <w:rPr>
          <w:rFonts w:ascii="Times New Roman" w:cs="Times New Roman" w:eastAsia="Times New Roman" w:hAnsi="Times New Roman"/>
          <w:sz w:val="24"/>
          <w:szCs w:val="24"/>
        </w:rPr>
        <w:t xml:space="preserve">—the intensely painful feeling that they are fundamentally flawed and therefore unworthy of love and belonging—is describing something specific, recognizable, and devastating.</w:t>
      </w:r>
    </w:p>
    <w:p>
      <w:pPr>
        <w:spacing w:after="0" w:line="480"/>
        <w:ind w:firstLine="720"/>
      </w:pPr>
      <w:r>
        <w:rPr>
          <w:rFonts w:ascii="Times New Roman" w:cs="Times New Roman" w:eastAsia="Times New Roman" w:hAnsi="Times New Roman"/>
          <w:sz w:val="24"/>
          <w:szCs w:val="24"/>
        </w:rPr>
        <w:t xml:space="preserve">The distinction matters in the courtroom because juries respond to precision. A damages presentation that says "the plaintiff suffers emotionally" is vague and forgettable. A damages presentation that identifies shame, betrayal, despair, moral injury, and numbness—and defines each in terms of how the program produced it—is specific, powerful, and impossible to dismiss.</w:t>
      </w:r>
    </w:p>
    <w:p>
      <w:pPr>
        <w:spacing w:after="0" w:before="240" w:line="480"/>
      </w:pPr>
      <w:r>
        <w:rPr>
          <w:rFonts w:ascii="Times New Roman" w:cs="Times New Roman" w:eastAsia="Times New Roman" w:hAnsi="Times New Roman"/>
          <w:b/>
          <w:bCs/>
          <w:i/>
          <w:iCs/>
          <w:sz w:val="24"/>
          <w:szCs w:val="24"/>
        </w:rPr>
        <w:t xml:space="preserve">Shame Versus Guilt</w:t>
      </w:r>
    </w:p>
    <w:p>
      <w:pPr>
        <w:spacing w:after="0" w:line="480"/>
        <w:ind w:firstLine="720"/>
      </w:pPr>
      <w:r>
        <w:rPr>
          <w:rFonts w:ascii="Times New Roman" w:cs="Times New Roman" w:eastAsia="Times New Roman" w:hAnsi="Times New Roman"/>
          <w:sz w:val="24"/>
          <w:szCs w:val="24"/>
        </w:rPr>
        <w:t xml:space="preserve">Guilt is the feeling that "I did something bad." Shame is the feeling that "I am bad." Guilt is about behavior. Shame is about identity. TTI programs produce shame, not guilt, because the program's coercive system was designed to attack the survivor's identity—to tell them they were broken and defective, and that the program's control was necessary because they could not be trusted. Shame is structural and identity-level. It does not resolve through amends because it is not about what you did. It is about who you believe you are. A jury that understands the difference understands why this survivor's therapy will take years, not months.</w:t>
      </w:r>
    </w:p>
    <w:p>
      <w:pPr>
        <w:spacing w:after="0" w:before="240" w:line="480"/>
      </w:pPr>
      <w:r>
        <w:rPr>
          <w:rFonts w:ascii="Times New Roman" w:cs="Times New Roman" w:eastAsia="Times New Roman" w:hAnsi="Times New Roman"/>
          <w:b/>
          <w:bCs/>
          <w:i/>
          <w:iCs/>
          <w:sz w:val="24"/>
          <w:szCs w:val="24"/>
        </w:rPr>
        <w:t xml:space="preserve">The Vulnerability Paradox</w:t>
      </w:r>
    </w:p>
    <w:p>
      <w:pPr>
        <w:spacing w:after="0" w:line="480"/>
        <w:ind w:firstLine="720"/>
      </w:pPr>
      <w:r>
        <w:rPr>
          <w:rFonts w:ascii="Times New Roman" w:cs="Times New Roman" w:eastAsia="Times New Roman" w:hAnsi="Times New Roman"/>
          <w:sz w:val="24"/>
          <w:szCs w:val="24"/>
        </w:rPr>
        <w:t xml:space="preserve">Every element of the BITE model—behavior control, information control, thought control, emotional control—is designed to exploit and then suppress vulnerability. The program taught the survivor that vulnerability leads to pain, exploitation, and punishment. The survivor learned the lesson. And now they carry it into every aspect of their life. The paradox is this: the survivor cannot access the experiences that would help them heal—love, belonging, joy, trust—without being vulnerable. But the program trained them to believe that vulnerability is the thing that will destroy them. They are trapped between the need to be open and the terror of opening. The program did not just cause pain. It disabled the mechanism by which pain is healed.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Structuring the Damages Presentation</w:t>
      </w:r>
    </w:p>
    <w:p>
      <w:pPr>
        <w:spacing w:after="0" w:line="480"/>
      </w:pPr>
    </w:p>
    <w:p>
      <w:pPr>
        <w:spacing w:after="0" w:line="480"/>
      </w:pPr>
      <w:r>
        <w:rPr>
          <w:rFonts w:ascii="Times New Roman" w:cs="Times New Roman" w:eastAsia="Times New Roman" w:hAnsi="Times New Roman"/>
          <w:sz w:val="24"/>
          <w:szCs w:val="24"/>
        </w:rPr>
        <w:t xml:space="preserve">If you present the numbers before the jury understands the losses, the numbers will feel arbitrary. If you present the losses without anchoring them to measurable values, the jury will feel sympathy without knowing what to do with it. The sequence is: life before, what was taken, life after, what it costs, what it is worth.</w:t>
      </w:r>
    </w:p>
    <w:p>
      <w:pPr>
        <w:spacing w:after="0" w:before="240" w:line="480"/>
      </w:pPr>
      <w:r>
        <w:rPr>
          <w:rFonts w:ascii="Times New Roman" w:cs="Times New Roman" w:eastAsia="Times New Roman" w:hAnsi="Times New Roman"/>
          <w:b/>
          <w:bCs/>
          <w:i/>
          <w:iCs/>
          <w:sz w:val="24"/>
          <w:szCs w:val="24"/>
        </w:rPr>
        <w:t xml:space="preserve">Life Before: The Person Who Should Have Been</w:t>
      </w:r>
    </w:p>
    <w:p>
      <w:pPr>
        <w:spacing w:after="0" w:line="480"/>
        <w:ind w:firstLine="720"/>
      </w:pPr>
      <w:r>
        <w:rPr>
          <w:rFonts w:ascii="Times New Roman" w:cs="Times New Roman" w:eastAsia="Times New Roman" w:hAnsi="Times New Roman"/>
          <w:sz w:val="24"/>
          <w:szCs w:val="24"/>
        </w:rPr>
        <w:t xml:space="preserve">Before you can show the jury what was lost, you must show them what existed. This is the most neglected phase of most damages presentations. Lawyers leap to the abuse, eager to generate outrage. But outrage without context is diffuse. The jury needs to see the person before the program—the child who loved drawing, the teenager who wanted to be a veterinarian, the kid who was struggling but improving. These details are not sentimental filler. They are the baseline against which the jury will measure everything that follows.</w:t>
      </w:r>
    </w:p>
    <w:p>
      <w:pPr>
        <w:spacing w:after="0" w:line="480"/>
        <w:ind w:firstLine="720"/>
      </w:pPr>
      <w:r>
        <w:rPr>
          <w:rFonts w:ascii="Times New Roman" w:cs="Times New Roman" w:eastAsia="Times New Roman" w:hAnsi="Times New Roman"/>
          <w:sz w:val="24"/>
          <w:szCs w:val="24"/>
        </w:rPr>
        <w:t xml:space="preserve">The goal is not to idealize the plaintiff. Every defense lawyer will point out that the plaintiff was not perfect before the program. The goal is to establish </w:t>
      </w:r>
      <w:r>
        <w:rPr>
          <w:rFonts w:ascii="Times New Roman" w:cs="Times New Roman" w:eastAsia="Times New Roman" w:hAnsi="Times New Roman"/>
          <w:i/>
          <w:iCs/>
          <w:sz w:val="24"/>
          <w:szCs w:val="24"/>
        </w:rPr>
        <w:t xml:space="preserve">trajectory</w:t>
      </w:r>
      <w:r>
        <w:rPr>
          <w:rFonts w:ascii="Times New Roman" w:cs="Times New Roman" w:eastAsia="Times New Roman" w:hAnsi="Times New Roman"/>
          <w:sz w:val="24"/>
          <w:szCs w:val="24"/>
        </w:rPr>
        <w:t xml:space="preserve">—to show the jury the direction the person's life was heading before the program intervened and diverted it. A teenager with behavioral problems who was on an improving trajectory—grades going up, fewer incidents, engagement with a therapist—was a person who was growing. The program did not accelerate that growth. It arrested it and replaced it with coercive control.</w:t>
      </w:r>
    </w:p>
    <w:p>
      <w:pPr>
        <w:spacing w:after="0" w:before="240" w:line="480"/>
      </w:pPr>
      <w:r>
        <w:rPr>
          <w:rFonts w:ascii="Times New Roman" w:cs="Times New Roman" w:eastAsia="Times New Roman" w:hAnsi="Times New Roman"/>
          <w:b/>
          <w:bCs/>
          <w:i/>
          <w:iCs/>
          <w:sz w:val="24"/>
          <w:szCs w:val="24"/>
        </w:rPr>
        <w:t xml:space="preserve">What Was Taken: The Harms-and-Losses Narrative</w:t>
      </w:r>
    </w:p>
    <w:p>
      <w:pPr>
        <w:spacing w:after="0" w:line="480"/>
        <w:ind w:firstLine="720"/>
      </w:pPr>
      <w:r>
        <w:rPr>
          <w:rFonts w:ascii="Times New Roman" w:cs="Times New Roman" w:eastAsia="Times New Roman" w:hAnsi="Times New Roman"/>
          <w:sz w:val="24"/>
          <w:szCs w:val="24"/>
        </w:rPr>
        <w:t xml:space="preserve">This is the emotional core of the damages presentation. Using the taxonomy above, walk the jury through every category of loss. For each category, provide specific, concrete, sensory examples drawn from the survivor's own experience. Each moment is a separate harm. Each harm is a separate loss. When you present them individually, with specificity and weight, the jury begins to see the full scope of what was done. The list grows long. That is the point. The program did not cause one injury. It caused hundreds—a web of interconnected harms that touch every aspect of the survivor's daily life. The length of the list is itself evidence of the magnitude of the damage.</w:t>
      </w:r>
    </w:p>
    <w:p>
      <w:pPr>
        <w:spacing w:after="0" w:before="240" w:line="480"/>
      </w:pPr>
      <w:r>
        <w:rPr>
          <w:rFonts w:ascii="Times New Roman" w:cs="Times New Roman" w:eastAsia="Times New Roman" w:hAnsi="Times New Roman"/>
          <w:b/>
          <w:bCs/>
          <w:i/>
          <w:iCs/>
          <w:sz w:val="24"/>
          <w:szCs w:val="24"/>
        </w:rPr>
        <w:t xml:space="preserve">Life After: The Ongoing Cost</w:t>
      </w:r>
    </w:p>
    <w:p>
      <w:pPr>
        <w:spacing w:after="0" w:line="480"/>
        <w:ind w:firstLine="720"/>
      </w:pPr>
      <w:r>
        <w:rPr>
          <w:rFonts w:ascii="Times New Roman" w:cs="Times New Roman" w:eastAsia="Times New Roman" w:hAnsi="Times New Roman"/>
          <w:sz w:val="24"/>
          <w:szCs w:val="24"/>
        </w:rPr>
        <w:t xml:space="preserve">The damages in TTI cases are not historical. They are ongoing. Present this phase through three lenses. The </w:t>
      </w:r>
      <w:r>
        <w:rPr>
          <w:rFonts w:ascii="Times New Roman" w:cs="Times New Roman" w:eastAsia="Times New Roman" w:hAnsi="Times New Roman"/>
          <w:i/>
          <w:iCs/>
          <w:sz w:val="24"/>
          <w:szCs w:val="24"/>
        </w:rPr>
        <w:t xml:space="preserve">clinical lens</w:t>
      </w:r>
      <w:r>
        <w:rPr>
          <w:rFonts w:ascii="Times New Roman" w:cs="Times New Roman" w:eastAsia="Times New Roman" w:hAnsi="Times New Roman"/>
          <w:sz w:val="24"/>
          <w:szCs w:val="24"/>
        </w:rPr>
        <w:t xml:space="preserve">: what does the survivor's treatment look like? How often do they see a therapist? What medications do they take? What is the realistic prognosis? The </w:t>
      </w:r>
      <w:r>
        <w:rPr>
          <w:rFonts w:ascii="Times New Roman" w:cs="Times New Roman" w:eastAsia="Times New Roman" w:hAnsi="Times New Roman"/>
          <w:i/>
          <w:iCs/>
          <w:sz w:val="24"/>
          <w:szCs w:val="24"/>
        </w:rPr>
        <w:t xml:space="preserve">daily lens</w:t>
      </w:r>
      <w:r>
        <w:rPr>
          <w:rFonts w:ascii="Times New Roman" w:cs="Times New Roman" w:eastAsia="Times New Roman" w:hAnsi="Times New Roman"/>
          <w:sz w:val="24"/>
          <w:szCs w:val="24"/>
        </w:rPr>
        <w:t xml:space="preserve">: what does a typical day look like? Walk the jury through the morning routine, the work day, the evening, the night. Let them see the hypervigilance, the avoidance, the effort it takes to do what other people do without thinking. The </w:t>
      </w:r>
      <w:r>
        <w:rPr>
          <w:rFonts w:ascii="Times New Roman" w:cs="Times New Roman" w:eastAsia="Times New Roman" w:hAnsi="Times New Roman"/>
          <w:i/>
          <w:iCs/>
          <w:sz w:val="24"/>
          <w:szCs w:val="24"/>
        </w:rPr>
        <w:t xml:space="preserve">relational lens</w:t>
      </w:r>
      <w:r>
        <w:rPr>
          <w:rFonts w:ascii="Times New Roman" w:cs="Times New Roman" w:eastAsia="Times New Roman" w:hAnsi="Times New Roman"/>
          <w:sz w:val="24"/>
          <w:szCs w:val="24"/>
        </w:rPr>
        <w:t xml:space="preserve">: how has the program experience affected relationships with partners, children, parents, friends? Family members provide this testimony, and it is often the most powerful evidence because it shows the jury that the harm radiates outward, affecting everyone in the survivor's life.</w:t>
      </w:r>
    </w:p>
    <w:p>
      <w:pPr>
        <w:spacing w:after="0" w:before="240" w:line="480"/>
      </w:pPr>
      <w:r>
        <w:rPr>
          <w:rFonts w:ascii="Times New Roman" w:cs="Times New Roman" w:eastAsia="Times New Roman" w:hAnsi="Times New Roman"/>
          <w:b/>
          <w:bCs/>
          <w:i/>
          <w:iCs/>
          <w:sz w:val="24"/>
          <w:szCs w:val="24"/>
        </w:rPr>
        <w:t xml:space="preserve">What It Costs: The Economic Foundation</w:t>
      </w:r>
    </w:p>
    <w:p>
      <w:pPr>
        <w:spacing w:after="0" w:line="480"/>
        <w:ind w:firstLine="720"/>
      </w:pPr>
      <w:r>
        <w:rPr>
          <w:rFonts w:ascii="Times New Roman" w:cs="Times New Roman" w:eastAsia="Times New Roman" w:hAnsi="Times New Roman"/>
          <w:sz w:val="24"/>
          <w:szCs w:val="24"/>
        </w:rPr>
        <w:t xml:space="preserve">The economic damages must be presented with precision, even though the noneconomic damages will drive the verdict. An economist or life care planner covers past and future medical expenses, lost earnings and diminished earning capacity, future care costs, and economic cascade effects. Present the economic damages in a timeline format that shows the jury how costs accumulate over the survivor's lifetime. A jury that sees a single number—$2.4 million in future therapy costs—may balk at the magnitude. A jury that sees $1,200 per week for forty years understands what they are looking at: the weekly cost of managing an injury that the program created and that will never fully resolve.</w:t>
      </w:r>
    </w:p>
    <w:p>
      <w:pPr>
        <w:spacing w:after="0" w:before="240" w:line="480"/>
      </w:pPr>
      <w:r>
        <w:rPr>
          <w:rFonts w:ascii="Times New Roman" w:cs="Times New Roman" w:eastAsia="Times New Roman" w:hAnsi="Times New Roman"/>
          <w:b/>
          <w:bCs/>
          <w:i/>
          <w:iCs/>
          <w:sz w:val="24"/>
          <w:szCs w:val="24"/>
        </w:rPr>
        <w:t xml:space="preserve">What It Is Worth: The Noneconomic Damages Conversation</w:t>
      </w:r>
    </w:p>
    <w:p>
      <w:pPr>
        <w:spacing w:after="0" w:line="480"/>
        <w:ind w:firstLine="720"/>
      </w:pPr>
      <w:r>
        <w:rPr>
          <w:rFonts w:ascii="Times New Roman" w:cs="Times New Roman" w:eastAsia="Times New Roman" w:hAnsi="Times New Roman"/>
          <w:sz w:val="24"/>
          <w:szCs w:val="24"/>
        </w:rPr>
        <w:t xml:space="preserve">This is where most lawyers fail. They present noneconomic damages as a feeling rather than a calculation—an appeal to sympathy with no analytical structure. The jury is left to guess. And juries that guess produce inconsistent and often inadequate verdicts.</w:t>
      </w:r>
    </w:p>
    <w:p>
      <w:pPr>
        <w:spacing w:after="0" w:line="480"/>
        <w:ind w:firstLine="720"/>
      </w:pPr>
      <w:r>
        <w:rPr>
          <w:rFonts w:ascii="Times New Roman" w:cs="Times New Roman" w:eastAsia="Times New Roman" w:hAnsi="Times New Roman"/>
          <w:sz w:val="24"/>
          <w:szCs w:val="24"/>
        </w:rPr>
        <w:t xml:space="preserve">Use a three-part approach. First, anchor the conversation in the harms-and-losses list. Go back through the list and ask the jury to assign a value to each category of loss. "What is it worth to lose the ability to trust another human being? What is it worth to lose two years of your adolescence? I am not asking what you feel about it. I am asking what it is worth—because that is the question the verdict form asks you to answer."</w:t>
      </w:r>
    </w:p>
    <w:p>
      <w:pPr>
        <w:spacing w:after="0" w:line="480"/>
        <w:ind w:firstLine="720"/>
      </w:pPr>
      <w:r>
        <w:rPr>
          <w:rFonts w:ascii="Times New Roman" w:cs="Times New Roman" w:eastAsia="Times New Roman" w:hAnsi="Times New Roman"/>
          <w:sz w:val="24"/>
          <w:szCs w:val="24"/>
        </w:rPr>
        <w:t xml:space="preserve">Second, use a per-diem framework to make large numbers comprehensible. The jury that hears "five million dollars for pain and suffering" cannot process the number. The jury that hears "twenty-five dollars an hour for the twenty-four hours a day, seven days a week, for the next forty years that this person will live with what was done to her" can process it—and can do the math. The per-diem approach transforms an abstract number into a rate. And rates are something jurors deal with every day.</w:t>
      </w:r>
    </w:p>
    <w:p>
      <w:pPr>
        <w:spacing w:after="0" w:line="480"/>
        <w:ind w:firstLine="720"/>
      </w:pPr>
      <w:r>
        <w:rPr>
          <w:rFonts w:ascii="Times New Roman" w:cs="Times New Roman" w:eastAsia="Times New Roman" w:hAnsi="Times New Roman"/>
          <w:sz w:val="24"/>
          <w:szCs w:val="24"/>
        </w:rPr>
        <w:t xml:space="preserve">Third, connect the noneconomic damages to the villain narrative from Chapter 16. The damages are not charity. They are accountability. The program created a system that produced these harms. The damages measure the system's output. If the number is large, it is because the harm is large. If the harm is large, it is because the system was designed to produce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Punitive Damages in TTI Cases</w:t>
      </w:r>
    </w:p>
    <w:p>
      <w:pPr>
        <w:spacing w:after="0" w:line="480"/>
      </w:pPr>
    </w:p>
    <w:p>
      <w:pPr>
        <w:spacing w:after="0" w:line="480"/>
      </w:pPr>
      <w:r>
        <w:rPr>
          <w:rFonts w:ascii="Times New Roman" w:cs="Times New Roman" w:eastAsia="Times New Roman" w:hAnsi="Times New Roman"/>
          <w:sz w:val="24"/>
          <w:szCs w:val="24"/>
        </w:rPr>
        <w:t xml:space="preserve">TTI cases are natural candidates for punitive damages because the conduct at issue is not mere negligence. It is a system of coercive control operated by an organization that knew, or should have known, that the system was causing harm.</w:t>
      </w:r>
    </w:p>
    <w:p>
      <w:pPr>
        <w:spacing w:after="0" w:line="480"/>
        <w:ind w:firstLine="720"/>
      </w:pPr>
      <w:r>
        <w:rPr>
          <w:rFonts w:ascii="Times New Roman" w:cs="Times New Roman" w:eastAsia="Times New Roman" w:hAnsi="Times New Roman"/>
          <w:sz w:val="24"/>
          <w:szCs w:val="24"/>
        </w:rPr>
        <w:t xml:space="preserve">The punitive damages presentation focuses on three elements. First, </w:t>
      </w:r>
      <w:r>
        <w:rPr>
          <w:rFonts w:ascii="Times New Roman" w:cs="Times New Roman" w:eastAsia="Times New Roman" w:hAnsi="Times New Roman"/>
          <w:i/>
          <w:iCs/>
          <w:sz w:val="24"/>
          <w:szCs w:val="24"/>
        </w:rPr>
        <w:t xml:space="preserve">knowledge</w:t>
      </w:r>
      <w:r>
        <w:rPr>
          <w:rFonts w:ascii="Times New Roman" w:cs="Times New Roman" w:eastAsia="Times New Roman" w:hAnsi="Times New Roman"/>
          <w:sz w:val="24"/>
          <w:szCs w:val="24"/>
        </w:rPr>
        <w:t xml:space="preserve">: what did the program know, when did it know it, and what did it do about it? The documents from your BITE-mapped discovery (Chapter 12) will show prior complaints, incident reports, employee grievances, regulatory findings, and internal communications demonstrating the program was aware of the harm its system was producing. Second, </w:t>
      </w:r>
      <w:r>
        <w:rPr>
          <w:rFonts w:ascii="Times New Roman" w:cs="Times New Roman" w:eastAsia="Times New Roman" w:hAnsi="Times New Roman"/>
          <w:i/>
          <w:iCs/>
          <w:sz w:val="24"/>
          <w:szCs w:val="24"/>
        </w:rPr>
        <w:t xml:space="preserve">concealment</w:t>
      </w:r>
      <w:r>
        <w:rPr>
          <w:rFonts w:ascii="Times New Roman" w:cs="Times New Roman" w:eastAsia="Times New Roman" w:hAnsi="Times New Roman"/>
          <w:sz w:val="24"/>
          <w:szCs w:val="24"/>
        </w:rPr>
        <w:t xml:space="preserve">: what steps did the program take to hide the harm from regulators and parents? Concealment evidence is devastating because it proves consciousness of guilt. Third, </w:t>
      </w:r>
      <w:r>
        <w:rPr>
          <w:rFonts w:ascii="Times New Roman" w:cs="Times New Roman" w:eastAsia="Times New Roman" w:hAnsi="Times New Roman"/>
          <w:i/>
          <w:iCs/>
          <w:sz w:val="24"/>
          <w:szCs w:val="24"/>
        </w:rPr>
        <w:t xml:space="preserve">financial capacity</w:t>
      </w:r>
      <w:r>
        <w:rPr>
          <w:rFonts w:ascii="Times New Roman" w:cs="Times New Roman" w:eastAsia="Times New Roman" w:hAnsi="Times New Roman"/>
          <w:sz w:val="24"/>
          <w:szCs w:val="24"/>
        </w:rPr>
        <w:t xml:space="preserve">: how much money does the program or its corporate parent have, and how much would it take to actually deter the conduct? A punitive award the program can absorb without changing is not punishment. It is a cost of doing business. The award must be large enough to change the calculation.</w:t>
      </w:r>
    </w:p>
    <w:p>
      <w:pPr>
        <w:spacing w:after="0" w:line="480"/>
        <w:ind w:firstLine="720"/>
      </w:pPr>
      <w:r>
        <w:rPr>
          <w:rFonts w:ascii="Times New Roman" w:cs="Times New Roman" w:eastAsia="Times New Roman" w:hAnsi="Times New Roman"/>
          <w:sz w:val="24"/>
          <w:szCs w:val="24"/>
        </w:rPr>
        <w:t xml:space="preserve">In the StoryBrand framework from Chapter 16, punitive damages are the villain's reckoning. The compensatory damages measure what was taken from the survivor. The punitive damages measure the cost of the system that took it. They are the price of operating a coercive machine—and the jury must understand that if the price is not high enough, the machine continues to run.</w:t>
      </w:r>
    </w:p>
    <w:p>
      <w:pPr>
        <w:spacing w:after="0" w:line="480"/>
        <w:ind w:firstLine="720"/>
      </w:pPr>
      <w:r>
        <w:rPr>
          <w:rFonts w:ascii="Times New Roman" w:cs="Times New Roman" w:eastAsia="Times New Roman" w:hAnsi="Times New Roman"/>
          <w:sz w:val="24"/>
          <w:szCs w:val="24"/>
        </w:rPr>
        <w:t xml:space="preserve">But punitive damages in TTI cases serve a function beyond individual deterrence. As Sean Simpson argues in </w:t>
      </w:r>
      <w:r>
        <w:rPr>
          <w:rFonts w:ascii="Times New Roman" w:cs="Times New Roman" w:eastAsia="Times New Roman" w:hAnsi="Times New Roman"/>
          <w:i/>
          <w:iCs/>
          <w:sz w:val="24"/>
          <w:szCs w:val="24"/>
        </w:rPr>
        <w:t xml:space="preserve">Punitive Damages: The Lawyer's Tool for Shaping Society</w:t>
      </w:r>
      <w:r>
        <w:rPr>
          <w:rFonts w:ascii="Times New Roman" w:cs="Times New Roman" w:eastAsia="Times New Roman" w:hAnsi="Times New Roman"/>
          <w:sz w:val="24"/>
          <w:szCs w:val="24"/>
        </w:rPr>
        <w:t xml:space="preserve">, punitive awards are the primary mechanism through which the civil justice system drives institutional reform in industries that are not adequately regulated. In an industry where regulatory oversight is fragmented, under-funded, and often captured by the programs it is supposed to regulate, punitive damages become the market signal that forces change. Frame your punitives argument not merely as punishment for this defendant but as the economic force that will alter the industry's cost-benefit calculation. When the cost of operating a coercive system exceeds the revenue it generates, programs reform or close. Punitive damages are the mechanism that makes abuse economically irrational—and in the TTI, where regulation has failed to do so, the civil justice system is the only institution with the power to set that price.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Defeating the Defense's Damages Strategy</w:t>
      </w:r>
    </w:p>
    <w:p>
      <w:pPr>
        <w:spacing w:after="0" w:line="480"/>
      </w:pPr>
    </w:p>
    <w:p>
      <w:pPr>
        <w:spacing w:after="0" w:line="480"/>
      </w:pPr>
      <w:r>
        <w:rPr>
          <w:rFonts w:ascii="Times New Roman" w:cs="Times New Roman" w:eastAsia="Times New Roman" w:hAnsi="Times New Roman"/>
          <w:sz w:val="24"/>
          <w:szCs w:val="24"/>
        </w:rPr>
        <w:t xml:space="preserve">The defense's damages strategy in TTI cases is predictable. Understanding the playbook allows you to inoculate against it during your case-in-chief and demolish it during rebuttal.</w:t>
      </w:r>
    </w:p>
    <w:p>
      <w:pPr>
        <w:spacing w:after="0" w:before="240" w:line="480"/>
      </w:pPr>
      <w:r>
        <w:rPr>
          <w:rFonts w:ascii="Times New Roman" w:cs="Times New Roman" w:eastAsia="Times New Roman" w:hAnsi="Times New Roman"/>
          <w:b/>
          <w:bCs/>
          <w:i/>
          <w:iCs/>
          <w:sz w:val="24"/>
          <w:szCs w:val="24"/>
        </w:rPr>
        <w:t xml:space="preserve">The Pre-Existing Condition Argument</w:t>
      </w:r>
    </w:p>
    <w:p>
      <w:pPr>
        <w:spacing w:after="0" w:line="480"/>
        <w:ind w:firstLine="720"/>
      </w:pPr>
      <w:r>
        <w:rPr>
          <w:rFonts w:ascii="Times New Roman" w:cs="Times New Roman" w:eastAsia="Times New Roman" w:hAnsi="Times New Roman"/>
          <w:sz w:val="24"/>
          <w:szCs w:val="24"/>
        </w:rPr>
        <w:t xml:space="preserve">The defense will argue that the plaintiff was already troubled before the program. The teenager already had behavioral problems, depression, family dysfunction. The argument is effective because it contains a kernel of truth—many TTI survivors did have genuine challenges before enrollment. The eggshell plaintiff doctrine is your first line of defense: you take the plaintiff as you find them. But the more powerful response is to reframe: the program did not inherit a pre-existing condition. The program </w:t>
      </w:r>
      <w:r>
        <w:rPr>
          <w:rFonts w:ascii="Times New Roman" w:cs="Times New Roman" w:eastAsia="Times New Roman" w:hAnsi="Times New Roman"/>
          <w:i/>
          <w:iCs/>
          <w:sz w:val="24"/>
          <w:szCs w:val="24"/>
        </w:rPr>
        <w:t xml:space="preserve">targeted</w:t>
      </w:r>
      <w:r>
        <w:rPr>
          <w:rFonts w:ascii="Times New Roman" w:cs="Times New Roman" w:eastAsia="Times New Roman" w:hAnsi="Times New Roman"/>
          <w:sz w:val="24"/>
          <w:szCs w:val="24"/>
        </w:rPr>
        <w:t xml:space="preserve"> a pre-existing vulnerability. The troubled teenager was the program's customer—the person the program marketed its services to, charged thousands per month for, and promised to help. The program does not get to profit from vulnerability and then use that vulnerability as a defense.</w:t>
      </w:r>
    </w:p>
    <w:p>
      <w:pPr>
        <w:spacing w:after="0" w:before="240" w:line="480"/>
      </w:pPr>
      <w:r>
        <w:rPr>
          <w:rFonts w:ascii="Times New Roman" w:cs="Times New Roman" w:eastAsia="Times New Roman" w:hAnsi="Times New Roman"/>
          <w:b/>
          <w:bCs/>
          <w:i/>
          <w:iCs/>
          <w:sz w:val="24"/>
          <w:szCs w:val="24"/>
        </w:rPr>
        <w:t xml:space="preserve">The Plaintiff Would Have Struggled Anyway</w:t>
      </w:r>
    </w:p>
    <w:p>
      <w:pPr>
        <w:spacing w:after="0" w:line="480"/>
        <w:ind w:firstLine="720"/>
      </w:pPr>
      <w:r>
        <w:rPr>
          <w:rFonts w:ascii="Times New Roman" w:cs="Times New Roman" w:eastAsia="Times New Roman" w:hAnsi="Times New Roman"/>
          <w:sz w:val="24"/>
          <w:szCs w:val="24"/>
        </w:rPr>
        <w:t xml:space="preserve">The defense will argue that the plaintiff's current difficulties are the natural consequence of their pre-program circumstances. Defeat this with trajectory evidence—the evidence you assembled during the "life before" phase showing the plaintiff was on an improving trajectory that the program interrupted. Also defeat it with specificity: the harms-and-losses list should include harms specifically attributable to the program. The survivor who cannot sleep because they hear footsteps is not experiencing generalized anxiety. They are experiencing a specific trauma response to a specific institutional practice. The defense cannot explain away a symptom that maps directly to the program's conduct.</w:t>
      </w:r>
    </w:p>
    <w:p>
      <w:pPr>
        <w:spacing w:after="0" w:before="240" w:line="480"/>
      </w:pPr>
      <w:r>
        <w:rPr>
          <w:rFonts w:ascii="Times New Roman" w:cs="Times New Roman" w:eastAsia="Times New Roman" w:hAnsi="Times New Roman"/>
          <w:b/>
          <w:bCs/>
          <w:i/>
          <w:iCs/>
          <w:sz w:val="24"/>
          <w:szCs w:val="24"/>
        </w:rPr>
        <w:t xml:space="preserve">The Plaintiff Is Not Trying to Get Better</w:t>
      </w:r>
    </w:p>
    <w:p>
      <w:pPr>
        <w:spacing w:after="0" w:line="480"/>
        <w:ind w:firstLine="720"/>
      </w:pPr>
      <w:r>
        <w:rPr>
          <w:rFonts w:ascii="Times New Roman" w:cs="Times New Roman" w:eastAsia="Times New Roman" w:hAnsi="Times New Roman"/>
          <w:sz w:val="24"/>
          <w:szCs w:val="24"/>
        </w:rPr>
        <w:t xml:space="preserve">The defense will argue failure to mitigate—that the survivor has not pursued treatment, has dropped out of therapy, has engaged in self-destructive behavior. This argument is especially pernicious in TTI cases because the very injuries caused by the program—distrust of authority, avoidance of vulnerability, resistance to help—are the injuries that prevent full treatment engagement. The program taught the survivor that the people who say they want to help are the people who will hurt you. Your expert must explain this dynamic: the failure to engage in treatment is not evidence of unwillingness to recover. It is evidence of how thoroughly the program's coercive system damaged the survivor's capacity to accept help.</w:t>
      </w:r>
    </w:p>
    <w:p>
      <w:pPr>
        <w:spacing w:after="0" w:before="240" w:line="480"/>
      </w:pPr>
      <w:r>
        <w:rPr>
          <w:rFonts w:ascii="Times New Roman" w:cs="Times New Roman" w:eastAsia="Times New Roman" w:hAnsi="Times New Roman"/>
          <w:b/>
          <w:bCs/>
          <w:i/>
          <w:iCs/>
          <w:sz w:val="24"/>
          <w:szCs w:val="24"/>
        </w:rPr>
        <w:t xml:space="preserve">The Number Is Too High</w:t>
      </w:r>
    </w:p>
    <w:p>
      <w:pPr>
        <w:spacing w:after="0" w:line="480"/>
        <w:ind w:firstLine="720"/>
      </w:pPr>
      <w:r>
        <w:rPr>
          <w:rFonts w:ascii="Times New Roman" w:cs="Times New Roman" w:eastAsia="Times New Roman" w:hAnsi="Times New Roman"/>
          <w:sz w:val="24"/>
          <w:szCs w:val="24"/>
        </w:rPr>
        <w:t xml:space="preserve">The defense expresses sympathy, acknowledges that harm occurred, and suggests a number that is a fraction of what the evidence warrants. The antidote is the structure you built in voir dire: the jury committed to using money as the measure of accountability, accepted the per-diem framework, and understands that the number is a calculation based on evidence, not an emotional reaction. If you have built the damages presentation with the structure described in this chapter, the defense's low anchor will feel like what it is: an attempt to minimize the harm rather than measure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Harms-and-Losses Master Checklist</w:t>
      </w:r>
    </w:p>
    <w:p>
      <w:pPr>
        <w:spacing w:after="0" w:line="480"/>
      </w:pPr>
    </w:p>
    <w:p>
      <w:pPr>
        <w:spacing w:after="0" w:line="480"/>
      </w:pPr>
      <w:r>
        <w:rPr>
          <w:rFonts w:ascii="Times New Roman" w:cs="Times New Roman" w:eastAsia="Times New Roman" w:hAnsi="Times New Roman"/>
          <w:sz w:val="24"/>
          <w:szCs w:val="24"/>
        </w:rPr>
        <w:t xml:space="preserve">Use this checklist to build your exhaustive harms-and-losses list. For each item, record the specific manifestation in your client's life, the supporting evidence, and the witness who will present it.</w:t>
      </w:r>
    </w:p>
    <w:p>
      <w:pPr>
        <w:spacing w:after="0" w:before="240" w:line="480"/>
      </w:pPr>
      <w:r>
        <w:rPr>
          <w:rFonts w:ascii="Times New Roman" w:cs="Times New Roman" w:eastAsia="Times New Roman" w:hAnsi="Times New Roman"/>
          <w:b/>
          <w:bCs/>
          <w:i/>
          <w:iCs/>
          <w:sz w:val="24"/>
          <w:szCs w:val="24"/>
        </w:rPr>
        <w:t xml:space="preserve">Developmental Theft</w:t>
      </w:r>
    </w:p>
    <w:p>
      <w:pPr>
        <w:spacing w:after="0" w:line="480"/>
        <w:ind w:firstLine="720"/>
      </w:pPr>
      <w:r>
        <w:rPr>
          <w:rFonts w:ascii="Times New Roman" w:cs="Times New Roman" w:eastAsia="Times New Roman" w:hAnsi="Times New Roman"/>
          <w:sz w:val="24"/>
          <w:szCs w:val="24"/>
        </w:rPr>
        <w:t xml:space="preserve">Lost educational opportunity (specific years, specific milestones missed). Interrupted social development (first relationships, peer bonding, social skills). Arrested identity formation (who the survivor would have become). Lost autonomy milestones (driving, dating, independent decision-making). Delayed transition to adulthood (years to achieve milestones peers reached on schedule).</w:t>
      </w:r>
    </w:p>
    <w:p>
      <w:pPr>
        <w:spacing w:after="0" w:before="240" w:line="480"/>
      </w:pPr>
      <w:r>
        <w:rPr>
          <w:rFonts w:ascii="Times New Roman" w:cs="Times New Roman" w:eastAsia="Times New Roman" w:hAnsi="Times New Roman"/>
          <w:b/>
          <w:bCs/>
          <w:i/>
          <w:iCs/>
          <w:sz w:val="24"/>
          <w:szCs w:val="24"/>
        </w:rPr>
        <w:t xml:space="preserve">Relational Destruction</w:t>
      </w:r>
    </w:p>
    <w:p>
      <w:pPr>
        <w:spacing w:after="0" w:line="480"/>
        <w:ind w:firstLine="720"/>
      </w:pPr>
      <w:r>
        <w:rPr>
          <w:rFonts w:ascii="Times New Roman" w:cs="Times New Roman" w:eastAsia="Times New Roman" w:hAnsi="Times New Roman"/>
          <w:sz w:val="24"/>
          <w:szCs w:val="24"/>
        </w:rPr>
        <w:t xml:space="preserve">Inability to trust authority figures (specific examples with employers, doctors, teachers). Inability to sustain intimate relationships (marriages, partnerships, dating history). Impaired parenting capacity (specific struggles with own children). Loss of family relationships (estrangement caused by program manipulation). Social isolation (inability to maintain friendships, community involvement).</w:t>
      </w:r>
    </w:p>
    <w:p>
      <w:pPr>
        <w:spacing w:after="0" w:before="240" w:line="480"/>
      </w:pPr>
      <w:r>
        <w:rPr>
          <w:rFonts w:ascii="Times New Roman" w:cs="Times New Roman" w:eastAsia="Times New Roman" w:hAnsi="Times New Roman"/>
          <w:b/>
          <w:bCs/>
          <w:i/>
          <w:iCs/>
          <w:sz w:val="24"/>
          <w:szCs w:val="24"/>
        </w:rPr>
        <w:t xml:space="preserve">Identity Corruption</w:t>
      </w:r>
    </w:p>
    <w:p>
      <w:pPr>
        <w:spacing w:after="0" w:line="480"/>
        <w:ind w:firstLine="720"/>
      </w:pPr>
      <w:r>
        <w:rPr>
          <w:rFonts w:ascii="Times New Roman" w:cs="Times New Roman" w:eastAsia="Times New Roman" w:hAnsi="Times New Roman"/>
          <w:sz w:val="24"/>
          <w:szCs w:val="24"/>
        </w:rPr>
        <w:t xml:space="preserve">Chronic shame (the belief that the survivor is fundamentally broken or unworthy). Identity confusion (not knowing who they are apart from the program identity). Self-destructive behavior (substance abuse, self-harm, sabotage of positive opportunities). Inability to trust own judgment (second-guessing every decision). Loss of authentic self-expression (suppressing emotions, needs, and opinions).</w:t>
      </w:r>
    </w:p>
    <w:p>
      <w:pPr>
        <w:spacing w:after="0" w:before="240" w:line="480"/>
      </w:pPr>
      <w:r>
        <w:rPr>
          <w:rFonts w:ascii="Times New Roman" w:cs="Times New Roman" w:eastAsia="Times New Roman" w:hAnsi="Times New Roman"/>
          <w:b/>
          <w:bCs/>
          <w:i/>
          <w:iCs/>
          <w:sz w:val="24"/>
          <w:szCs w:val="24"/>
        </w:rPr>
        <w:t xml:space="preserve">Psychological and Physical Symptoms</w:t>
      </w:r>
    </w:p>
    <w:p>
      <w:pPr>
        <w:spacing w:after="0" w:line="480"/>
        <w:ind w:firstLine="720"/>
      </w:pPr>
      <w:r>
        <w:rPr>
          <w:rFonts w:ascii="Times New Roman" w:cs="Times New Roman" w:eastAsia="Times New Roman" w:hAnsi="Times New Roman"/>
          <w:sz w:val="24"/>
          <w:szCs w:val="24"/>
        </w:rPr>
        <w:t xml:space="preserve">Sleep disturbance (insomnia, nightmares, hypervigilance at night—specify frequency and duration). Flashbacks and intrusive memories (triggers, frequency, severity, impact on daily function). Dissociation (frequency, duration, impact on relationships and employment). Chronic anxiety (avoidance, panic attacks, social anxiety). Depression (duration, severity, impact on daily function). Somatic symptoms (chronic pain, gastrointestinal issues, autoimmune conditions linked to chronic stress).</w:t>
      </w:r>
    </w:p>
    <w:p>
      <w:pPr>
        <w:spacing w:after="0" w:before="240" w:line="480"/>
      </w:pPr>
      <w:r>
        <w:rPr>
          <w:rFonts w:ascii="Times New Roman" w:cs="Times New Roman" w:eastAsia="Times New Roman" w:hAnsi="Times New Roman"/>
          <w:b/>
          <w:bCs/>
          <w:i/>
          <w:iCs/>
          <w:sz w:val="24"/>
          <w:szCs w:val="24"/>
        </w:rPr>
        <w:t xml:space="preserve">Economic Cascade</w:t>
      </w:r>
    </w:p>
    <w:p>
      <w:pPr>
        <w:spacing w:after="0" w:line="480"/>
        <w:ind w:firstLine="720"/>
      </w:pPr>
      <w:r>
        <w:rPr>
          <w:rFonts w:ascii="Times New Roman" w:cs="Times New Roman" w:eastAsia="Times New Roman" w:hAnsi="Times New Roman"/>
          <w:sz w:val="24"/>
          <w:szCs w:val="24"/>
        </w:rPr>
        <w:t xml:space="preserve">Past medical expenses (therapy, psychiatry, medication, hospitalization). Future medical expenses (projected lifetime treatment costs via life care plan). Lost earnings (actual income loss attributable to program abuse). Diminished earning capacity (projected lifetime earnings gap via economist). Educational costs (completing education that was interrupted). Housing instability costs (moves, lost deposits, periods of homelessness). Vocational rehabilitation costs (career retraining, job placement services).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Per-Diem Damages Calculation Template</w:t>
      </w:r>
    </w:p>
    <w:p>
      <w:pPr>
        <w:spacing w:after="0" w:line="480"/>
      </w:pPr>
    </w:p>
    <w:p>
      <w:pPr>
        <w:spacing w:after="0" w:line="480"/>
      </w:pPr>
      <w:r>
        <w:rPr>
          <w:rFonts w:ascii="Times New Roman" w:cs="Times New Roman" w:eastAsia="Times New Roman" w:hAnsi="Times New Roman"/>
          <w:sz w:val="24"/>
          <w:szCs w:val="24"/>
        </w:rPr>
        <w:t xml:space="preserve">Adapt this framework to your case. Present in closing argument with a visual that shows the math.</w:t>
      </w:r>
    </w:p>
    <w:p>
      <w:pPr>
        <w:spacing w:after="0" w:line="480"/>
        <w:ind w:firstLine="720"/>
      </w:pPr>
      <w:r>
        <w:rPr>
          <w:rFonts w:ascii="Times New Roman" w:cs="Times New Roman" w:eastAsia="Times New Roman" w:hAnsi="Times New Roman"/>
          <w:i/>
          <w:iCs/>
          <w:sz w:val="24"/>
          <w:szCs w:val="24"/>
        </w:rPr>
        <w:t xml:space="preserve">Step 1:</w:t>
      </w:r>
      <w:r>
        <w:rPr>
          <w:rFonts w:ascii="Times New Roman" w:cs="Times New Roman" w:eastAsia="Times New Roman" w:hAnsi="Times New Roman"/>
          <w:sz w:val="24"/>
          <w:szCs w:val="24"/>
        </w:rPr>
        <w:t xml:space="preserve"> Identify the survivor's life expectancy from date of verdict using actuarial tables.</w:t>
      </w:r>
    </w:p>
    <w:p>
      <w:pPr>
        <w:spacing w:after="0" w:line="480"/>
        <w:ind w:firstLine="720"/>
      </w:pPr>
      <w:r>
        <w:rPr>
          <w:rFonts w:ascii="Times New Roman" w:cs="Times New Roman" w:eastAsia="Times New Roman" w:hAnsi="Times New Roman"/>
          <w:i/>
          <w:iCs/>
          <w:sz w:val="24"/>
          <w:szCs w:val="24"/>
        </w:rPr>
        <w:t xml:space="preserve">Step 2:</w:t>
      </w:r>
      <w:r>
        <w:rPr>
          <w:rFonts w:ascii="Times New Roman" w:cs="Times New Roman" w:eastAsia="Times New Roman" w:hAnsi="Times New Roman"/>
          <w:sz w:val="24"/>
          <w:szCs w:val="24"/>
        </w:rPr>
        <w:t xml:space="preserve"> Identify the daily or hourly impact of the most significant harms. "She wakes up every night. She cannot hold her daughter. She checks the locks three times. She cannot sit in a room with her back to the door. This is every day, every hour, for the rest of her life."</w:t>
      </w:r>
    </w:p>
    <w:p>
      <w:pPr>
        <w:spacing w:after="0" w:line="480"/>
        <w:ind w:firstLine="720"/>
      </w:pPr>
      <w:r>
        <w:rPr>
          <w:rFonts w:ascii="Times New Roman" w:cs="Times New Roman" w:eastAsia="Times New Roman" w:hAnsi="Times New Roman"/>
          <w:i/>
          <w:iCs/>
          <w:sz w:val="24"/>
          <w:szCs w:val="24"/>
        </w:rPr>
        <w:t xml:space="preserve">Step 3:</w:t>
      </w:r>
      <w:r>
        <w:rPr>
          <w:rFonts w:ascii="Times New Roman" w:cs="Times New Roman" w:eastAsia="Times New Roman" w:hAnsi="Times New Roman"/>
          <w:sz w:val="24"/>
          <w:szCs w:val="24"/>
        </w:rPr>
        <w:t xml:space="preserve"> Assign a per-hour or per-day value. Frame it in terms the jury can relate to: "What would you accept per hour to live this way? Is twenty-five dollars an hour too much? That is less than the cost of the therapy session she attends to manage the injuries they caused."</w:t>
      </w:r>
    </w:p>
    <w:p>
      <w:pPr>
        <w:spacing w:after="0" w:line="480"/>
        <w:ind w:firstLine="720"/>
      </w:pPr>
      <w:r>
        <w:rPr>
          <w:rFonts w:ascii="Times New Roman" w:cs="Times New Roman" w:eastAsia="Times New Roman" w:hAnsi="Times New Roman"/>
          <w:i/>
          <w:iCs/>
          <w:sz w:val="24"/>
          <w:szCs w:val="24"/>
        </w:rPr>
        <w:t xml:space="preserve">Step 4:</w:t>
      </w:r>
      <w:r>
        <w:rPr>
          <w:rFonts w:ascii="Times New Roman" w:cs="Times New Roman" w:eastAsia="Times New Roman" w:hAnsi="Times New Roman"/>
          <w:sz w:val="24"/>
          <w:szCs w:val="24"/>
        </w:rPr>
        <w:t xml:space="preserve"> Calculate the total. Show the math: $25/hour times 24 hours times 365 days times life expectancy equals the total. Let the jury see that the large number is not arbitrary. It is arithmetic applied to suffering that never ends.</w:t>
      </w:r>
    </w:p>
    <w:p>
      <w:pPr>
        <w:spacing w:after="0" w:line="480"/>
        <w:ind w:firstLine="720"/>
      </w:pPr>
      <w:r>
        <w:rPr>
          <w:rFonts w:ascii="Times New Roman" w:cs="Times New Roman" w:eastAsia="Times New Roman" w:hAnsi="Times New Roman"/>
          <w:i/>
          <w:iCs/>
          <w:sz w:val="24"/>
          <w:szCs w:val="24"/>
        </w:rPr>
        <w:t xml:space="preserve">Step 5:</w:t>
      </w:r>
      <w:r>
        <w:rPr>
          <w:rFonts w:ascii="Times New Roman" w:cs="Times New Roman" w:eastAsia="Times New Roman" w:hAnsi="Times New Roman"/>
          <w:sz w:val="24"/>
          <w:szCs w:val="24"/>
        </w:rPr>
        <w:t xml:space="preserve"> Add the economic damages as a separate, calculated amount. The total is the sum of the per-diem noneconomic damages plus the economic foundation.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Damages Presentation Sequence</w:t>
      </w:r>
    </w:p>
    <w:p>
      <w:pPr>
        <w:spacing w:after="0" w:line="480"/>
      </w:pPr>
    </w:p>
    <w:p>
      <w:pPr>
        <w:spacing w:after="0" w:line="480"/>
      </w:pPr>
      <w:r>
        <w:rPr>
          <w:rFonts w:ascii="Times New Roman" w:cs="Times New Roman" w:eastAsia="Times New Roman" w:hAnsi="Times New Roman"/>
          <w:sz w:val="24"/>
          <w:szCs w:val="24"/>
        </w:rPr>
        <w:t xml:space="preserve">Follow this order during your case-in-chief for maximum impact.</w:t>
      </w:r>
    </w:p>
    <w:p>
      <w:pPr>
        <w:spacing w:after="0" w:line="480"/>
        <w:ind w:firstLine="720"/>
      </w:pPr>
      <w:r>
        <w:rPr>
          <w:rFonts w:ascii="Times New Roman" w:cs="Times New Roman" w:eastAsia="Times New Roman" w:hAnsi="Times New Roman"/>
          <w:sz w:val="24"/>
          <w:szCs w:val="24"/>
        </w:rPr>
        <w:t xml:space="preserve">1. </w:t>
      </w:r>
      <w:r>
        <w:rPr>
          <w:rFonts w:ascii="Times New Roman" w:cs="Times New Roman" w:eastAsia="Times New Roman" w:hAnsi="Times New Roman"/>
          <w:i/>
          <w:iCs/>
          <w:sz w:val="24"/>
          <w:szCs w:val="24"/>
        </w:rPr>
        <w:t xml:space="preserve">Life Before</w:t>
      </w:r>
      <w:r>
        <w:rPr>
          <w:rFonts w:ascii="Times New Roman" w:cs="Times New Roman" w:eastAsia="Times New Roman" w:hAnsi="Times New Roman"/>
          <w:sz w:val="24"/>
          <w:szCs w:val="24"/>
        </w:rPr>
        <w:t xml:space="preserve"> — Family witnesses, school records, photographs, pre-program medical records. Establish trajectory. Duration: thirty to sixty minutes of testimony.</w:t>
      </w:r>
    </w:p>
    <w:p>
      <w:pPr>
        <w:spacing w:after="0" w:line="480"/>
        <w:ind w:firstLine="720"/>
      </w:pPr>
      <w:r>
        <w:rPr>
          <w:rFonts w:ascii="Times New Roman" w:cs="Times New Roman" w:eastAsia="Times New Roman" w:hAnsi="Times New Roman"/>
          <w:sz w:val="24"/>
          <w:szCs w:val="24"/>
        </w:rPr>
        <w:t xml:space="preserve">2. </w:t>
      </w:r>
      <w:r>
        <w:rPr>
          <w:rFonts w:ascii="Times New Roman" w:cs="Times New Roman" w:eastAsia="Times New Roman" w:hAnsi="Times New Roman"/>
          <w:i/>
          <w:iCs/>
          <w:sz w:val="24"/>
          <w:szCs w:val="24"/>
        </w:rPr>
        <w:t xml:space="preserve">What Was Taken</w:t>
      </w:r>
      <w:r>
        <w:rPr>
          <w:rFonts w:ascii="Times New Roman" w:cs="Times New Roman" w:eastAsia="Times New Roman" w:hAnsi="Times New Roman"/>
          <w:sz w:val="24"/>
          <w:szCs w:val="24"/>
        </w:rPr>
        <w:t xml:space="preserve"> — Survivor testimony organized by harms-and-losses categories. Cinematic, specific, sensory. This is the heart of the case. Do not rush.</w:t>
      </w:r>
    </w:p>
    <w:p>
      <w:pPr>
        <w:spacing w:after="0" w:line="480"/>
        <w:ind w:firstLine="720"/>
      </w:pPr>
      <w:r>
        <w:rPr>
          <w:rFonts w:ascii="Times New Roman" w:cs="Times New Roman" w:eastAsia="Times New Roman" w:hAnsi="Times New Roman"/>
          <w:sz w:val="24"/>
          <w:szCs w:val="24"/>
        </w:rPr>
        <w:t xml:space="preserve">3. </w:t>
      </w:r>
      <w:r>
        <w:rPr>
          <w:rFonts w:ascii="Times New Roman" w:cs="Times New Roman" w:eastAsia="Times New Roman" w:hAnsi="Times New Roman"/>
          <w:i/>
          <w:iCs/>
          <w:sz w:val="24"/>
          <w:szCs w:val="24"/>
        </w:rPr>
        <w:t xml:space="preserve">Expert Framework</w:t>
      </w:r>
      <w:r>
        <w:rPr>
          <w:rFonts w:ascii="Times New Roman" w:cs="Times New Roman" w:eastAsia="Times New Roman" w:hAnsi="Times New Roman"/>
          <w:sz w:val="24"/>
          <w:szCs w:val="24"/>
        </w:rPr>
        <w:t xml:space="preserve"> — Treating psychologist explains the clinical picture, the causal connection to the program experience, and the prognosis. Coercive control expert connects the BITE model to the specific harms. Duration: one to two hours.</w:t>
      </w:r>
    </w:p>
    <w:p>
      <w:pPr>
        <w:spacing w:after="0" w:line="480"/>
        <w:ind w:firstLine="720"/>
      </w:pPr>
      <w:r>
        <w:rPr>
          <w:rFonts w:ascii="Times New Roman" w:cs="Times New Roman" w:eastAsia="Times New Roman" w:hAnsi="Times New Roman"/>
          <w:sz w:val="24"/>
          <w:szCs w:val="24"/>
        </w:rPr>
        <w:t xml:space="preserve">4. </w:t>
      </w:r>
      <w:r>
        <w:rPr>
          <w:rFonts w:ascii="Times New Roman" w:cs="Times New Roman" w:eastAsia="Times New Roman" w:hAnsi="Times New Roman"/>
          <w:i/>
          <w:iCs/>
          <w:sz w:val="24"/>
          <w:szCs w:val="24"/>
        </w:rPr>
        <w:t xml:space="preserve">Life After</w:t>
      </w:r>
      <w:r>
        <w:rPr>
          <w:rFonts w:ascii="Times New Roman" w:cs="Times New Roman" w:eastAsia="Times New Roman" w:hAnsi="Times New Roman"/>
          <w:sz w:val="24"/>
          <w:szCs w:val="24"/>
        </w:rPr>
        <w:t xml:space="preserve"> — Family members, partners, friends describe the daily reality through clinical, daily, and relational lenses. Duration: forty-five to ninety minutes.</w:t>
      </w:r>
    </w:p>
    <w:p>
      <w:pPr>
        <w:spacing w:after="0" w:line="480"/>
        <w:ind w:firstLine="720"/>
      </w:pPr>
      <w:r>
        <w:rPr>
          <w:rFonts w:ascii="Times New Roman" w:cs="Times New Roman" w:eastAsia="Times New Roman" w:hAnsi="Times New Roman"/>
          <w:sz w:val="24"/>
          <w:szCs w:val="24"/>
        </w:rPr>
        <w:t xml:space="preserve">5. </w:t>
      </w:r>
      <w:r>
        <w:rPr>
          <w:rFonts w:ascii="Times New Roman" w:cs="Times New Roman" w:eastAsia="Times New Roman" w:hAnsi="Times New Roman"/>
          <w:i/>
          <w:iCs/>
          <w:sz w:val="24"/>
          <w:szCs w:val="24"/>
        </w:rPr>
        <w:t xml:space="preserve">Economic Foundation</w:t>
      </w:r>
      <w:r>
        <w:rPr>
          <w:rFonts w:ascii="Times New Roman" w:cs="Times New Roman" w:eastAsia="Times New Roman" w:hAnsi="Times New Roman"/>
          <w:sz w:val="24"/>
          <w:szCs w:val="24"/>
        </w:rPr>
        <w:t xml:space="preserve"> — Economist and life care planner present the numbers in timeline format showing lifetime accumulation. Duration: thirty to forty-five minutes.</w:t>
      </w:r>
    </w:p>
    <w:p>
      <w:pPr>
        <w:spacing w:after="0" w:line="480"/>
        <w:ind w:firstLine="720"/>
      </w:pPr>
      <w:r>
        <w:rPr>
          <w:rFonts w:ascii="Times New Roman" w:cs="Times New Roman" w:eastAsia="Times New Roman" w:hAnsi="Times New Roman"/>
          <w:sz w:val="24"/>
          <w:szCs w:val="24"/>
        </w:rPr>
        <w:t xml:space="preserve">6. </w:t>
      </w:r>
      <w:r>
        <w:rPr>
          <w:rFonts w:ascii="Times New Roman" w:cs="Times New Roman" w:eastAsia="Times New Roman" w:hAnsi="Times New Roman"/>
          <w:i/>
          <w:iCs/>
          <w:sz w:val="24"/>
          <w:szCs w:val="24"/>
        </w:rPr>
        <w:t xml:space="preserve">Noneconomic Anchor</w:t>
      </w:r>
      <w:r>
        <w:rPr>
          <w:rFonts w:ascii="Times New Roman" w:cs="Times New Roman" w:eastAsia="Times New Roman" w:hAnsi="Times New Roman"/>
          <w:sz w:val="24"/>
          <w:szCs w:val="24"/>
        </w:rPr>
        <w:t xml:space="preserve"> — During closing argument, walk the jury through the harms-and-losses list, apply the per-diem framework, and connect the total to the villain narrative. The number is not sympathy. It is accountability.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Damages in TTI cases require a fundamentally different approach from standard personal injury because the harm is developmental, not mechanical. The program did not break something that was whole. It corrupted something that was forming. The survivor emerged not as a broken version of their former self but as someone who was never allowed to become their full self.</w:t>
      </w:r>
    </w:p>
    <w:p>
      <w:pPr>
        <w:spacing w:after="0" w:line="480"/>
        <w:ind w:firstLine="720"/>
      </w:pPr>
      <w:r>
        <w:rPr>
          <w:rFonts w:ascii="Times New Roman" w:cs="Times New Roman" w:eastAsia="Times New Roman" w:hAnsi="Times New Roman"/>
          <w:sz w:val="24"/>
          <w:szCs w:val="24"/>
        </w:rPr>
        <w:t xml:space="preserve">Use Barton's framework to make invisible injuries visible, Ball's harms-and-losses method to make them specific, and precise emotional vocabulary—shame, betrayal, despair, moral injury, the vulnerability paradox—to name what the jury is being asked to see. The taxonomy of TTI-specific loss includes developmental theft, relational destruction, identity corruption, and the economic cascade.</w:t>
      </w:r>
    </w:p>
    <w:p>
      <w:pPr>
        <w:spacing w:after="0" w:line="480"/>
        <w:ind w:firstLine="720"/>
      </w:pPr>
      <w:r>
        <w:rPr>
          <w:rFonts w:ascii="Times New Roman" w:cs="Times New Roman" w:eastAsia="Times New Roman" w:hAnsi="Times New Roman"/>
          <w:sz w:val="24"/>
          <w:szCs w:val="24"/>
        </w:rPr>
        <w:t xml:space="preserve">Structure the presentation in five phases: life before (establish trajectory), what was taken (the harms-and-losses narrative), life after (clinical, daily, and relational lenses), what it costs (economic foundation in timeline format), and what it is worth (per-diem framework anchored to the harms-and-losses list). Present punitive damages as the villain's reckoning—the price of operating the coercive machine.</w:t>
      </w:r>
    </w:p>
    <w:p>
      <w:pPr>
        <w:spacing w:after="0" w:line="480"/>
        <w:ind w:firstLine="720"/>
      </w:pPr>
      <w:r>
        <w:rPr>
          <w:rFonts w:ascii="Times New Roman" w:cs="Times New Roman" w:eastAsia="Times New Roman" w:hAnsi="Times New Roman"/>
          <w:sz w:val="24"/>
          <w:szCs w:val="24"/>
        </w:rPr>
        <w:t xml:space="preserve">Defeat the defense's damages strategy by reframing pre-existing conditions as targeted vulnerabilities, using trajectory evidence to defeat the "would have struggled anyway" argument, having your expert explain treatment avoidance as a symptom of the injury, and building a structured damages framework that makes the defense's low anchor feel like what it is: an insult to the evidence.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Damages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2026-05-13T20:44:58.030Z</dcterms:created>
  <dcterms:modified xsi:type="dcterms:W3CDTF">2026-05-13T20:44:58.031Z</dcterms:modified>
</cp:coreProperties>
</file>

<file path=docProps/custom.xml><?xml version="1.0" encoding="utf-8"?>
<Properties xmlns="http://schemas.openxmlformats.org/officeDocument/2006/custom-properties" xmlns:vt="http://schemas.openxmlformats.org/officeDocument/2006/docPropsVTypes"/>
</file>