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32"/>
          <w:szCs w:val="32"/>
        </w:rPr>
        <w:t xml:space="preserve">PART IV</w:t>
      </w:r>
    </w:p>
    <w:p>
      <w:pPr>
        <w:spacing w:after="0" w:line="480"/>
      </w:pPr>
    </w:p>
    <w:p>
      <w:pPr>
        <w:spacing w:after="0" w:line="480"/>
        <w:jc w:val="center"/>
      </w:pPr>
      <w:r>
        <w:rPr>
          <w:rFonts w:ascii="Times New Roman" w:cs="Times New Roman" w:eastAsia="Times New Roman" w:hAnsi="Times New Roman"/>
          <w:b/>
          <w:bCs/>
          <w:sz w:val="28"/>
          <w:szCs w:val="28"/>
        </w:rPr>
        <w:t xml:space="preserve">TRIAL</w:t>
      </w:r>
    </w:p>
    <w:p>
      <w:pPr>
        <w:spacing w:after="0" w:line="480"/>
      </w:pPr>
    </w:p>
    <w:p>
      <w:pPr>
        <w:spacing w:after="0" w:line="480"/>
        <w:jc w:val="center"/>
      </w:pPr>
      <w:r>
        <w:rPr>
          <w:rFonts w:ascii="Times New Roman" w:cs="Times New Roman" w:eastAsia="Times New Roman" w:hAnsi="Times New Roman"/>
          <w:i/>
          <w:iCs/>
          <w:sz w:val="24"/>
          <w:szCs w:val="24"/>
        </w:rPr>
        <w:t xml:space="preserve">Presenting TTI Cases to Juries</w:t>
      </w:r>
    </w:p>
    <w:p>
      <w:r>
        <w:br w:type="page"/>
      </w:r>
    </w:p>
    <w:p>
      <w:pPr>
        <w:spacing w:after="0" w:line="480"/>
        <w:jc w:val="center"/>
      </w:pPr>
      <w:r>
        <w:rPr>
          <w:rFonts w:ascii="Times New Roman" w:cs="Times New Roman" w:eastAsia="Times New Roman" w:hAnsi="Times New Roman"/>
          <w:b/>
          <w:bCs/>
          <w:sz w:val="24"/>
          <w:szCs w:val="24"/>
        </w:rPr>
        <w:t xml:space="preserve">CHAPTER 15</w:t>
      </w:r>
    </w:p>
    <w:p>
      <w:pPr>
        <w:spacing w:after="0" w:line="480"/>
      </w:pPr>
    </w:p>
    <w:p>
      <w:pPr>
        <w:spacing w:after="0" w:line="480"/>
        <w:jc w:val="center"/>
      </w:pPr>
      <w:r>
        <w:rPr>
          <w:rFonts w:ascii="Times New Roman" w:cs="Times New Roman" w:eastAsia="Times New Roman" w:hAnsi="Times New Roman"/>
          <w:sz w:val="24"/>
          <w:szCs w:val="24"/>
        </w:rPr>
        <w:t xml:space="preserve">Rules of the Road and Reptile for TTI Cases</w:t>
      </w:r>
    </w:p>
    <w:p>
      <w:pPr>
        <w:spacing w:after="0" w:line="480"/>
        <w:jc w:val="center"/>
      </w:pPr>
      <w:r>
        <w:rPr>
          <w:rFonts w:ascii="Times New Roman" w:cs="Times New Roman" w:eastAsia="Times New Roman" w:hAnsi="Times New Roman"/>
          <w:i/>
          <w:iCs/>
          <w:sz w:val="24"/>
          <w:szCs w:val="24"/>
        </w:rPr>
        <w:t xml:space="preserve">Two Frameworks That Turn Institutional Abuse into Community Danger</w:t>
      </w:r>
    </w:p>
    <w:p>
      <w:pPr>
        <w:spacing w:after="0" w:line="480"/>
      </w:pPr>
    </w:p>
    <w:p>
      <w:pPr>
        <w:spacing w:after="0" w:line="480"/>
      </w:pPr>
      <w:r>
        <w:rPr>
          <w:rFonts w:ascii="Times New Roman" w:cs="Times New Roman" w:eastAsia="Times New Roman" w:hAnsi="Times New Roman"/>
          <w:sz w:val="24"/>
          <w:szCs w:val="24"/>
        </w:rPr>
        <w:t xml:space="preserve">Rick Friedman and Patrick Malone gave trial lawyers a gift when they published </w:t>
      </w:r>
      <w:r>
        <w:rPr>
          <w:rFonts w:ascii="Times New Roman" w:cs="Times New Roman" w:eastAsia="Times New Roman" w:hAnsi="Times New Roman"/>
          <w:i/>
          <w:iCs/>
          <w:sz w:val="24"/>
          <w:szCs w:val="24"/>
        </w:rPr>
        <w:t xml:space="preserve">Rules of the Road</w:t>
      </w:r>
      <w:r>
        <w:rPr>
          <w:rFonts w:ascii="Times New Roman" w:cs="Times New Roman" w:eastAsia="Times New Roman" w:hAnsi="Times New Roman"/>
          <w:sz w:val="24"/>
          <w:szCs w:val="24"/>
        </w:rPr>
        <w:t xml:space="preserve">. David Ball and Don Keenan gave them another when they published </w:t>
      </w:r>
      <w:r>
        <w:rPr>
          <w:rFonts w:ascii="Times New Roman" w:cs="Times New Roman" w:eastAsia="Times New Roman" w:hAnsi="Times New Roman"/>
          <w:i/>
          <w:iCs/>
          <w:sz w:val="24"/>
          <w:szCs w:val="24"/>
        </w:rPr>
        <w:t xml:space="preserve">Reptile</w:t>
      </w:r>
      <w:r>
        <w:rPr>
          <w:rFonts w:ascii="Times New Roman" w:cs="Times New Roman" w:eastAsia="Times New Roman" w:hAnsi="Times New Roman"/>
          <w:sz w:val="24"/>
          <w:szCs w:val="24"/>
        </w:rPr>
        <w:t xml:space="preserve">. These two methods—one built on objective safety standards, the other on neurological survival instinct—are the most powerful trial frameworks available for institutional abuse cases. And TTI cases are the most natural application of both.</w:t>
      </w:r>
    </w:p>
    <w:p>
      <w:pPr>
        <w:spacing w:after="0" w:line="480"/>
        <w:ind w:firstLine="720"/>
      </w:pPr>
      <w:r>
        <w:rPr>
          <w:rFonts w:ascii="Times New Roman" w:cs="Times New Roman" w:eastAsia="Times New Roman" w:hAnsi="Times New Roman"/>
          <w:sz w:val="24"/>
          <w:szCs w:val="24"/>
        </w:rPr>
        <w:t xml:space="preserve">Rules of the Road reduces every complex liability case to a set of simple safety rules that the defendant violated. Not legal standards. Not elements of a cause of action. Rules—the kind of rules that any reasonable person would agree should govern the conduct of someone responsible for children. Rules so obviously correct that the defendant's own witnesses will agree with them on cross-examination and then have to explain why the program broke every one of them.</w:t>
      </w:r>
    </w:p>
    <w:p>
      <w:pPr>
        <w:spacing w:after="0" w:line="480"/>
        <w:ind w:firstLine="720"/>
      </w:pPr>
      <w:r>
        <w:rPr>
          <w:rFonts w:ascii="Times New Roman" w:cs="Times New Roman" w:eastAsia="Times New Roman" w:hAnsi="Times New Roman"/>
          <w:sz w:val="24"/>
          <w:szCs w:val="24"/>
        </w:rPr>
        <w:t xml:space="preserve">Reptile activates the oldest part of the human brain—the part wired for survival—by framing the case around a simple question: does the defendant's conduct endanger people beyond the plaintiff? Not just this plaintiff. Not just this program. Does the way this institution operates create a danger that could reach anyone's child? If yes, the jury's survival instinct demands accountability.</w:t>
      </w:r>
    </w:p>
    <w:p>
      <w:pPr>
        <w:spacing w:after="0" w:line="480"/>
        <w:ind w:firstLine="720"/>
      </w:pPr>
      <w:r>
        <w:rPr>
          <w:rFonts w:ascii="Times New Roman" w:cs="Times New Roman" w:eastAsia="Times New Roman" w:hAnsi="Times New Roman"/>
          <w:sz w:val="24"/>
          <w:szCs w:val="24"/>
        </w:rPr>
        <w:t xml:space="preserve">This chapter teaches both methods as applied to TTI litigation, shows how they work together as complementary strategies, and provides the practitioner tools to deploy them in voir dire, cross-examination, and closing argument.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Rules of the Road: The Method</w:t>
      </w:r>
    </w:p>
    <w:p>
      <w:pPr>
        <w:spacing w:after="0" w:line="480"/>
      </w:pPr>
    </w:p>
    <w:p>
      <w:pPr>
        <w:spacing w:after="0" w:line="480"/>
      </w:pPr>
      <w:r>
        <w:rPr>
          <w:rFonts w:ascii="Times New Roman" w:cs="Times New Roman" w:eastAsia="Times New Roman" w:hAnsi="Times New Roman"/>
          <w:sz w:val="24"/>
          <w:szCs w:val="24"/>
        </w:rPr>
        <w:t xml:space="preserve">The Rules method works like this. Before trial, you draft a list of safety rules that governed the defendant's conduct. Each rule is a short, declarative statement of what a responsible program should or should not do. Each rule is sourced—drawn from the program's own policies, from industry standards, from state licensing regulations, from expert testimony, or from common sense. Each rule is something the defendant's own witnesses will have difficulty denying.</w:t>
      </w:r>
    </w:p>
    <w:p>
      <w:pPr>
        <w:spacing w:after="0" w:line="480"/>
        <w:ind w:firstLine="720"/>
      </w:pPr>
      <w:r>
        <w:rPr>
          <w:rFonts w:ascii="Times New Roman" w:cs="Times New Roman" w:eastAsia="Times New Roman" w:hAnsi="Times New Roman"/>
          <w:sz w:val="24"/>
          <w:szCs w:val="24"/>
        </w:rPr>
        <w:t xml:space="preserve">In voir dire, you introduce the rules as principles the jurors can agree on before they hear a single fact. "Can we agree that a program responsible for a child should not use physical restraint as a first resort?" The jurors nod. The rule is established. When the evidence later shows that the program used restraint as a first, second, and third resort, the jurors have already committed to the standard against which they will judge the conduct.</w:t>
      </w:r>
    </w:p>
    <w:p>
      <w:pPr>
        <w:spacing w:after="0" w:line="480"/>
        <w:ind w:firstLine="720"/>
      </w:pPr>
      <w:r>
        <w:rPr>
          <w:rFonts w:ascii="Times New Roman" w:cs="Times New Roman" w:eastAsia="Times New Roman" w:hAnsi="Times New Roman"/>
          <w:sz w:val="24"/>
          <w:szCs w:val="24"/>
        </w:rPr>
        <w:t xml:space="preserve">In cross-examination, you use the rules to structure every question. "You would agree that a responsible residential treatment facility should not restrain a child for refusing to participate in group therapy, correct?" The witness agrees—they have to, because the alternative is to argue that violence for noncompliance is acceptable. Then you show the incident report. The witness has agreed to the rule and now must face the evidence that the program violated it.</w:t>
      </w:r>
    </w:p>
    <w:p>
      <w:pPr>
        <w:spacing w:after="0" w:line="480"/>
        <w:ind w:firstLine="720"/>
      </w:pPr>
      <w:r>
        <w:rPr>
          <w:rFonts w:ascii="Times New Roman" w:cs="Times New Roman" w:eastAsia="Times New Roman" w:hAnsi="Times New Roman"/>
          <w:sz w:val="24"/>
          <w:szCs w:val="24"/>
        </w:rPr>
        <w:t xml:space="preserve">In closing argument, you assemble the rules into a verdict framework. "Here are the rules. Here is the evidence that the defendant broke them. Every rule. Every time. As a matter of policy. This was not an accident. It was a business model."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Rules of the Road Is Devastating in TTI Cases</w:t>
      </w:r>
    </w:p>
    <w:p>
      <w:pPr>
        <w:spacing w:after="0" w:line="480"/>
      </w:pPr>
    </w:p>
    <w:p>
      <w:pPr>
        <w:spacing w:after="0" w:line="480"/>
      </w:pPr>
      <w:r>
        <w:rPr>
          <w:rFonts w:ascii="Times New Roman" w:cs="Times New Roman" w:eastAsia="Times New Roman" w:hAnsi="Times New Roman"/>
          <w:sz w:val="24"/>
          <w:szCs w:val="24"/>
        </w:rPr>
        <w:t xml:space="preserve">The Rules method is devastatingly effective in TTI cases for a reason Friedman and Malone may not have anticipated: coercive programs violate simple safety rules constantly, systematically, and as a matter of policy. The rules they break are not obscure regulatory standards. They are basic principles of human decency that any juror already believes.</w:t>
      </w:r>
    </w:p>
    <w:p>
      <w:pPr>
        <w:spacing w:after="0" w:line="480"/>
        <w:ind w:firstLine="720"/>
      </w:pPr>
      <w:r>
        <w:rPr>
          <w:rFonts w:ascii="Times New Roman" w:cs="Times New Roman" w:eastAsia="Times New Roman" w:hAnsi="Times New Roman"/>
          <w:sz w:val="24"/>
          <w:szCs w:val="24"/>
        </w:rPr>
        <w:t xml:space="preserve">Do not isolate children as punishment. Do not use physical force to enforce compliance with non-safety rules. Do not censor a child's communications with their parents. Do not punish a child for crying. Do not hire staff without background checks. Do not market a program as therapeutic when it has no licensed therapeutic staff. Do not strip-search minors. Do not punish children for reporting abuse.</w:t>
      </w:r>
    </w:p>
    <w:p>
      <w:pPr>
        <w:spacing w:after="0" w:line="480"/>
        <w:ind w:firstLine="720"/>
      </w:pPr>
      <w:r>
        <w:rPr>
          <w:rFonts w:ascii="Times New Roman" w:cs="Times New Roman" w:eastAsia="Times New Roman" w:hAnsi="Times New Roman"/>
          <w:sz w:val="24"/>
          <w:szCs w:val="24"/>
        </w:rPr>
        <w:t xml:space="preserve">These are not controversial propositions. They are moral axioms. And the defendant violated every one of them. Each of these rules maps to the BITE framework established in Chapter 5, and each is sourced in readily available standards: the American Academy of Child and Adolescent Psychiatry's guidelines, state licensing regulations, the program's own marketing materials—which promised the opposite of what happened—and basic child welfare principles that no witness will challenge.</w:t>
      </w:r>
    </w:p>
    <w:p>
      <w:pPr>
        <w:spacing w:after="0" w:line="480"/>
        <w:ind w:firstLine="720"/>
      </w:pPr>
      <w:r>
        <w:rPr>
          <w:rFonts w:ascii="Times New Roman" w:cs="Times New Roman" w:eastAsia="Times New Roman" w:hAnsi="Times New Roman"/>
          <w:sz w:val="24"/>
          <w:szCs w:val="24"/>
        </w:rPr>
        <w:t xml:space="preserve">The program's own marketing materials are often the most powerful source. When the brochure promises "individualized clinical care" and the reality is untrained staff running confrontation groups, the rule writes itself: "A program must provide the services it markets to families." The violation is documented in the program's own advertising. The cross-examination writes itself.</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Drafting Your TTI Rules List</w:t>
      </w:r>
    </w:p>
    <w:p>
      <w:pPr>
        <w:spacing w:after="0" w:line="480"/>
      </w:pPr>
    </w:p>
    <w:p>
      <w:pPr>
        <w:spacing w:after="0" w:line="480"/>
      </w:pPr>
      <w:r>
        <w:rPr>
          <w:rFonts w:ascii="Times New Roman" w:cs="Times New Roman" w:eastAsia="Times New Roman" w:hAnsi="Times New Roman"/>
          <w:sz w:val="24"/>
          <w:szCs w:val="24"/>
        </w:rPr>
        <w:t xml:space="preserve">The rules list is a living document that evolves throughout the case. Start it during intake and refine it through discovery, expert consultation, and trial preparation.</w:t>
      </w:r>
    </w:p>
    <w:p>
      <w:pPr>
        <w:spacing w:after="0" w:before="240" w:line="480"/>
      </w:pPr>
      <w:r>
        <w:rPr>
          <w:rFonts w:ascii="Times New Roman" w:cs="Times New Roman" w:eastAsia="Times New Roman" w:hAnsi="Times New Roman"/>
          <w:b/>
          <w:bCs/>
          <w:i/>
          <w:iCs/>
          <w:sz w:val="24"/>
          <w:szCs w:val="24"/>
        </w:rPr>
        <w:t xml:space="preserve">Source One: The Program's Own Policies</w:t>
      </w:r>
    </w:p>
    <w:p>
      <w:pPr>
        <w:spacing w:after="0" w:line="480"/>
        <w:ind w:firstLine="720"/>
      </w:pPr>
      <w:r>
        <w:rPr>
          <w:rFonts w:ascii="Times New Roman" w:cs="Times New Roman" w:eastAsia="Times New Roman" w:hAnsi="Times New Roman"/>
          <w:sz w:val="24"/>
          <w:szCs w:val="24"/>
        </w:rPr>
        <w:t xml:space="preserve">Every TTI program has written policies. Request them in discovery. Read them carefully. The policies the program adopted and then violated become your most powerful rules, because they are the defendant's own standards. "Your policy says you will not restrain a child without a licensed clinician present. Do you agree that is a good policy? Then explain why you restrained this child twelve times without a licensed clinician present."</w:t>
      </w:r>
    </w:p>
    <w:p>
      <w:pPr>
        <w:spacing w:after="0" w:before="240" w:line="480"/>
      </w:pPr>
      <w:r>
        <w:rPr>
          <w:rFonts w:ascii="Times New Roman" w:cs="Times New Roman" w:eastAsia="Times New Roman" w:hAnsi="Times New Roman"/>
          <w:b/>
          <w:bCs/>
          <w:i/>
          <w:iCs/>
          <w:sz w:val="24"/>
          <w:szCs w:val="24"/>
        </w:rPr>
        <w:t xml:space="preserve">Source Two: Industry Standards</w:t>
      </w:r>
    </w:p>
    <w:p>
      <w:pPr>
        <w:spacing w:after="0" w:line="480"/>
        <w:ind w:firstLine="720"/>
      </w:pPr>
      <w:r>
        <w:rPr>
          <w:rFonts w:ascii="Times New Roman" w:cs="Times New Roman" w:eastAsia="Times New Roman" w:hAnsi="Times New Roman"/>
          <w:sz w:val="24"/>
          <w:szCs w:val="24"/>
        </w:rPr>
        <w:t xml:space="preserve">Your industry standard expert identifies the recognized best practices for residential treatment of adolescents. These become rules. "The standard of care in residential treatment requires that restraint be used only as a last resort to prevent imminent physical harm. Do you agree with that standard?" The expert from Chapter 13 has already established the standard. The Rules method deploys it.</w:t>
      </w:r>
    </w:p>
    <w:p>
      <w:pPr>
        <w:spacing w:after="0" w:before="240" w:line="480"/>
      </w:pPr>
      <w:r>
        <w:rPr>
          <w:rFonts w:ascii="Times New Roman" w:cs="Times New Roman" w:eastAsia="Times New Roman" w:hAnsi="Times New Roman"/>
          <w:b/>
          <w:bCs/>
          <w:i/>
          <w:iCs/>
          <w:sz w:val="24"/>
          <w:szCs w:val="24"/>
        </w:rPr>
        <w:t xml:space="preserve">Source Three: Regulatory Requirements</w:t>
      </w:r>
    </w:p>
    <w:p>
      <w:pPr>
        <w:spacing w:after="0" w:line="480"/>
        <w:ind w:firstLine="720"/>
      </w:pPr>
      <w:r>
        <w:rPr>
          <w:rFonts w:ascii="Times New Roman" w:cs="Times New Roman" w:eastAsia="Times New Roman" w:hAnsi="Times New Roman"/>
          <w:sz w:val="24"/>
          <w:szCs w:val="24"/>
        </w:rPr>
        <w:t xml:space="preserve">State licensing regulations provide rules with the force of law behind them. "State regulations require a minimum staff-to-resident ratio of one to eight on the day shift. Do you agree that ratio exists for a reason?" Regulatory violations are particularly powerful because the defense cannot argue that the standard is subjective or aspirational. It is the law.</w:t>
      </w:r>
    </w:p>
    <w:p>
      <w:pPr>
        <w:spacing w:after="0" w:before="240" w:line="480"/>
      </w:pPr>
      <w:r>
        <w:rPr>
          <w:rFonts w:ascii="Times New Roman" w:cs="Times New Roman" w:eastAsia="Times New Roman" w:hAnsi="Times New Roman"/>
          <w:b/>
          <w:bCs/>
          <w:i/>
          <w:iCs/>
          <w:sz w:val="24"/>
          <w:szCs w:val="24"/>
        </w:rPr>
        <w:t xml:space="preserve">Source Four: Common Sense</w:t>
      </w:r>
    </w:p>
    <w:p>
      <w:pPr>
        <w:spacing w:after="0" w:line="480"/>
        <w:ind w:firstLine="720"/>
      </w:pPr>
      <w:r>
        <w:rPr>
          <w:rFonts w:ascii="Times New Roman" w:cs="Times New Roman" w:eastAsia="Times New Roman" w:hAnsi="Times New Roman"/>
          <w:sz w:val="24"/>
          <w:szCs w:val="24"/>
        </w:rPr>
        <w:t xml:space="preserve">Some rules need no source beyond basic human decency. "Do you agree that a child should be allowed to contact their parents?" "Do you agree that a teenager should not be restrained by untrained adults?" "Do you agree that when a child reports abuse, someone should investigate?" These rules are unchallengeable because they are self-evidently correct. Any witness who disagrees has destroyed their credibility with the jury.</w:t>
      </w:r>
    </w:p>
    <w:p>
      <w:pPr>
        <w:spacing w:after="0" w:line="480"/>
        <w:ind w:firstLine="720"/>
      </w:pPr>
      <w:r>
        <w:rPr>
          <w:rFonts w:ascii="Times New Roman" w:cs="Times New Roman" w:eastAsia="Times New Roman" w:hAnsi="Times New Roman"/>
          <w:sz w:val="24"/>
          <w:szCs w:val="24"/>
        </w:rPr>
        <w:t xml:space="preserve">Draft each rule as a short, declarative statement. Keep the language simple. Avoid legal jargon. The rule should be something you could say to your neighbor over a fence, and your neighbor would agree without hesitation. If the rule requires explanation, it is too complicated. Simplify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Reptile Theory: The Community-Danger Frame</w:t>
      </w:r>
    </w:p>
    <w:p>
      <w:pPr>
        <w:spacing w:after="0" w:line="480"/>
      </w:pPr>
    </w:p>
    <w:p>
      <w:pPr>
        <w:spacing w:after="0" w:line="480"/>
      </w:pPr>
      <w:r>
        <w:rPr>
          <w:rFonts w:ascii="Times New Roman" w:cs="Times New Roman" w:eastAsia="Times New Roman" w:hAnsi="Times New Roman"/>
          <w:sz w:val="24"/>
          <w:szCs w:val="24"/>
        </w:rPr>
        <w:t xml:space="preserve">Ball and Keenan's Reptile insight is neurological: the oldest part of the human brain—the part that predates language, logic, and civilization—is wired for survival. It evaluates every situation in terms of safety and danger. If a juror's reptile brain perceives that the defendant's conduct makes the community less safe, the juror will act to protect the community. That act is a plaintiff's verdict. That act is a large damages award. Not because the juror is angry. Because the juror is afraid.</w:t>
      </w:r>
    </w:p>
    <w:p>
      <w:pPr>
        <w:spacing w:after="0" w:line="480"/>
        <w:ind w:firstLine="720"/>
      </w:pPr>
      <w:r>
        <w:rPr>
          <w:rFonts w:ascii="Times New Roman" w:cs="Times New Roman" w:eastAsia="Times New Roman" w:hAnsi="Times New Roman"/>
          <w:sz w:val="24"/>
          <w:szCs w:val="24"/>
        </w:rPr>
        <w:t xml:space="preserve">Reptile activates that fear by framing the case around a simple question: does the defendant's conduct endanger people beyond the plaintiff? Not just this child. Not just this program. Does the way this institution operates create a danger that could reach anyone—anyone's child, anyone's family?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Reptile Is Uniquely Powerful in TTI Cases</w:t>
      </w:r>
    </w:p>
    <w:p>
      <w:pPr>
        <w:spacing w:after="0" w:line="480"/>
      </w:pPr>
    </w:p>
    <w:p>
      <w:pPr>
        <w:spacing w:after="0" w:line="480"/>
      </w:pPr>
      <w:r>
        <w:rPr>
          <w:rFonts w:ascii="Times New Roman" w:cs="Times New Roman" w:eastAsia="Times New Roman" w:hAnsi="Times New Roman"/>
          <w:sz w:val="24"/>
          <w:szCs w:val="24"/>
        </w:rPr>
        <w:t xml:space="preserve">Most Reptile applications require the lawyer to construct the community-danger argument from individual facts. A car accident case requires you to persuade the jury that the defendant's texting-while-driving habit endangers everyone on the road. A medical malpractice case requires you to persuade the jury that the surgeon's sloppiness endangers every future patient. The connection between the individual case and the community danger is real but requires effort to build.</w:t>
      </w:r>
    </w:p>
    <w:p>
      <w:pPr>
        <w:spacing w:after="0" w:line="480"/>
        <w:ind w:firstLine="720"/>
      </w:pPr>
      <w:r>
        <w:rPr>
          <w:rFonts w:ascii="Times New Roman" w:cs="Times New Roman" w:eastAsia="Times New Roman" w:hAnsi="Times New Roman"/>
          <w:sz w:val="24"/>
          <w:szCs w:val="24"/>
        </w:rPr>
        <w:t xml:space="preserve">TTI cases require no construction. The community danger is inherent in the facts. A residential treatment program that restrains children, isolates them, censors their communications, and lies to their parents is not a program that did this to one child. It is a program that does this to every child who walks through its doors. The abuse was not aberrational. It was operational. It was how the program functioned. And because it was operational, it will happen again—unless the jury stops it.</w:t>
      </w:r>
    </w:p>
    <w:p>
      <w:pPr>
        <w:spacing w:after="0" w:line="480"/>
        <w:ind w:firstLine="720"/>
      </w:pPr>
      <w:r>
        <w:rPr>
          <w:rFonts w:ascii="Times New Roman" w:cs="Times New Roman" w:eastAsia="Times New Roman" w:hAnsi="Times New Roman"/>
          <w:sz w:val="24"/>
          <w:szCs w:val="24"/>
        </w:rPr>
        <w:t xml:space="preserve">That is the Reptile frame: the jury is not deciding a historical dispute. The jury is protecting the community from a present and ongoing danger. And the danger statement for TTI cases is the most powerful in all of institutional abuse litigation:</w:t>
      </w:r>
    </w:p>
    <w:p>
      <w:pPr>
        <w:spacing w:after="0" w:line="480"/>
        <w:ind w:firstLine="720"/>
      </w:pPr>
      <w:r>
        <w:rPr>
          <w:rFonts w:ascii="Times New Roman" w:cs="Times New Roman" w:eastAsia="Times New Roman" w:hAnsi="Times New Roman"/>
          <w:i/>
          <w:iCs/>
          <w:sz w:val="24"/>
          <w:szCs w:val="24"/>
        </w:rPr>
        <w:t xml:space="preserve">If this program can do this to one child behind closed doors, it can do it to any child whose parents are desperate enough to believe the brochure.</w:t>
      </w:r>
    </w:p>
    <w:p>
      <w:pPr>
        <w:spacing w:after="0" w:line="480"/>
        <w:ind w:firstLine="720"/>
      </w:pPr>
      <w:r>
        <w:rPr>
          <w:rFonts w:ascii="Times New Roman" w:cs="Times New Roman" w:eastAsia="Times New Roman" w:hAnsi="Times New Roman"/>
          <w:sz w:val="24"/>
          <w:szCs w:val="24"/>
        </w:rPr>
        <w:t xml:space="preserve">This works because every juror either has a child, knows a child, or was a child. The danger is concrete and personal. The program is still operating. It is still marketing to families. It is still accepting children. If the jury does not act, the next family that searches for help for their struggling teenager may find this program, believe its marketing, and hand over their child. The juror's reptile brain says: that could be my family. I must act.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Combining Rules and Reptile: The Integrated Framework</w:t>
      </w:r>
    </w:p>
    <w:p>
      <w:pPr>
        <w:spacing w:after="0" w:line="480"/>
      </w:pPr>
    </w:p>
    <w:p>
      <w:pPr>
        <w:spacing w:after="0" w:line="480"/>
      </w:pPr>
      <w:r>
        <w:rPr>
          <w:rFonts w:ascii="Times New Roman" w:cs="Times New Roman" w:eastAsia="Times New Roman" w:hAnsi="Times New Roman"/>
          <w:sz w:val="24"/>
          <w:szCs w:val="24"/>
        </w:rPr>
        <w:t xml:space="preserve">Rules and Reptile are not competing strategies. They are complementary. Rules tells the jury what the program should have done. Reptile tells the jury why it matters that the program did not do it.</w:t>
      </w:r>
    </w:p>
    <w:p>
      <w:pPr>
        <w:spacing w:after="0" w:line="480"/>
        <w:ind w:firstLine="720"/>
      </w:pPr>
      <w:r>
        <w:rPr>
          <w:rFonts w:ascii="Times New Roman" w:cs="Times New Roman" w:eastAsia="Times New Roman" w:hAnsi="Times New Roman"/>
          <w:sz w:val="24"/>
          <w:szCs w:val="24"/>
        </w:rPr>
        <w:t xml:space="preserve">The combination works like this. In voir dire, you establish the safety rules using the Rules method and the community-danger frame using the Reptile method. In cross-examination, you use Rules to extract admissions about what the program should have done, then layer Reptile to connect each violation to the ongoing danger. In closing, you present the rules the program broke (Rules) and then ask the jury what happens to the community if those violations go unaddressed (Reptile).</w:t>
      </w:r>
    </w:p>
    <w:p>
      <w:pPr>
        <w:spacing w:after="0" w:line="480"/>
        <w:ind w:firstLine="720"/>
      </w:pPr>
      <w:r>
        <w:rPr>
          <w:rFonts w:ascii="Times New Roman" w:cs="Times New Roman" w:eastAsia="Times New Roman" w:hAnsi="Times New Roman"/>
          <w:sz w:val="24"/>
          <w:szCs w:val="24"/>
        </w:rPr>
        <w:t xml:space="preserve">The strongest TTI trials use both methods throughout. Rules provides the intellectual framework—the objective standards the program violated. Reptile provides the motivational framework—the reason the jury must act. Together, they answer the two questions every juror asks: Was the program wrong? And does it matter?</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Deployment: Voir Dire</w:t>
      </w:r>
    </w:p>
    <w:p>
      <w:pPr>
        <w:spacing w:after="0" w:line="480"/>
      </w:pPr>
    </w:p>
    <w:p>
      <w:pPr>
        <w:spacing w:after="0" w:before="240" w:line="480"/>
      </w:pPr>
      <w:r>
        <w:rPr>
          <w:rFonts w:ascii="Times New Roman" w:cs="Times New Roman" w:eastAsia="Times New Roman" w:hAnsi="Times New Roman"/>
          <w:b/>
          <w:bCs/>
          <w:i/>
          <w:iCs/>
          <w:sz w:val="24"/>
          <w:szCs w:val="24"/>
        </w:rPr>
        <w:t xml:space="preserve">Rules in Voir Dire</w:t>
      </w:r>
    </w:p>
    <w:p>
      <w:pPr>
        <w:spacing w:after="0" w:line="480"/>
      </w:pPr>
      <w:r>
        <w:rPr>
          <w:rFonts w:ascii="Times New Roman" w:cs="Times New Roman" w:eastAsia="Times New Roman" w:hAnsi="Times New Roman"/>
          <w:sz w:val="24"/>
          <w:szCs w:val="24"/>
        </w:rPr>
        <w:t xml:space="preserve">Voir dire is where Rules of the Road begins its work. Your goal is to commit the jury to the rules before they hear the evidence—to establish the moral framework within which they will evaluate everything that follows.</w:t>
      </w:r>
    </w:p>
    <w:p>
      <w:pPr>
        <w:spacing w:after="0" w:line="480"/>
        <w:ind w:firstLine="720"/>
      </w:pPr>
      <w:r>
        <w:rPr>
          <w:rFonts w:ascii="Times New Roman" w:cs="Times New Roman" w:eastAsia="Times New Roman" w:hAnsi="Times New Roman"/>
          <w:sz w:val="24"/>
          <w:szCs w:val="24"/>
        </w:rPr>
        <w:t xml:space="preserve">The technique is conversational. You are not lecturing. You are asking for agreement. "I want to talk about what we expect from programs that take care of children. Can we agree that a program that accepts responsibility for a child should keep that child safe? Can we agree that if the program knows a staff member has complaints, it should not put that staff member in charge of children? Can we agree that parents should be told the truth about what is happening to their child?"</w:t>
      </w:r>
    </w:p>
    <w:p>
      <w:pPr>
        <w:spacing w:after="0" w:line="480"/>
        <w:ind w:firstLine="720"/>
      </w:pPr>
      <w:r>
        <w:rPr>
          <w:rFonts w:ascii="Times New Roman" w:cs="Times New Roman" w:eastAsia="Times New Roman" w:hAnsi="Times New Roman"/>
          <w:sz w:val="24"/>
          <w:szCs w:val="24"/>
        </w:rPr>
        <w:t xml:space="preserve">Each question is a rule. Each affirmative response is a commitment. By the time voir dire ends, the jury has agreed to a set of safety principles that the defendant systematically violated. The evidence at trial becomes a series of demonstrations that the program broke the rules the jury already endorsed.</w:t>
      </w:r>
    </w:p>
    <w:p>
      <w:pPr>
        <w:spacing w:after="0" w:line="480"/>
        <w:ind w:firstLine="720"/>
      </w:pPr>
      <w:r>
        <w:rPr>
          <w:rFonts w:ascii="Times New Roman" w:cs="Times New Roman" w:eastAsia="Times New Roman" w:hAnsi="Times New Roman"/>
          <w:sz w:val="24"/>
          <w:szCs w:val="24"/>
        </w:rPr>
        <w:t xml:space="preserve">Voir dire is also where you identify jurors who will resist your rules—jurors who believe that tough discipline builds character, that troubled teens need a firm hand, that programs know better than parents, or that children exaggerate. These are the jurors you need to identify and, if possible, excuse. A juror who does not agree with your rules will not find the defendant liable for breaking them, no matter how strong the evidence.</w:t>
      </w:r>
    </w:p>
    <w:p>
      <w:pPr>
        <w:spacing w:after="0" w:before="240" w:line="480"/>
      </w:pPr>
      <w:r>
        <w:rPr>
          <w:rFonts w:ascii="Times New Roman" w:cs="Times New Roman" w:eastAsia="Times New Roman" w:hAnsi="Times New Roman"/>
          <w:b/>
          <w:bCs/>
          <w:i/>
          <w:iCs/>
          <w:sz w:val="24"/>
          <w:szCs w:val="24"/>
        </w:rPr>
        <w:t xml:space="preserve">Reptile in Voir Dire</w:t>
      </w:r>
    </w:p>
    <w:p>
      <w:pPr>
        <w:spacing w:after="0" w:line="480"/>
        <w:ind w:firstLine="720"/>
      </w:pPr>
      <w:r>
        <w:rPr>
          <w:rFonts w:ascii="Times New Roman" w:cs="Times New Roman" w:eastAsia="Times New Roman" w:hAnsi="Times New Roman"/>
          <w:sz w:val="24"/>
          <w:szCs w:val="24"/>
        </w:rPr>
        <w:t xml:space="preserve">Reptile voir dire begins with community safety, not individual harm. You are not asking the jury to feel sorry for the plaintiff. You are asking the jury whether they believe that programs responsible for children have a duty to keep those children safe.</w:t>
      </w:r>
    </w:p>
    <w:p>
      <w:pPr>
        <w:spacing w:after="0" w:line="480"/>
        <w:ind w:firstLine="720"/>
      </w:pPr>
      <w:r>
        <w:rPr>
          <w:rFonts w:ascii="Times New Roman" w:cs="Times New Roman" w:eastAsia="Times New Roman" w:hAnsi="Times New Roman"/>
          <w:sz w:val="24"/>
          <w:szCs w:val="24"/>
        </w:rPr>
        <w:t xml:space="preserve">"How many of you have children or grandchildren? How many of you have ever considered sending a child to a program—summer camp, boarding school, treatment program? When you made that decision, did you expect the program to follow basic safety rules? Did you expect it to tell you the truth about what was happening? If you learned that the program had a pattern of breaking those rules—not once, but repeatedly, over months or years—would that concern you? Would you want someone to do something about it?"</w:t>
      </w:r>
    </w:p>
    <w:p>
      <w:pPr>
        <w:spacing w:after="0" w:line="480"/>
        <w:ind w:firstLine="720"/>
      </w:pPr>
      <w:r>
        <w:rPr>
          <w:rFonts w:ascii="Times New Roman" w:cs="Times New Roman" w:eastAsia="Times New Roman" w:hAnsi="Times New Roman"/>
          <w:sz w:val="24"/>
          <w:szCs w:val="24"/>
        </w:rPr>
        <w:t xml:space="preserve">These questions are not about the plaintiff. They are about the juror. They activate the juror's own experience of trusting institutions with children. By the time you finish Reptile voir dire, the jury is not evaluating a stranger's complaint. The jury is evaluating a threat to their own community.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Deployment: Cross-Examination</w:t>
      </w:r>
    </w:p>
    <w:p>
      <w:pPr>
        <w:spacing w:after="0" w:line="480"/>
      </w:pPr>
    </w:p>
    <w:p>
      <w:pPr>
        <w:spacing w:after="0" w:line="480"/>
      </w:pPr>
      <w:r>
        <w:rPr>
          <w:rFonts w:ascii="Times New Roman" w:cs="Times New Roman" w:eastAsia="Times New Roman" w:hAnsi="Times New Roman"/>
          <w:sz w:val="24"/>
          <w:szCs w:val="24"/>
        </w:rPr>
        <w:t xml:space="preserve">Cross-examination using the integrated Rules-Reptile framework is the most satisfying trial experience a lawyer can have, because the witness does most of the work.</w:t>
      </w:r>
    </w:p>
    <w:p>
      <w:pPr>
        <w:spacing w:after="0" w:line="480"/>
        <w:ind w:firstLine="720"/>
      </w:pPr>
      <w:r>
        <w:rPr>
          <w:rFonts w:ascii="Times New Roman" w:cs="Times New Roman" w:eastAsia="Times New Roman" w:hAnsi="Times New Roman"/>
          <w:sz w:val="24"/>
          <w:szCs w:val="24"/>
        </w:rPr>
        <w:t xml:space="preserve">The structure has four steps. Step one—establish the rule: "You would agree that a responsible residential treatment program should not use physical restraint on a minor for noncompliance with non-safety rules, correct?" The witness agrees. Step two—establish the violation: "And you are aware that on March 15, 2018, staff member John Doe restrained my client for refusing to participate in group therapy, correct?" The witness is trapped. Step three—confront with the document: "I'm showing you Exhibit 12. This is the incident report. Does it reflect what I just described?" Step four—connect to community danger: "And you would agree that if a program restrains one child for noncompliance, it creates a risk that it will restrain other children for noncompliance? Is this practice still in place today?"</w:t>
      </w:r>
    </w:p>
    <w:p>
      <w:pPr>
        <w:spacing w:after="0" w:line="480"/>
        <w:ind w:firstLine="720"/>
      </w:pPr>
      <w:r>
        <w:rPr>
          <w:rFonts w:ascii="Times New Roman" w:cs="Times New Roman" w:eastAsia="Times New Roman" w:hAnsi="Times New Roman"/>
          <w:sz w:val="24"/>
          <w:szCs w:val="24"/>
        </w:rPr>
        <w:t xml:space="preserve">The power of this structure is cumulative. One rule and one violation is a data point. Ten rules and ten violations is a pattern. Twenty rules and twenty violations is a system. By the end of cross-examination, the witness has agreed to every standard the program was supposed to meet and has been confronted with evidence that the program failed to meet any of them. The testimony is not your words. It is theirs. And that makes it unimpeachable.</w:t>
      </w:r>
    </w:p>
    <w:p>
      <w:pPr>
        <w:spacing w:after="0" w:line="480"/>
        <w:ind w:firstLine="720"/>
      </w:pPr>
      <w:r>
        <w:rPr>
          <w:rFonts w:ascii="Times New Roman" w:cs="Times New Roman" w:eastAsia="Times New Roman" w:hAnsi="Times New Roman"/>
          <w:sz w:val="24"/>
          <w:szCs w:val="24"/>
        </w:rPr>
        <w:t xml:space="preserve">The critical discipline: do not argue with the witness. Do not let them explain at length. Ask the question. Get the answer. Move to the next rule. If the witness tries to elaborate, interrupt politely: "I appreciate that, but my question was simply whether you agree with the rule. Do you agree?" Control the pace. Control the agenda. Let the rules do the work.</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Deployment: Closing Argument</w:t>
      </w:r>
    </w:p>
    <w:p>
      <w:pPr>
        <w:spacing w:after="0" w:line="480"/>
      </w:pPr>
    </w:p>
    <w:p>
      <w:pPr>
        <w:spacing w:after="0" w:before="240" w:line="480"/>
      </w:pPr>
      <w:r>
        <w:rPr>
          <w:rFonts w:ascii="Times New Roman" w:cs="Times New Roman" w:eastAsia="Times New Roman" w:hAnsi="Times New Roman"/>
          <w:b/>
          <w:bCs/>
          <w:i/>
          <w:iCs/>
          <w:sz w:val="24"/>
          <w:szCs w:val="24"/>
        </w:rPr>
        <w:t xml:space="preserve">The Rules Verdict</w:t>
      </w:r>
    </w:p>
    <w:p>
      <w:pPr>
        <w:spacing w:after="0" w:line="480"/>
      </w:pPr>
      <w:r>
        <w:rPr>
          <w:rFonts w:ascii="Times New Roman" w:cs="Times New Roman" w:eastAsia="Times New Roman" w:hAnsi="Times New Roman"/>
          <w:sz w:val="24"/>
          <w:szCs w:val="24"/>
        </w:rPr>
        <w:t xml:space="preserve">This closing framework assembles the rules into a verdict structure.</w:t>
      </w:r>
    </w:p>
    <w:p>
      <w:pPr>
        <w:spacing w:after="0" w:line="480"/>
        <w:ind w:firstLine="720"/>
      </w:pPr>
      <w:r>
        <w:rPr>
          <w:rFonts w:ascii="Times New Roman" w:cs="Times New Roman" w:eastAsia="Times New Roman" w:hAnsi="Times New Roman"/>
          <w:i/>
          <w:iCs/>
          <w:sz w:val="24"/>
          <w:szCs w:val="24"/>
        </w:rPr>
        <w:t xml:space="preserve">The rules:</w:t>
      </w:r>
      <w:r>
        <w:rPr>
          <w:rFonts w:ascii="Times New Roman" w:cs="Times New Roman" w:eastAsia="Times New Roman" w:hAnsi="Times New Roman"/>
          <w:sz w:val="24"/>
          <w:szCs w:val="24"/>
        </w:rPr>
        <w:t xml:space="preserve"> "At the beginning of this trial, I asked you to agree to some basic principles. You agreed. Let me remind you what they were." Display the rules on screen, one at a time.</w:t>
      </w:r>
    </w:p>
    <w:p>
      <w:pPr>
        <w:spacing w:after="0" w:line="480"/>
        <w:ind w:firstLine="720"/>
      </w:pPr>
      <w:r>
        <w:rPr>
          <w:rFonts w:ascii="Times New Roman" w:cs="Times New Roman" w:eastAsia="Times New Roman" w:hAnsi="Times New Roman"/>
          <w:i/>
          <w:iCs/>
          <w:sz w:val="24"/>
          <w:szCs w:val="24"/>
        </w:rPr>
        <w:t xml:space="preserve">The violations:</w:t>
      </w:r>
      <w:r>
        <w:rPr>
          <w:rFonts w:ascii="Times New Roman" w:cs="Times New Roman" w:eastAsia="Times New Roman" w:hAnsi="Times New Roman"/>
          <w:sz w:val="24"/>
          <w:szCs w:val="24"/>
        </w:rPr>
        <w:t xml:space="preserve"> For each rule, show the evidence of violation. "Rule: do not isolate a child as punishment. Evidence: [client] was placed in isolation fourteen times in three months. Here are the logs."</w:t>
      </w:r>
    </w:p>
    <w:p>
      <w:pPr>
        <w:spacing w:after="0" w:line="480"/>
        <w:ind w:firstLine="720"/>
      </w:pPr>
      <w:r>
        <w:rPr>
          <w:rFonts w:ascii="Times New Roman" w:cs="Times New Roman" w:eastAsia="Times New Roman" w:hAnsi="Times New Roman"/>
          <w:i/>
          <w:iCs/>
          <w:sz w:val="24"/>
          <w:szCs w:val="24"/>
        </w:rPr>
        <w:t xml:space="preserve">The pattern:</w:t>
      </w:r>
      <w:r>
        <w:rPr>
          <w:rFonts w:ascii="Times New Roman" w:cs="Times New Roman" w:eastAsia="Times New Roman" w:hAnsi="Times New Roman"/>
          <w:sz w:val="24"/>
          <w:szCs w:val="24"/>
        </w:rPr>
        <w:t xml:space="preserve"> "One violation is a mistake. Two is a pattern. Fourteen is a policy. This was not an accident. This was how they operated. Every rule. Every time."</w:t>
      </w:r>
    </w:p>
    <w:p>
      <w:pPr>
        <w:spacing w:after="0" w:line="480"/>
        <w:ind w:firstLine="720"/>
      </w:pPr>
      <w:r>
        <w:rPr>
          <w:rFonts w:ascii="Times New Roman" w:cs="Times New Roman" w:eastAsia="Times New Roman" w:hAnsi="Times New Roman"/>
          <w:i/>
          <w:iCs/>
          <w:sz w:val="24"/>
          <w:szCs w:val="24"/>
        </w:rPr>
        <w:t xml:space="preserve">The verdict:</w:t>
      </w:r>
      <w:r>
        <w:rPr>
          <w:rFonts w:ascii="Times New Roman" w:cs="Times New Roman" w:eastAsia="Times New Roman" w:hAnsi="Times New Roman"/>
          <w:sz w:val="24"/>
          <w:szCs w:val="24"/>
        </w:rPr>
        <w:t xml:space="preserve"> "You agreed to these rules because they are obvious. They are the bare minimum we expect from any program entrusted with a child. The defendant did not meet the bare minimum. Your verdict should say so."</w:t>
      </w:r>
    </w:p>
    <w:p>
      <w:pPr>
        <w:spacing w:after="0" w:before="240" w:line="480"/>
      </w:pPr>
      <w:r>
        <w:rPr>
          <w:rFonts w:ascii="Times New Roman" w:cs="Times New Roman" w:eastAsia="Times New Roman" w:hAnsi="Times New Roman"/>
          <w:b/>
          <w:bCs/>
          <w:i/>
          <w:iCs/>
          <w:sz w:val="24"/>
          <w:szCs w:val="24"/>
        </w:rPr>
        <w:t xml:space="preserve">The Reptile Close</w:t>
      </w:r>
    </w:p>
    <w:p>
      <w:pPr>
        <w:spacing w:after="0" w:line="480"/>
      </w:pPr>
      <w:r>
        <w:rPr>
          <w:rFonts w:ascii="Times New Roman" w:cs="Times New Roman" w:eastAsia="Times New Roman" w:hAnsi="Times New Roman"/>
          <w:sz w:val="24"/>
          <w:szCs w:val="24"/>
        </w:rPr>
        <w:t xml:space="preserve">This closing framework makes the jury the last line of defense for the community.</w:t>
      </w:r>
    </w:p>
    <w:p>
      <w:pPr>
        <w:spacing w:after="0" w:line="480"/>
        <w:ind w:firstLine="720"/>
      </w:pPr>
      <w:r>
        <w:rPr>
          <w:rFonts w:ascii="Times New Roman" w:cs="Times New Roman" w:eastAsia="Times New Roman" w:hAnsi="Times New Roman"/>
          <w:i/>
          <w:iCs/>
          <w:sz w:val="24"/>
          <w:szCs w:val="24"/>
        </w:rPr>
        <w:t xml:space="preserve">The ongoing danger:</w:t>
      </w:r>
      <w:r>
        <w:rPr>
          <w:rFonts w:ascii="Times New Roman" w:cs="Times New Roman" w:eastAsia="Times New Roman" w:hAnsi="Times New Roman"/>
          <w:sz w:val="24"/>
          <w:szCs w:val="24"/>
        </w:rPr>
        <w:t xml:space="preserve"> "This program is still open. It is still accepting children. It is still marketing the same promises it made to [client's] family. And unless something changes, it will keep operating exactly the way it was operating when it harmed [client]."</w:t>
      </w:r>
    </w:p>
    <w:p>
      <w:pPr>
        <w:spacing w:after="0" w:line="480"/>
        <w:ind w:firstLine="720"/>
      </w:pPr>
      <w:r>
        <w:rPr>
          <w:rFonts w:ascii="Times New Roman" w:cs="Times New Roman" w:eastAsia="Times New Roman" w:hAnsi="Times New Roman"/>
          <w:i/>
          <w:iCs/>
          <w:sz w:val="24"/>
          <w:szCs w:val="24"/>
        </w:rPr>
        <w:t xml:space="preserve">The jury's power:</w:t>
      </w:r>
      <w:r>
        <w:rPr>
          <w:rFonts w:ascii="Times New Roman" w:cs="Times New Roman" w:eastAsia="Times New Roman" w:hAnsi="Times New Roman"/>
          <w:sz w:val="24"/>
          <w:szCs w:val="24"/>
        </w:rPr>
        <w:t xml:space="preserve"> "You have the power to change that. Not the legislature—they have not acted. Not the regulators—they missed it. Not the industry—they looked the other way. You. Twelve people in this room. You are the last line of defense between this program and its next victim."</w:t>
      </w:r>
    </w:p>
    <w:p>
      <w:pPr>
        <w:spacing w:after="0" w:line="480"/>
        <w:ind w:firstLine="720"/>
      </w:pPr>
      <w:r>
        <w:rPr>
          <w:rFonts w:ascii="Times New Roman" w:cs="Times New Roman" w:eastAsia="Times New Roman" w:hAnsi="Times New Roman"/>
          <w:i/>
          <w:iCs/>
          <w:sz w:val="24"/>
          <w:szCs w:val="24"/>
        </w:rPr>
        <w:t xml:space="preserve">The verdict as protection:</w:t>
      </w:r>
      <w:r>
        <w:rPr>
          <w:rFonts w:ascii="Times New Roman" w:cs="Times New Roman" w:eastAsia="Times New Roman" w:hAnsi="Times New Roman"/>
          <w:sz w:val="24"/>
          <w:szCs w:val="24"/>
        </w:rPr>
        <w:t xml:space="preserve"> "A verdict for [client] is not just compensation. It is a message. It tells this program—and every program like it—that the community will not tolerate this conduct. That someone is watching. That there are consequences. Your verdict protects every child who might walk through those doors tomorrow."</w:t>
      </w:r>
    </w:p>
    <w:p>
      <w:pPr>
        <w:spacing w:after="0" w:line="480"/>
        <w:ind w:firstLine="720"/>
      </w:pPr>
      <w:r>
        <w:rPr>
          <w:rFonts w:ascii="Times New Roman" w:cs="Times New Roman" w:eastAsia="Times New Roman" w:hAnsi="Times New Roman"/>
          <w:i/>
          <w:iCs/>
          <w:sz w:val="24"/>
          <w:szCs w:val="24"/>
        </w:rPr>
        <w:t xml:space="preserve">The cost of inaction:</w:t>
      </w:r>
      <w:r>
        <w:rPr>
          <w:rFonts w:ascii="Times New Roman" w:cs="Times New Roman" w:eastAsia="Times New Roman" w:hAnsi="Times New Roman"/>
          <w:sz w:val="24"/>
          <w:szCs w:val="24"/>
        </w:rPr>
        <w:t xml:space="preserve"> "If you return a defense verdict, you are telling this program that what it did was acceptable. You are telling the next family that trusted a brochure, the next parent who was desperate for help—you are telling them that no one will help. Is that the message you want to send?"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When to Adjust the Framework</w:t>
      </w:r>
    </w:p>
    <w:p>
      <w:pPr>
        <w:spacing w:after="0" w:line="480"/>
      </w:pPr>
    </w:p>
    <w:p>
      <w:pPr>
        <w:spacing w:after="0" w:line="480"/>
      </w:pPr>
      <w:r>
        <w:rPr>
          <w:rFonts w:ascii="Times New Roman" w:cs="Times New Roman" w:eastAsia="Times New Roman" w:hAnsi="Times New Roman"/>
          <w:sz w:val="24"/>
          <w:szCs w:val="24"/>
        </w:rPr>
        <w:t xml:space="preserve">Rules and Reptile are not always deployed at equal intensity. Use this decision framework to calibrate your trial presentation.</w:t>
      </w:r>
    </w:p>
    <w:p>
      <w:pPr>
        <w:spacing w:after="0" w:line="480"/>
        <w:ind w:firstLine="720"/>
      </w:pPr>
      <w:r>
        <w:rPr>
          <w:rFonts w:ascii="Times New Roman" w:cs="Times New Roman" w:eastAsia="Times New Roman" w:hAnsi="Times New Roman"/>
          <w:i/>
          <w:iCs/>
          <w:sz w:val="24"/>
          <w:szCs w:val="24"/>
        </w:rPr>
        <w:t xml:space="preserve">Rules dominant, Reptile supportive:</w:t>
      </w:r>
      <w:r>
        <w:rPr>
          <w:rFonts w:ascii="Times New Roman" w:cs="Times New Roman" w:eastAsia="Times New Roman" w:hAnsi="Times New Roman"/>
          <w:sz w:val="24"/>
          <w:szCs w:val="24"/>
        </w:rPr>
        <w:t xml:space="preserve"> The defense argues therapeutic or professional discretion. You need objective standards to anchor the safety violations. Your industry expert testimony is central to the case. Lead with Rules to establish that the conduct fell below objective standards, then layer Reptile to connect the violations to community danger.</w:t>
      </w:r>
    </w:p>
    <w:p>
      <w:pPr>
        <w:spacing w:after="0" w:line="480"/>
        <w:ind w:firstLine="720"/>
      </w:pPr>
      <w:r>
        <w:rPr>
          <w:rFonts w:ascii="Times New Roman" w:cs="Times New Roman" w:eastAsia="Times New Roman" w:hAnsi="Times New Roman"/>
          <w:i/>
          <w:iCs/>
          <w:sz w:val="24"/>
          <w:szCs w:val="24"/>
        </w:rPr>
        <w:t xml:space="preserve">Reptile dominant, Rules supportive:</w:t>
      </w:r>
      <w:r>
        <w:rPr>
          <w:rFonts w:ascii="Times New Roman" w:cs="Times New Roman" w:eastAsia="Times New Roman" w:hAnsi="Times New Roman"/>
          <w:sz w:val="24"/>
          <w:szCs w:val="24"/>
        </w:rPr>
        <w:t xml:space="preserve"> The program is still operating. Multiple victims. Clear safety violations. Pattern evidence is strong. Regulatory failures are documented. The ongoing danger is concrete and personal. Lead with Reptile to activate the community-safety instinct, then use Rules to give the jury the specific standards the program violated.</w:t>
      </w:r>
    </w:p>
    <w:p>
      <w:pPr>
        <w:spacing w:after="0" w:line="480"/>
        <w:ind w:firstLine="720"/>
      </w:pPr>
      <w:r>
        <w:rPr>
          <w:rFonts w:ascii="Times New Roman" w:cs="Times New Roman" w:eastAsia="Times New Roman" w:hAnsi="Times New Roman"/>
          <w:i/>
          <w:iCs/>
          <w:sz w:val="24"/>
          <w:szCs w:val="24"/>
        </w:rPr>
        <w:t xml:space="preserve">Both secondary:</w:t>
      </w:r>
      <w:r>
        <w:rPr>
          <w:rFonts w:ascii="Times New Roman" w:cs="Times New Roman" w:eastAsia="Times New Roman" w:hAnsi="Times New Roman"/>
          <w:sz w:val="24"/>
          <w:szCs w:val="24"/>
        </w:rPr>
        <w:t xml:space="preserve"> The program is defunct. The ongoing-danger frame loses its force because the reptile brain responds to present threats, not historical ones. In these cases, the Trial by Human method (Chapter 16) should carry the emotional weight of the trial presentation, with Rules and Reptile providing structural support.</w:t>
      </w:r>
    </w:p>
    <w:p>
      <w:pPr>
        <w:spacing w:after="0" w:line="480"/>
        <w:ind w:firstLine="720"/>
      </w:pPr>
      <w:r>
        <w:rPr>
          <w:rFonts w:ascii="Times New Roman" w:cs="Times New Roman" w:eastAsia="Times New Roman" w:hAnsi="Times New Roman"/>
          <w:i/>
          <w:iCs/>
          <w:sz w:val="24"/>
          <w:szCs w:val="24"/>
        </w:rPr>
        <w:t xml:space="preserve">Caution—single bad actor:</w:t>
      </w:r>
      <w:r>
        <w:rPr>
          <w:rFonts w:ascii="Times New Roman" w:cs="Times New Roman" w:eastAsia="Times New Roman" w:hAnsi="Times New Roman"/>
          <w:sz w:val="24"/>
          <w:szCs w:val="24"/>
        </w:rPr>
        <w:t xml:space="preserve"> If the case involves one rogue staff member in an otherwise functioning program, the Reptile frame may lead the jury to conclude that the program was the victim of the individual's conduct, not its enabler. In these cases, focus on the negligent hiring, supervision, and retention claims—the program's systemic failure to prevent a foreseeable individual harm. Use Rules to show that the program's oversight policies were inadequate, and Reptile to argue that inadequate oversight endangers every child in the program.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TTI Rules Library: Starter Set</w:t>
      </w:r>
    </w:p>
    <w:p>
      <w:pPr>
        <w:spacing w:after="0" w:line="480"/>
      </w:pPr>
    </w:p>
    <w:p>
      <w:pPr>
        <w:spacing w:after="0" w:line="480"/>
      </w:pPr>
      <w:r>
        <w:rPr>
          <w:rFonts w:ascii="Times New Roman" w:cs="Times New Roman" w:eastAsia="Times New Roman" w:hAnsi="Times New Roman"/>
          <w:sz w:val="24"/>
          <w:szCs w:val="24"/>
        </w:rPr>
        <w:t xml:space="preserve">Use this starter library as a foundation. Add case-specific rules from your client's experience, the program's own policies, and your industry standard expert's testimony. Each rule should be sourced, provably violated, and phrased so that no reasonable witness can disagree with it.</w:t>
      </w:r>
    </w:p>
    <w:p>
      <w:pPr>
        <w:spacing w:after="0" w:line="480"/>
        <w:ind w:firstLine="720"/>
      </w:pPr>
      <w:r>
        <w:rPr>
          <w:rFonts w:ascii="Times New Roman" w:cs="Times New Roman" w:eastAsia="Times New Roman" w:hAnsi="Times New Roman"/>
          <w:sz w:val="24"/>
          <w:szCs w:val="24"/>
        </w:rPr>
        <w:t xml:space="preserve">1. A program responsible for a child must keep that child safe from harm.</w:t>
      </w:r>
    </w:p>
    <w:p>
      <w:pPr>
        <w:spacing w:after="0" w:line="480"/>
        <w:ind w:firstLine="720"/>
      </w:pPr>
      <w:r>
        <w:rPr>
          <w:rFonts w:ascii="Times New Roman" w:cs="Times New Roman" w:eastAsia="Times New Roman" w:hAnsi="Times New Roman"/>
          <w:sz w:val="24"/>
          <w:szCs w:val="24"/>
        </w:rPr>
        <w:t xml:space="preserve">2. A program must not use physical restraint except to prevent imminent physical danger.</w:t>
      </w:r>
    </w:p>
    <w:p>
      <w:pPr>
        <w:spacing w:after="0" w:line="480"/>
        <w:ind w:firstLine="720"/>
      </w:pPr>
      <w:r>
        <w:rPr>
          <w:rFonts w:ascii="Times New Roman" w:cs="Times New Roman" w:eastAsia="Times New Roman" w:hAnsi="Times New Roman"/>
          <w:sz w:val="24"/>
          <w:szCs w:val="24"/>
        </w:rPr>
        <w:t xml:space="preserve">3. A program must not isolate a child as punishment.</w:t>
      </w:r>
    </w:p>
    <w:p>
      <w:pPr>
        <w:spacing w:after="0" w:line="480"/>
        <w:ind w:firstLine="720"/>
      </w:pPr>
      <w:r>
        <w:rPr>
          <w:rFonts w:ascii="Times New Roman" w:cs="Times New Roman" w:eastAsia="Times New Roman" w:hAnsi="Times New Roman"/>
          <w:sz w:val="24"/>
          <w:szCs w:val="24"/>
        </w:rPr>
        <w:t xml:space="preserve">4. A program must not censor, withhold, or monitor a child's communications with their parents without the parents' knowledge and consent.</w:t>
      </w:r>
    </w:p>
    <w:p>
      <w:pPr>
        <w:spacing w:after="0" w:line="480"/>
        <w:ind w:firstLine="720"/>
      </w:pPr>
      <w:r>
        <w:rPr>
          <w:rFonts w:ascii="Times New Roman" w:cs="Times New Roman" w:eastAsia="Times New Roman" w:hAnsi="Times New Roman"/>
          <w:sz w:val="24"/>
          <w:szCs w:val="24"/>
        </w:rPr>
        <w:t xml:space="preserve">5. A program must employ licensed, qualified clinical staff to provide the therapeutic services it markets.</w:t>
      </w:r>
    </w:p>
    <w:p>
      <w:pPr>
        <w:spacing w:after="0" w:line="480"/>
        <w:ind w:firstLine="720"/>
      </w:pPr>
      <w:r>
        <w:rPr>
          <w:rFonts w:ascii="Times New Roman" w:cs="Times New Roman" w:eastAsia="Times New Roman" w:hAnsi="Times New Roman"/>
          <w:sz w:val="24"/>
          <w:szCs w:val="24"/>
        </w:rPr>
        <w:t xml:space="preserve">6. A program must conduct background checks on every staff member before hiring.</w:t>
      </w:r>
    </w:p>
    <w:p>
      <w:pPr>
        <w:spacing w:after="0" w:line="480"/>
        <w:ind w:firstLine="720"/>
      </w:pPr>
      <w:r>
        <w:rPr>
          <w:rFonts w:ascii="Times New Roman" w:cs="Times New Roman" w:eastAsia="Times New Roman" w:hAnsi="Times New Roman"/>
          <w:sz w:val="24"/>
          <w:szCs w:val="24"/>
        </w:rPr>
        <w:t xml:space="preserve">7. A program must accurately represent its services, qualifications, and outcomes to families.</w:t>
      </w:r>
    </w:p>
    <w:p>
      <w:pPr>
        <w:spacing w:after="0" w:line="480"/>
        <w:ind w:firstLine="720"/>
      </w:pPr>
      <w:r>
        <w:rPr>
          <w:rFonts w:ascii="Times New Roman" w:cs="Times New Roman" w:eastAsia="Times New Roman" w:hAnsi="Times New Roman"/>
          <w:sz w:val="24"/>
          <w:szCs w:val="24"/>
        </w:rPr>
        <w:t xml:space="preserve">8. A program must report injuries, incidents, and complaints to the parents and to licensing authorities.</w:t>
      </w:r>
    </w:p>
    <w:p>
      <w:pPr>
        <w:spacing w:after="0" w:line="480"/>
        <w:ind w:firstLine="720"/>
      </w:pPr>
      <w:r>
        <w:rPr>
          <w:rFonts w:ascii="Times New Roman" w:cs="Times New Roman" w:eastAsia="Times New Roman" w:hAnsi="Times New Roman"/>
          <w:sz w:val="24"/>
          <w:szCs w:val="24"/>
        </w:rPr>
        <w:t xml:space="preserve">9. A program must not punish a child for reporting abuse or requesting to speak with a parent.</w:t>
      </w:r>
    </w:p>
    <w:p>
      <w:pPr>
        <w:spacing w:after="0" w:line="480"/>
        <w:ind w:firstLine="720"/>
      </w:pPr>
      <w:r>
        <w:rPr>
          <w:rFonts w:ascii="Times New Roman" w:cs="Times New Roman" w:eastAsia="Times New Roman" w:hAnsi="Times New Roman"/>
          <w:sz w:val="24"/>
          <w:szCs w:val="24"/>
        </w:rPr>
        <w:t xml:space="preserve">10. A program must not use forced labor as a behavioral management tool.</w:t>
      </w:r>
    </w:p>
    <w:p>
      <w:pPr>
        <w:spacing w:after="0" w:line="480"/>
        <w:ind w:firstLine="720"/>
      </w:pPr>
      <w:r>
        <w:rPr>
          <w:rFonts w:ascii="Times New Roman" w:cs="Times New Roman" w:eastAsia="Times New Roman" w:hAnsi="Times New Roman"/>
          <w:sz w:val="24"/>
          <w:szCs w:val="24"/>
        </w:rPr>
        <w:t xml:space="preserve">11. A program must not strip-search a minor.</w:t>
      </w:r>
    </w:p>
    <w:p>
      <w:pPr>
        <w:spacing w:after="0" w:line="480"/>
        <w:ind w:firstLine="720"/>
      </w:pPr>
      <w:r>
        <w:rPr>
          <w:rFonts w:ascii="Times New Roman" w:cs="Times New Roman" w:eastAsia="Times New Roman" w:hAnsi="Times New Roman"/>
          <w:sz w:val="24"/>
          <w:szCs w:val="24"/>
        </w:rPr>
        <w:t xml:space="preserve">12. A program must train every staff member in trauma-informed care before allowing them to work with children.</w:t>
      </w:r>
    </w:p>
    <w:p>
      <w:pPr>
        <w:spacing w:after="0" w:line="480"/>
        <w:ind w:firstLine="720"/>
      </w:pPr>
      <w:r>
        <w:rPr>
          <w:rFonts w:ascii="Times New Roman" w:cs="Times New Roman" w:eastAsia="Times New Roman" w:hAnsi="Times New Roman"/>
          <w:sz w:val="24"/>
          <w:szCs w:val="24"/>
        </w:rPr>
        <w:t xml:space="preserve">13. A program must not use peer surveillance or peer punishment as behavioral management tools.</w:t>
      </w:r>
    </w:p>
    <w:p>
      <w:pPr>
        <w:spacing w:after="0" w:line="480"/>
        <w:ind w:firstLine="720"/>
      </w:pPr>
      <w:r>
        <w:rPr>
          <w:rFonts w:ascii="Times New Roman" w:cs="Times New Roman" w:eastAsia="Times New Roman" w:hAnsi="Times New Roman"/>
          <w:sz w:val="24"/>
          <w:szCs w:val="24"/>
        </w:rPr>
        <w:t xml:space="preserve">14. A program must not condition basic human needs—food, sleep, shelter, hygiene—on behavioral compliance.</w:t>
      </w:r>
    </w:p>
    <w:p>
      <w:pPr>
        <w:spacing w:after="0" w:line="480"/>
        <w:ind w:firstLine="720"/>
      </w:pPr>
      <w:r>
        <w:rPr>
          <w:rFonts w:ascii="Times New Roman" w:cs="Times New Roman" w:eastAsia="Times New Roman" w:hAnsi="Times New Roman"/>
          <w:sz w:val="24"/>
          <w:szCs w:val="24"/>
        </w:rPr>
        <w:t xml:space="preserve">15. A program must not use a level system that punishes children for having emotional reactions.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Voir Dire Script: Integrated Rules-Reptile Framework</w:t>
      </w:r>
    </w:p>
    <w:p>
      <w:pPr>
        <w:spacing w:after="0" w:line="480"/>
      </w:pPr>
    </w:p>
    <w:p>
      <w:pPr>
        <w:spacing w:after="0" w:line="480"/>
      </w:pPr>
      <w:r>
        <w:rPr>
          <w:rFonts w:ascii="Times New Roman" w:cs="Times New Roman" w:eastAsia="Times New Roman" w:hAnsi="Times New Roman"/>
          <w:sz w:val="24"/>
          <w:szCs w:val="24"/>
        </w:rPr>
        <w:t xml:space="preserve">Adapt this framework to your case. The goal is to secure jury commitment on your core rules and activate the community-safety instinct before a single fact is presented.</w:t>
      </w:r>
    </w:p>
    <w:p>
      <w:pPr>
        <w:spacing w:after="0" w:before="240" w:line="480"/>
      </w:pPr>
      <w:r>
        <w:rPr>
          <w:rFonts w:ascii="Times New Roman" w:cs="Times New Roman" w:eastAsia="Times New Roman" w:hAnsi="Times New Roman"/>
          <w:b/>
          <w:bCs/>
          <w:i/>
          <w:iCs/>
          <w:sz w:val="24"/>
          <w:szCs w:val="24"/>
        </w:rPr>
        <w:t xml:space="preserve">Opening the Conversation</w:t>
      </w:r>
    </w:p>
    <w:p>
      <w:pPr>
        <w:spacing w:after="0" w:line="480"/>
        <w:ind w:firstLine="720"/>
      </w:pPr>
      <w:r>
        <w:rPr>
          <w:rFonts w:ascii="Times New Roman" w:cs="Times New Roman" w:eastAsia="Times New Roman" w:hAnsi="Times New Roman"/>
          <w:sz w:val="24"/>
          <w:szCs w:val="24"/>
        </w:rPr>
        <w:t xml:space="preserve">"Before we talk about the facts of this case, I want to talk about some principles. Not legal rules—just basic expectations about how programs that care for children should operate. I'm going to ask if you agree with a few of these, and I want your honest reaction."</w:t>
      </w:r>
    </w:p>
    <w:p>
      <w:pPr>
        <w:spacing w:after="0" w:before="240" w:line="480"/>
      </w:pPr>
      <w:r>
        <w:rPr>
          <w:rFonts w:ascii="Times New Roman" w:cs="Times New Roman" w:eastAsia="Times New Roman" w:hAnsi="Times New Roman"/>
          <w:b/>
          <w:bCs/>
          <w:i/>
          <w:iCs/>
          <w:sz w:val="24"/>
          <w:szCs w:val="24"/>
        </w:rPr>
        <w:t xml:space="preserve">Presenting the Rules</w:t>
      </w:r>
    </w:p>
    <w:p>
      <w:pPr>
        <w:spacing w:after="0" w:line="480"/>
        <w:ind w:firstLine="720"/>
      </w:pPr>
      <w:r>
        <w:rPr>
          <w:rFonts w:ascii="Times New Roman" w:cs="Times New Roman" w:eastAsia="Times New Roman" w:hAnsi="Times New Roman"/>
          <w:sz w:val="24"/>
          <w:szCs w:val="24"/>
        </w:rPr>
        <w:t xml:space="preserve">Present five to seven of your strongest rules, one at a time. After each, ask: "Can we agree on that?" or "Does anyone disagree with that principle?" Note which jurors hesitate, qualify, or disagree. A juror who says "it depends on the circumstances" for a rule like "do not isolate children as punishment" is telling you they will find a way to excuse the program.</w:t>
      </w:r>
    </w:p>
    <w:p>
      <w:pPr>
        <w:spacing w:after="0" w:before="240" w:line="480"/>
      </w:pPr>
      <w:r>
        <w:rPr>
          <w:rFonts w:ascii="Times New Roman" w:cs="Times New Roman" w:eastAsia="Times New Roman" w:hAnsi="Times New Roman"/>
          <w:b/>
          <w:bCs/>
          <w:i/>
          <w:iCs/>
          <w:sz w:val="24"/>
          <w:szCs w:val="24"/>
        </w:rPr>
        <w:t xml:space="preserve">Activating Reptile</w:t>
      </w:r>
    </w:p>
    <w:p>
      <w:pPr>
        <w:spacing w:after="0" w:line="480"/>
        <w:ind w:firstLine="720"/>
      </w:pPr>
      <w:r>
        <w:rPr>
          <w:rFonts w:ascii="Times New Roman" w:cs="Times New Roman" w:eastAsia="Times New Roman" w:hAnsi="Times New Roman"/>
          <w:sz w:val="24"/>
          <w:szCs w:val="24"/>
        </w:rPr>
        <w:t xml:space="preserve">"How many of you have children or grandchildren? How many of you have trusted an institution with a child—a school, a camp, a program? When you made that decision, did you expect the program to follow the kind of rules we just discussed? If you learned that a program had a pattern of breaking those rules—not once, but repeatedly—would that concern you? Would you want someone to do something about it?"</w:t>
      </w:r>
    </w:p>
    <w:p>
      <w:pPr>
        <w:spacing w:after="0" w:before="240" w:line="480"/>
      </w:pPr>
      <w:r>
        <w:rPr>
          <w:rFonts w:ascii="Times New Roman" w:cs="Times New Roman" w:eastAsia="Times New Roman" w:hAnsi="Times New Roman"/>
          <w:b/>
          <w:bCs/>
          <w:i/>
          <w:iCs/>
          <w:sz w:val="24"/>
          <w:szCs w:val="24"/>
        </w:rPr>
        <w:t xml:space="preserve">The Commitment</w:t>
      </w:r>
    </w:p>
    <w:p>
      <w:pPr>
        <w:spacing w:after="0" w:line="480"/>
        <w:ind w:firstLine="720"/>
      </w:pPr>
      <w:r>
        <w:rPr>
          <w:rFonts w:ascii="Times New Roman" w:cs="Times New Roman" w:eastAsia="Times New Roman" w:hAnsi="Times New Roman"/>
          <w:sz w:val="24"/>
          <w:szCs w:val="24"/>
        </w:rPr>
        <w:t xml:space="preserve">"Thank you. I'm going to ask you to hold those principles in mind as you hear the evidence. And at the end of the trial, I'm going to show you how the defendant violated every one of them—and ask you what that means for the safety of children in our community."</w:t>
      </w:r>
    </w:p>
    <w:p>
      <w:pPr>
        <w:spacing w:after="0" w:before="240" w:line="480"/>
      </w:pPr>
      <w:r>
        <w:rPr>
          <w:rFonts w:ascii="Times New Roman" w:cs="Times New Roman" w:eastAsia="Times New Roman" w:hAnsi="Times New Roman"/>
          <w:b/>
          <w:bCs/>
          <w:i/>
          <w:iCs/>
          <w:sz w:val="24"/>
          <w:szCs w:val="24"/>
        </w:rPr>
        <w:t xml:space="preserve">Identifying Problem Jurors</w:t>
      </w:r>
    </w:p>
    <w:p>
      <w:pPr>
        <w:spacing w:after="0" w:line="480"/>
        <w:ind w:firstLine="720"/>
      </w:pPr>
      <w:r>
        <w:rPr>
          <w:rFonts w:ascii="Times New Roman" w:cs="Times New Roman" w:eastAsia="Times New Roman" w:hAnsi="Times New Roman"/>
          <w:sz w:val="24"/>
          <w:szCs w:val="24"/>
        </w:rPr>
        <w:t xml:space="preserve">Any juror who resists your core rules is a challenge for cause or a priority strike. Watch for these signals: "Kids today need discipline." "Sometimes tough love is the only thing that works." "Programs know better than parents." "My parents sent me to a strict school and I turned out fine." These beliefs are the defense's narrative in juror form. Identify them early. Remove them if you can.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Cross-Examination Template: Rule-Violation-Document-Danger</w:t>
      </w:r>
    </w:p>
    <w:p>
      <w:pPr>
        <w:spacing w:after="0" w:line="480"/>
      </w:pPr>
    </w:p>
    <w:p>
      <w:pPr>
        <w:spacing w:after="0" w:line="480"/>
      </w:pPr>
      <w:r>
        <w:rPr>
          <w:rFonts w:ascii="Times New Roman" w:cs="Times New Roman" w:eastAsia="Times New Roman" w:hAnsi="Times New Roman"/>
          <w:sz w:val="24"/>
          <w:szCs w:val="24"/>
        </w:rPr>
        <w:t xml:space="preserve">This four-step template integrates Rules and Reptile for maximum impact.</w:t>
      </w:r>
    </w:p>
    <w:p>
      <w:pPr>
        <w:spacing w:after="0" w:line="480"/>
        <w:ind w:firstLine="720"/>
      </w:pPr>
      <w:r>
        <w:rPr>
          <w:rFonts w:ascii="Times New Roman" w:cs="Times New Roman" w:eastAsia="Times New Roman" w:hAnsi="Times New Roman"/>
          <w:i/>
          <w:iCs/>
          <w:sz w:val="24"/>
          <w:szCs w:val="24"/>
        </w:rPr>
        <w:t xml:space="preserve">Step 1 — Establish the rule:</w:t>
      </w:r>
      <w:r>
        <w:rPr>
          <w:rFonts w:ascii="Times New Roman" w:cs="Times New Roman" w:eastAsia="Times New Roman" w:hAnsi="Times New Roman"/>
          <w:sz w:val="24"/>
          <w:szCs w:val="24"/>
        </w:rPr>
        <w:t xml:space="preserve"> "You would agree that a responsible residential treatment program should [rule], correct?"</w:t>
      </w:r>
    </w:p>
    <w:p>
      <w:pPr>
        <w:spacing w:after="0" w:line="480"/>
        <w:ind w:firstLine="720"/>
      </w:pPr>
      <w:r>
        <w:rPr>
          <w:rFonts w:ascii="Times New Roman" w:cs="Times New Roman" w:eastAsia="Times New Roman" w:hAnsi="Times New Roman"/>
          <w:i/>
          <w:iCs/>
          <w:sz w:val="24"/>
          <w:szCs w:val="24"/>
        </w:rPr>
        <w:t xml:space="preserve">Step 2 — Establish the violation:</w:t>
      </w:r>
      <w:r>
        <w:rPr>
          <w:rFonts w:ascii="Times New Roman" w:cs="Times New Roman" w:eastAsia="Times New Roman" w:hAnsi="Times New Roman"/>
          <w:sz w:val="24"/>
          <w:szCs w:val="24"/>
        </w:rPr>
        <w:t xml:space="preserve"> "And you are aware that on [date], at [program], [specific violation occurred], correct?"</w:t>
      </w:r>
    </w:p>
    <w:p>
      <w:pPr>
        <w:spacing w:after="0" w:line="480"/>
        <w:ind w:firstLine="720"/>
      </w:pPr>
      <w:r>
        <w:rPr>
          <w:rFonts w:ascii="Times New Roman" w:cs="Times New Roman" w:eastAsia="Times New Roman" w:hAnsi="Times New Roman"/>
          <w:i/>
          <w:iCs/>
          <w:sz w:val="24"/>
          <w:szCs w:val="24"/>
        </w:rPr>
        <w:t xml:space="preserve">Step 3 — Confront with document:</w:t>
      </w:r>
      <w:r>
        <w:rPr>
          <w:rFonts w:ascii="Times New Roman" w:cs="Times New Roman" w:eastAsia="Times New Roman" w:hAnsi="Times New Roman"/>
          <w:sz w:val="24"/>
          <w:szCs w:val="24"/>
        </w:rPr>
        <w:t xml:space="preserve"> "I'm showing you Exhibit [X]. This is [the incident report / the staffing log / the internal email / the marketing brochure]. Does it reflect what I just described?"</w:t>
      </w:r>
    </w:p>
    <w:p>
      <w:pPr>
        <w:spacing w:after="0" w:line="480"/>
        <w:ind w:firstLine="720"/>
      </w:pPr>
      <w:r>
        <w:rPr>
          <w:rFonts w:ascii="Times New Roman" w:cs="Times New Roman" w:eastAsia="Times New Roman" w:hAnsi="Times New Roman"/>
          <w:i/>
          <w:iCs/>
          <w:sz w:val="24"/>
          <w:szCs w:val="24"/>
        </w:rPr>
        <w:t xml:space="preserve">Step 4 — Connect to community danger:</w:t>
      </w:r>
      <w:r>
        <w:rPr>
          <w:rFonts w:ascii="Times New Roman" w:cs="Times New Roman" w:eastAsia="Times New Roman" w:hAnsi="Times New Roman"/>
          <w:sz w:val="24"/>
          <w:szCs w:val="24"/>
        </w:rPr>
        <w:t xml:space="preserve"> "And if a program [violates this rule] with one child, it creates a risk that it will do the same to other children, correct? Has the program changed this practice since [client's] experience?"</w:t>
      </w:r>
    </w:p>
    <w:p>
      <w:pPr>
        <w:spacing w:after="0" w:line="480"/>
        <w:ind w:firstLine="720"/>
      </w:pPr>
      <w:r>
        <w:rPr>
          <w:rFonts w:ascii="Times New Roman" w:cs="Times New Roman" w:eastAsia="Times New Roman" w:hAnsi="Times New Roman"/>
          <w:sz w:val="24"/>
          <w:szCs w:val="24"/>
        </w:rPr>
        <w:t xml:space="preserve">Repeat. Move to the next rule. Do not argue. Do not allow extended explanation. Pace and accumulation are your weapons. By the fifth rule-violation-document-danger cycle, the pattern is undeniable. By the tenth, the jury has stopped listening to the witness and started making up its mind.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Rules of the Road and Reptile are the two most powerful trial frameworks for TTI cases, and they work best in combination. Rules provides the intellectual framework—simple safety standards the program violated. Reptile provides the motivational framework—the reason the jury must act to protect the community.</w:t>
      </w:r>
    </w:p>
    <w:p>
      <w:pPr>
        <w:spacing w:after="0" w:line="480"/>
        <w:ind w:firstLine="720"/>
      </w:pPr>
      <w:r>
        <w:rPr>
          <w:rFonts w:ascii="Times New Roman" w:cs="Times New Roman" w:eastAsia="Times New Roman" w:hAnsi="Times New Roman"/>
          <w:sz w:val="24"/>
          <w:szCs w:val="24"/>
        </w:rPr>
        <w:t xml:space="preserve">Rules of the Road reduces complex institutional liability to simple, undeniable safety rules sourced from the program's own policies, industry standards, state regulations, and common sense. TTI programs are uniquely vulnerable to Rules because they violate basic child-safety principles constantly, systematically, and as a matter of policy. The rules map directly to the BITE framework from Chapter 5.</w:t>
      </w:r>
    </w:p>
    <w:p>
      <w:pPr>
        <w:spacing w:after="0" w:line="480"/>
        <w:ind w:firstLine="720"/>
      </w:pPr>
      <w:r>
        <w:rPr>
          <w:rFonts w:ascii="Times New Roman" w:cs="Times New Roman" w:eastAsia="Times New Roman" w:hAnsi="Times New Roman"/>
          <w:sz w:val="24"/>
          <w:szCs w:val="24"/>
        </w:rPr>
        <w:t xml:space="preserve">Reptile activates the jury's survival instinct by framing the case as a community danger, not just an individual harm. TTI cases are the most natural Reptile cases in civil litigation because the danger is operational, not aberrational—it will happen to the next child unless the jury acts. The TTI danger statement is: if this program can do this to one child behind closed doors, it can do it to any child whose parents are desperate enough to believe the brochure.</w:t>
      </w:r>
    </w:p>
    <w:p>
      <w:pPr>
        <w:spacing w:after="0" w:line="480"/>
        <w:ind w:firstLine="720"/>
      </w:pPr>
      <w:r>
        <w:rPr>
          <w:rFonts w:ascii="Times New Roman" w:cs="Times New Roman" w:eastAsia="Times New Roman" w:hAnsi="Times New Roman"/>
          <w:sz w:val="24"/>
          <w:szCs w:val="24"/>
        </w:rPr>
        <w:t xml:space="preserve">Deploy both frameworks across three trial phases. In voir dire, secure jury commitment to safety rules and activate the community-safety instinct. In cross-examination, use the rule-violation-document-danger template to extract damning admissions. In closing, assemble the rules into a verdict structure and make the jury the last line of defense between the program and its next victim.</w:t>
      </w:r>
    </w:p>
    <w:p>
      <w:pPr>
        <w:spacing w:after="0" w:line="480"/>
        <w:ind w:firstLine="720"/>
      </w:pPr>
      <w:r>
        <w:rPr>
          <w:rFonts w:ascii="Times New Roman" w:cs="Times New Roman" w:eastAsia="Times New Roman" w:hAnsi="Times New Roman"/>
          <w:sz w:val="24"/>
          <w:szCs w:val="24"/>
        </w:rPr>
        <w:t xml:space="preserve">Adjust emphasis based on case characteristics: Rules dominant when the defense argues therapeutic discretion; Reptile dominant when the program is still operating and pattern evidence is strong; both secondary when the program is defunct and the survivor's personal story should carry the trial.</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Rules of the Road and Reptile for TTI Cases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2026-05-08T05:49:44.306Z</dcterms:created>
  <dcterms:modified xsi:type="dcterms:W3CDTF">2026-05-08T05:49:44.306Z</dcterms:modified>
</cp:coreProperties>
</file>

<file path=docProps/custom.xml><?xml version="1.0" encoding="utf-8"?>
<Properties xmlns="http://schemas.openxmlformats.org/officeDocument/2006/custom-properties" xmlns:vt="http://schemas.openxmlformats.org/officeDocument/2006/docPropsVTypes"/>
</file>