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19</w:t>
      </w:r>
    </w:p>
    <w:p>
      <w:pPr>
        <w:spacing w:after="0" w:line="480"/>
      </w:pPr>
    </w:p>
    <w:p>
      <w:pPr>
        <w:spacing w:after="0" w:line="480"/>
        <w:jc w:val="center"/>
      </w:pPr>
      <w:r>
        <w:rPr>
          <w:rFonts w:ascii="Times New Roman" w:cs="Times New Roman" w:eastAsia="Times New Roman" w:hAnsi="Times New Roman"/>
          <w:sz w:val="24"/>
          <w:szCs w:val="24"/>
        </w:rPr>
        <w:t xml:space="preserve">Opening, Cross, and Closing</w:t>
      </w:r>
    </w:p>
    <w:p>
      <w:pPr>
        <w:spacing w:after="0" w:line="480"/>
        <w:jc w:val="center"/>
      </w:pPr>
      <w:r>
        <w:rPr>
          <w:rFonts w:ascii="Times New Roman" w:cs="Times New Roman" w:eastAsia="Times New Roman" w:hAnsi="Times New Roman"/>
          <w:i/>
          <w:iCs/>
          <w:sz w:val="24"/>
          <w:szCs w:val="24"/>
        </w:rPr>
        <w:t xml:space="preserve">Executing the Trial and Surviving It</w:t>
      </w:r>
    </w:p>
    <w:p>
      <w:pPr>
        <w:spacing w:after="0" w:line="480"/>
      </w:pPr>
    </w:p>
    <w:p>
      <w:pPr>
        <w:spacing w:after="0" w:line="480"/>
      </w:pPr>
      <w:r>
        <w:rPr>
          <w:rFonts w:ascii="Times New Roman" w:cs="Times New Roman" w:eastAsia="Times New Roman" w:hAnsi="Times New Roman"/>
          <w:sz w:val="24"/>
          <w:szCs w:val="24"/>
        </w:rPr>
        <w:t xml:space="preserve">A trial is a performance that must not feel like one.</w:t>
      </w:r>
    </w:p>
    <w:p>
      <w:pPr>
        <w:spacing w:after="0" w:line="480"/>
        <w:ind w:firstLine="720"/>
      </w:pPr>
      <w:r>
        <w:rPr>
          <w:rFonts w:ascii="Times New Roman" w:cs="Times New Roman" w:eastAsia="Times New Roman" w:hAnsi="Times New Roman"/>
          <w:sz w:val="24"/>
          <w:szCs w:val="24"/>
        </w:rPr>
        <w:t xml:space="preserve">Everything in the preceding chapters—the Villain Reveal voir dire, the StoryBrand narrative architecture, the witness strategy and polarization framework from Chapter 18, the harms-and-losses framework, the Rules of the Road, the Reptile safety rules, the Trial by Human authenticity—converges in the courtroom across three acts: opening statement, the examination of witnesses, and closing argument. Each act has its own craft. Each demands a different mode of advocacy. And each must feel, to the jury, like a seamless continuation of the single story you began telling during jury selection.</w:t>
      </w:r>
    </w:p>
    <w:p>
      <w:pPr>
        <w:spacing w:after="0" w:line="480"/>
        <w:ind w:firstLine="720"/>
      </w:pPr>
      <w:r>
        <w:rPr>
          <w:rFonts w:ascii="Times New Roman" w:cs="Times New Roman" w:eastAsia="Times New Roman" w:hAnsi="Times New Roman"/>
          <w:sz w:val="24"/>
          <w:szCs w:val="24"/>
        </w:rPr>
        <w:t xml:space="preserve">This chapter covers the practical execution of all three acts in TTI cases. It also addresses something that trial practice books rarely discuss: how to survive the process. TTI trials are uniquely punishing for the lawyers who try them. You are not litigating a transaction or a traffic accident. You are immersing yourself in systematic cruelty against children—reading the records, hearing the testimony, sitting with the survivor as they relive what was done to them. The emotional weight is cumulative. This chapter addresses that weight directly and offers practical strategies—including AI-assisted preparation—to manage the workload, protect the team, and sustain a practice that allows you to help more survivors without destroying yourself.</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Opening Statement: The Call to Adventure</w:t>
      </w:r>
    </w:p>
    <w:p>
      <w:pPr>
        <w:spacing w:after="0" w:line="480"/>
      </w:pPr>
    </w:p>
    <w:p>
      <w:pPr>
        <w:spacing w:after="0" w:line="480"/>
      </w:pPr>
      <w:r>
        <w:rPr>
          <w:rFonts w:ascii="Times New Roman" w:cs="Times New Roman" w:eastAsia="Times New Roman" w:hAnsi="Times New Roman"/>
          <w:sz w:val="24"/>
          <w:szCs w:val="24"/>
        </w:rPr>
        <w:t xml:space="preserve">In the StoryBrand architecture from Chapter 16, opening statement is the Call to Adventure—the moment you reveal the full scope of the story to the jury for the first time. During voir dire, you built the moral architecture and hinted at the world the jury was about to enter. Opening statement is where you take them inside.</w:t>
      </w:r>
    </w:p>
    <w:p>
      <w:pPr>
        <w:spacing w:after="0" w:before="240" w:line="480"/>
      </w:pPr>
      <w:r>
        <w:rPr>
          <w:rFonts w:ascii="Times New Roman" w:cs="Times New Roman" w:eastAsia="Times New Roman" w:hAnsi="Times New Roman"/>
          <w:b/>
          <w:bCs/>
          <w:i/>
          <w:iCs/>
          <w:sz w:val="24"/>
          <w:szCs w:val="24"/>
        </w:rPr>
        <w:t xml:space="preserve">The First Thirty Seconds</w:t>
      </w:r>
    </w:p>
    <w:p>
      <w:pPr>
        <w:spacing w:after="0" w:line="480"/>
        <w:ind w:firstLine="720"/>
      </w:pPr>
      <w:r>
        <w:rPr>
          <w:rFonts w:ascii="Times New Roman" w:cs="Times New Roman" w:eastAsia="Times New Roman" w:hAnsi="Times New Roman"/>
          <w:sz w:val="24"/>
          <w:szCs w:val="24"/>
        </w:rPr>
        <w:t xml:space="preserve">The first thirty seconds of your opening determine whether the jury leans forward or checks out. Do not begin with a legal framework. Do not begin with a roadmap of the evidence. Do not begin with "This is a case about." Begin with a human moment—a scene that drops the jury into the story.</w:t>
      </w:r>
    </w:p>
    <w:p>
      <w:pPr>
        <w:spacing w:after="0" w:line="480"/>
        <w:ind w:firstLine="720"/>
      </w:pPr>
      <w:r>
        <w:rPr>
          <w:rFonts w:ascii="Times New Roman" w:cs="Times New Roman" w:eastAsia="Times New Roman" w:hAnsi="Times New Roman"/>
          <w:sz w:val="24"/>
          <w:szCs w:val="24"/>
        </w:rPr>
        <w:t xml:space="preserve">"On the night of March 14, 2019, a fifteen-year-old girl named [first name] was asleep in her bed when two strangers walked into her bedroom, told her she was going on a trip, and drove her to an airport. She did not know where she was going. She was not allowed to call her parents. She would not speak to anyone outside the program for the next six months."</w:t>
      </w:r>
    </w:p>
    <w:p>
      <w:pPr>
        <w:spacing w:after="0" w:line="480"/>
        <w:ind w:firstLine="720"/>
      </w:pPr>
      <w:r>
        <w:rPr>
          <w:rFonts w:ascii="Times New Roman" w:cs="Times New Roman" w:eastAsia="Times New Roman" w:hAnsi="Times New Roman"/>
          <w:sz w:val="24"/>
          <w:szCs w:val="24"/>
        </w:rPr>
        <w:t xml:space="preserve">This is not argument. It is narrative. It is a scene the jury can see. And it raises the question that will drive the entire trial: what happened to her?</w:t>
      </w:r>
    </w:p>
    <w:p>
      <w:pPr>
        <w:spacing w:after="0" w:before="240" w:line="480"/>
      </w:pPr>
      <w:r>
        <w:rPr>
          <w:rFonts w:ascii="Times New Roman" w:cs="Times New Roman" w:eastAsia="Times New Roman" w:hAnsi="Times New Roman"/>
          <w:b/>
          <w:bCs/>
          <w:i/>
          <w:iCs/>
          <w:sz w:val="24"/>
          <w:szCs w:val="24"/>
        </w:rPr>
        <w:t xml:space="preserve">The Structure of a TTI Opening</w:t>
      </w:r>
    </w:p>
    <w:p>
      <w:pPr>
        <w:spacing w:after="0" w:line="480"/>
        <w:ind w:firstLine="720"/>
      </w:pPr>
      <w:r>
        <w:rPr>
          <w:rFonts w:ascii="Times New Roman" w:cs="Times New Roman" w:eastAsia="Times New Roman" w:hAnsi="Times New Roman"/>
          <w:sz w:val="24"/>
          <w:szCs w:val="24"/>
        </w:rPr>
        <w:t xml:space="preserve">After the opening scene, the body follows the StoryBrand narrative map.</w:t>
      </w:r>
    </w:p>
    <w:p>
      <w:pPr>
        <w:spacing w:after="0" w:line="480"/>
        <w:ind w:firstLine="720"/>
      </w:pPr>
      <w:r>
        <w:rPr>
          <w:rFonts w:ascii="Times New Roman" w:cs="Times New Roman" w:eastAsia="Times New Roman" w:hAnsi="Times New Roman"/>
          <w:i/>
          <w:iCs/>
          <w:sz w:val="24"/>
          <w:szCs w:val="24"/>
        </w:rPr>
        <w:t xml:space="preserve">The mask</w:t>
      </w:r>
      <w:r>
        <w:rPr>
          <w:rFonts w:ascii="Times New Roman" w:cs="Times New Roman" w:eastAsia="Times New Roman" w:hAnsi="Times New Roman"/>
          <w:sz w:val="24"/>
          <w:szCs w:val="24"/>
        </w:rPr>
        <w:t xml:space="preserve"> (two to three minutes). Show the jury what the program presented to the world. Quote the marketing materials. Show the website. Read the enrollment agreement. Let the jury see what the family saw when they made the decision to trust this program. The mask must feel real because it was real—the family believed it, the regulators accepted it, the community trusted it. The mask establishes the betrayal that will drive the jury's outrage.</w:t>
      </w:r>
    </w:p>
    <w:p>
      <w:pPr>
        <w:spacing w:after="0" w:line="480"/>
        <w:ind w:firstLine="720"/>
      </w:pPr>
      <w:r>
        <w:rPr>
          <w:rFonts w:ascii="Times New Roman" w:cs="Times New Roman" w:eastAsia="Times New Roman" w:hAnsi="Times New Roman"/>
          <w:i/>
          <w:iCs/>
          <w:sz w:val="24"/>
          <w:szCs w:val="24"/>
        </w:rPr>
        <w:t xml:space="preserve">The reality</w:t>
      </w:r>
      <w:r>
        <w:rPr>
          <w:rFonts w:ascii="Times New Roman" w:cs="Times New Roman" w:eastAsia="Times New Roman" w:hAnsi="Times New Roman"/>
          <w:sz w:val="24"/>
          <w:szCs w:val="24"/>
        </w:rPr>
        <w:t xml:space="preserve"> (three to five minutes). After the mask, the reveal. Tell the jury what you will prove happened behind the program's facade. Not every detail—you are not reading the complaint aloud. The key moments. The system. How the program isolated the child, controlled information, suppressed complaints, and created the conditions that made the harm inevitable. This is coercive-system theory delivered as narrative.</w:t>
      </w:r>
    </w:p>
    <w:p>
      <w:pPr>
        <w:spacing w:after="0" w:line="480"/>
        <w:ind w:firstLine="720"/>
      </w:pPr>
      <w:r>
        <w:rPr>
          <w:rFonts w:ascii="Times New Roman" w:cs="Times New Roman" w:eastAsia="Times New Roman" w:hAnsi="Times New Roman"/>
          <w:i/>
          <w:iCs/>
          <w:sz w:val="24"/>
          <w:szCs w:val="24"/>
        </w:rPr>
        <w:t xml:space="preserve">The harm</w:t>
      </w:r>
      <w:r>
        <w:rPr>
          <w:rFonts w:ascii="Times New Roman" w:cs="Times New Roman" w:eastAsia="Times New Roman" w:hAnsi="Times New Roman"/>
          <w:sz w:val="24"/>
          <w:szCs w:val="24"/>
        </w:rPr>
        <w:t xml:space="preserve"> (three to five minutes). Transition from the system to the person. Tell the jury what the system did to your client—not clinically, but humanly. Use the harms-and-losses language from Chapter 17. Show the jury the person before, the system in the middle, and the person after. Let them see the gap between who this child was becoming and who the program made them.</w:t>
      </w:r>
    </w:p>
    <w:p>
      <w:pPr>
        <w:spacing w:after="0" w:line="480"/>
        <w:ind w:firstLine="720"/>
      </w:pPr>
      <w:r>
        <w:rPr>
          <w:rFonts w:ascii="Times New Roman" w:cs="Times New Roman" w:eastAsia="Times New Roman" w:hAnsi="Times New Roman"/>
          <w:i/>
          <w:iCs/>
          <w:sz w:val="24"/>
          <w:szCs w:val="24"/>
        </w:rPr>
        <w:t xml:space="preserve">The ask</w:t>
      </w:r>
      <w:r>
        <w:rPr>
          <w:rFonts w:ascii="Times New Roman" w:cs="Times New Roman" w:eastAsia="Times New Roman" w:hAnsi="Times New Roman"/>
          <w:sz w:val="24"/>
          <w:szCs w:val="24"/>
        </w:rPr>
        <w:t xml:space="preserve"> (one to two minutes). End with what you want. Not the dollar amount—not yet. The principle. "We are going to ask you to hold this program accountable for the system it created. We are going to show you the evidence. And at the end of this trial, we are going to ask you to do something that requires courage: measure the full value of what was taken and return a verdict that says this is not acceptable."</w:t>
      </w:r>
    </w:p>
    <w:p>
      <w:pPr>
        <w:spacing w:after="0" w:before="240" w:line="480"/>
      </w:pPr>
      <w:r>
        <w:rPr>
          <w:rFonts w:ascii="Times New Roman" w:cs="Times New Roman" w:eastAsia="Times New Roman" w:hAnsi="Times New Roman"/>
          <w:b/>
          <w:bCs/>
          <w:i/>
          <w:iCs/>
          <w:sz w:val="24"/>
          <w:szCs w:val="24"/>
        </w:rPr>
        <w:t xml:space="preserve">What Not to Do in Opening</w:t>
      </w:r>
    </w:p>
    <w:p>
      <w:pPr>
        <w:spacing w:after="0" w:line="480"/>
        <w:ind w:firstLine="720"/>
      </w:pPr>
      <w:r>
        <w:rPr>
          <w:rFonts w:ascii="Times New Roman" w:cs="Times New Roman" w:eastAsia="Times New Roman" w:hAnsi="Times New Roman"/>
          <w:sz w:val="24"/>
          <w:szCs w:val="24"/>
        </w:rPr>
        <w:t xml:space="preserve">Do not over-promise. Every claim you make in opening must be supported by evidence. Defense counsel will track every promise and punish every one you fail to deliver. Under-promise and over-deliver: the evidence will be more powerful than anything you can say about it.</w:t>
      </w:r>
    </w:p>
    <w:p>
      <w:pPr>
        <w:spacing w:after="0" w:line="480"/>
        <w:ind w:firstLine="720"/>
      </w:pPr>
      <w:r>
        <w:rPr>
          <w:rFonts w:ascii="Times New Roman" w:cs="Times New Roman" w:eastAsia="Times New Roman" w:hAnsi="Times New Roman"/>
          <w:sz w:val="24"/>
          <w:szCs w:val="24"/>
        </w:rPr>
        <w:t xml:space="preserve">Do not argue. Opening statement is not closing argument. You are telling the jury what the evidence will show, not telling them what to think about it. Save the argument for closing.</w:t>
      </w:r>
    </w:p>
    <w:p>
      <w:pPr>
        <w:spacing w:after="0" w:line="480"/>
        <w:ind w:firstLine="720"/>
      </w:pPr>
      <w:r>
        <w:rPr>
          <w:rFonts w:ascii="Times New Roman" w:cs="Times New Roman" w:eastAsia="Times New Roman" w:hAnsi="Times New Roman"/>
          <w:sz w:val="24"/>
          <w:szCs w:val="24"/>
        </w:rPr>
        <w:t xml:space="preserve">Do not read your notes. Opening statement should be delivered from memory or from a minimal outline. The jury needs to see your eyes, not the top of your head. If you cannot deliver the opening without reading it, you do not know the case well enough. The preparation creates the authenticity.</w:t>
      </w:r>
    </w:p>
    <w:p>
      <w:pPr>
        <w:spacing w:after="0" w:line="480"/>
        <w:ind w:firstLine="720"/>
      </w:pPr>
      <w:r>
        <w:rPr>
          <w:rFonts w:ascii="Times New Roman" w:cs="Times New Roman" w:eastAsia="Times New Roman" w:hAnsi="Times New Roman"/>
          <w:sz w:val="24"/>
          <w:szCs w:val="24"/>
        </w:rPr>
        <w:t xml:space="preserve">Target length: twelve to eighteen minutes. TTI openings should be tight. The jury's attention is at its peak. Do not waste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Witness Examination: The StoryBrand Witness Order</w:t>
      </w:r>
    </w:p>
    <w:p>
      <w:pPr>
        <w:spacing w:after="0" w:line="480"/>
      </w:pPr>
    </w:p>
    <w:p>
      <w:pPr>
        <w:spacing w:after="0" w:line="480"/>
      </w:pPr>
      <w:r>
        <w:rPr>
          <w:rFonts w:ascii="Times New Roman" w:cs="Times New Roman" w:eastAsia="Times New Roman" w:hAnsi="Times New Roman"/>
          <w:sz w:val="24"/>
          <w:szCs w:val="24"/>
        </w:rPr>
        <w:t xml:space="preserve">The trial lawyer's paradox is that the story is yours but the words must be someone else's. You cannot testify. You can only ask questions. The skill of witness examination is the skill of telling a story through questions that elicit answers the jury needs to hear, in the sequence the jury needs to hear them.</w:t>
      </w:r>
    </w:p>
    <w:p>
      <w:pPr>
        <w:spacing w:after="0" w:before="240" w:line="480"/>
      </w:pPr>
      <w:r>
        <w:rPr>
          <w:rFonts w:ascii="Times New Roman" w:cs="Times New Roman" w:eastAsia="Times New Roman" w:hAnsi="Times New Roman"/>
          <w:b/>
          <w:bCs/>
          <w:i/>
          <w:iCs/>
          <w:sz w:val="24"/>
          <w:szCs w:val="24"/>
        </w:rPr>
        <w:t xml:space="preserve">Witness One: The Context Witness</w:t>
      </w:r>
    </w:p>
    <w:p>
      <w:pPr>
        <w:spacing w:after="0" w:line="480"/>
        <w:ind w:firstLine="720"/>
      </w:pPr>
      <w:r>
        <w:rPr>
          <w:rFonts w:ascii="Times New Roman" w:cs="Times New Roman" w:eastAsia="Times New Roman" w:hAnsi="Times New Roman"/>
          <w:sz w:val="24"/>
          <w:szCs w:val="24"/>
        </w:rPr>
        <w:t xml:space="preserve">A former employee, a former participant, a regulatory investigator, or your industry expert—someone who can establish the program's system without being the plaintiff. This witness answers the question: what kind of place was this? They describe the level system, the isolation protocols, the staffing ratios, the culture of compliance, the suppression of complaints. They build the villain for the jury before the jury hears what the villain did to your client. A former staff member who describes the system and explains why they left carries the moral authority of an insider who chose conscience over complicity.</w:t>
      </w:r>
    </w:p>
    <w:p>
      <w:pPr>
        <w:spacing w:after="0" w:before="240" w:line="480"/>
      </w:pPr>
      <w:r>
        <w:rPr>
          <w:rFonts w:ascii="Times New Roman" w:cs="Times New Roman" w:eastAsia="Times New Roman" w:hAnsi="Times New Roman"/>
          <w:b/>
          <w:bCs/>
          <w:i/>
          <w:iCs/>
          <w:sz w:val="24"/>
          <w:szCs w:val="24"/>
        </w:rPr>
        <w:t xml:space="preserve">Witness Two: The Life Before Witness</w:t>
      </w:r>
    </w:p>
    <w:p>
      <w:pPr>
        <w:spacing w:after="0" w:line="480"/>
        <w:ind w:firstLine="720"/>
      </w:pPr>
      <w:r>
        <w:rPr>
          <w:rFonts w:ascii="Times New Roman" w:cs="Times New Roman" w:eastAsia="Times New Roman" w:hAnsi="Times New Roman"/>
          <w:sz w:val="24"/>
          <w:szCs w:val="24"/>
        </w:rPr>
        <w:t xml:space="preserve">A family member, teacher, friend, or therapist who knew the plaintiff before the program. This witness establishes the trajectory—who the person was becoming before the program intervened. They paint the portrait of the person the jury will later see damaged. Keep this testimony focused and brief: the jury needs enough to see the person, not so much that the testimony feels idealized.</w:t>
      </w:r>
    </w:p>
    <w:p>
      <w:pPr>
        <w:spacing w:after="0" w:before="240" w:line="480"/>
      </w:pPr>
      <w:r>
        <w:rPr>
          <w:rFonts w:ascii="Times New Roman" w:cs="Times New Roman" w:eastAsia="Times New Roman" w:hAnsi="Times New Roman"/>
          <w:b/>
          <w:bCs/>
          <w:i/>
          <w:iCs/>
          <w:sz w:val="24"/>
          <w:szCs w:val="24"/>
        </w:rPr>
        <w:t xml:space="preserve">Witness Three: The Plaintiff</w:t>
      </w:r>
    </w:p>
    <w:p>
      <w:pPr>
        <w:spacing w:after="0" w:line="480"/>
        <w:ind w:firstLine="720"/>
      </w:pPr>
      <w:r>
        <w:rPr>
          <w:rFonts w:ascii="Times New Roman" w:cs="Times New Roman" w:eastAsia="Times New Roman" w:hAnsi="Times New Roman"/>
          <w:sz w:val="24"/>
          <w:szCs w:val="24"/>
        </w:rPr>
        <w:t xml:space="preserve">The emotional core of the case. By the time the plaintiff takes the stand, the jury knows the system (from the context witness) and the person before (from the life-before witness). Now they hear what happened inside the system from the person who experienced it. The plaintiff's testimony follows the harms-and-losses framework from Chapter 17: not a chronological recitation of events but a narrative organized around what was done and what it cost. Prepare the plaintiff using the Trial by Human methodology from Chapter 16—authenticity, not performance.</w:t>
      </w:r>
    </w:p>
    <w:p>
      <w:pPr>
        <w:spacing w:after="0" w:before="240" w:line="480"/>
      </w:pPr>
      <w:r>
        <w:rPr>
          <w:rFonts w:ascii="Times New Roman" w:cs="Times New Roman" w:eastAsia="Times New Roman" w:hAnsi="Times New Roman"/>
          <w:b/>
          <w:bCs/>
          <w:i/>
          <w:iCs/>
          <w:sz w:val="24"/>
          <w:szCs w:val="24"/>
        </w:rPr>
        <w:t xml:space="preserve">Witness Four: The Expert</w:t>
      </w:r>
    </w:p>
    <w:p>
      <w:pPr>
        <w:spacing w:after="0" w:line="480"/>
        <w:ind w:firstLine="720"/>
      </w:pPr>
      <w:r>
        <w:rPr>
          <w:rFonts w:ascii="Times New Roman" w:cs="Times New Roman" w:eastAsia="Times New Roman" w:hAnsi="Times New Roman"/>
          <w:sz w:val="24"/>
          <w:szCs w:val="24"/>
        </w:rPr>
        <w:t xml:space="preserve">The treating psychologist, psychiatrist, or coercive control expert who explains the clinical picture. This witness translates the plaintiff's experience into a framework: the BITE model, the diagnosis, the causal connection, the prognosis. The expert follows the plaintiff because the jury now has the emotional context to receive the clinical explanation. Without the plaintiff's testimony, the expert's framework is abstract. After the plaintiff's testimony, it is illumination.</w:t>
      </w:r>
    </w:p>
    <w:p>
      <w:pPr>
        <w:spacing w:after="0" w:before="240" w:line="480"/>
      </w:pPr>
      <w:r>
        <w:rPr>
          <w:rFonts w:ascii="Times New Roman" w:cs="Times New Roman" w:eastAsia="Times New Roman" w:hAnsi="Times New Roman"/>
          <w:b/>
          <w:bCs/>
          <w:i/>
          <w:iCs/>
          <w:sz w:val="24"/>
          <w:szCs w:val="24"/>
        </w:rPr>
        <w:t xml:space="preserve">Witness Five: The Avatar</w:t>
      </w:r>
    </w:p>
    <w:p>
      <w:pPr>
        <w:spacing w:after="0" w:line="480"/>
        <w:ind w:firstLine="720"/>
      </w:pPr>
      <w:r>
        <w:rPr>
          <w:rFonts w:ascii="Times New Roman" w:cs="Times New Roman" w:eastAsia="Times New Roman" w:hAnsi="Times New Roman"/>
          <w:sz w:val="24"/>
          <w:szCs w:val="24"/>
        </w:rPr>
        <w:t xml:space="preserve">The program's decision-maker, called as an adverse witness during your case-in-chief. By calling them during your case, you control the narrative. The jury watches the person who ran the system try to explain it—after they have already seen the system's effects on the plaintiff. The cross-examination techniques described below apply with full force.</w:t>
      </w:r>
    </w:p>
    <w:p>
      <w:pPr>
        <w:spacing w:after="0" w:before="240" w:line="480"/>
      </w:pPr>
      <w:r>
        <w:rPr>
          <w:rFonts w:ascii="Times New Roman" w:cs="Times New Roman" w:eastAsia="Times New Roman" w:hAnsi="Times New Roman"/>
          <w:b/>
          <w:bCs/>
          <w:i/>
          <w:iCs/>
          <w:sz w:val="24"/>
          <w:szCs w:val="24"/>
        </w:rPr>
        <w:t xml:space="preserve">Witness Six: The Damages Foundation</w:t>
      </w:r>
    </w:p>
    <w:p>
      <w:pPr>
        <w:spacing w:after="0" w:line="480"/>
        <w:ind w:firstLine="720"/>
      </w:pPr>
      <w:r>
        <w:rPr>
          <w:rFonts w:ascii="Times New Roman" w:cs="Times New Roman" w:eastAsia="Times New Roman" w:hAnsi="Times New Roman"/>
          <w:sz w:val="24"/>
          <w:szCs w:val="24"/>
        </w:rPr>
        <w:t xml:space="preserve">The economist, the life care planner, or both. These witnesses provide the economic anchor that supports the noneconomic damages presentation in closing. They testify last because damages evidence is most effective after the jury understands the full scope of the harm.</w:t>
      </w:r>
    </w:p>
    <w:p>
      <w:pPr>
        <w:spacing w:after="0" w:before="240" w:line="480"/>
      </w:pPr>
      <w:r>
        <w:rPr>
          <w:rFonts w:ascii="Times New Roman" w:cs="Times New Roman" w:eastAsia="Times New Roman" w:hAnsi="Times New Roman"/>
          <w:b/>
          <w:bCs/>
          <w:i/>
          <w:iCs/>
          <w:sz w:val="24"/>
          <w:szCs w:val="24"/>
        </w:rPr>
        <w:t xml:space="preserve">The Push-Pull Dynamic</w:t>
      </w:r>
    </w:p>
    <w:p>
      <w:pPr>
        <w:spacing w:after="0" w:line="480"/>
        <w:ind w:firstLine="720"/>
      </w:pPr>
      <w:r>
        <w:rPr>
          <w:rFonts w:ascii="Times New Roman" w:cs="Times New Roman" w:eastAsia="Times New Roman" w:hAnsi="Times New Roman"/>
          <w:sz w:val="24"/>
          <w:szCs w:val="24"/>
        </w:rPr>
        <w:t xml:space="preserve">If you stack too many emotionally intense witnesses consecutively, the jury experiences emotional fatigue. If you stack too many analytical witnesses, the jury disengages. The art is in the alternation. After the survivor's harrowing testimony, bring the expert to provide the analytical framework—a moment of intellectual engagement that gives the jury permission to process what they just heard. After the expert's clinical language, bring the family member whose raw emotion reminds the jury that behind the diagnosis is a real person. This dynamic keeps the jury alert, emotionally connected, and intellectually engaged throughout the trial.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Cross-Examination: Revelation, Not Destruction</w:t>
      </w:r>
    </w:p>
    <w:p>
      <w:pPr>
        <w:spacing w:after="0" w:line="480"/>
      </w:pPr>
    </w:p>
    <w:p>
      <w:pPr>
        <w:spacing w:after="0" w:line="480"/>
      </w:pPr>
      <w:r>
        <w:rPr>
          <w:rFonts w:ascii="Times New Roman" w:cs="Times New Roman" w:eastAsia="Times New Roman" w:hAnsi="Times New Roman"/>
          <w:sz w:val="24"/>
          <w:szCs w:val="24"/>
        </w:rPr>
        <w:t xml:space="preserve">Cross-examination of defense witnesses in TTI cases is not about destruction. It is about revelation. You are not trying to make the witness look foolish. You are trying to make the system visible through the witness's own words.</w:t>
      </w:r>
    </w:p>
    <w:p>
      <w:pPr>
        <w:spacing w:after="0" w:line="480"/>
        <w:ind w:firstLine="720"/>
      </w:pPr>
      <w:r>
        <w:rPr>
          <w:rFonts w:ascii="Times New Roman" w:cs="Times New Roman" w:eastAsia="Times New Roman" w:hAnsi="Times New Roman"/>
          <w:sz w:val="24"/>
          <w:szCs w:val="24"/>
        </w:rPr>
        <w:t xml:space="preserve">The Rules of the Road methodology from Chapter 15 provides the structure. Every cross-examination question anchors to a safety rule the program violated. "You would agree that a residential treatment program has a responsibility to train its staff in de-escalation techniques before authorizing them to use physical restraint?" The witness agrees—because the rule is obviously true. "And the records show that the staff member who restrained [client] on March 14 had received no de-escalation training. Correct?" The witness admits. The rule was violated. The system failed.</w:t>
      </w:r>
    </w:p>
    <w:p>
      <w:pPr>
        <w:spacing w:after="0" w:line="480"/>
        <w:ind w:firstLine="720"/>
      </w:pPr>
      <w:r>
        <w:rPr>
          <w:rFonts w:ascii="Times New Roman" w:cs="Times New Roman" w:eastAsia="Times New Roman" w:hAnsi="Times New Roman"/>
          <w:sz w:val="24"/>
          <w:szCs w:val="24"/>
        </w:rPr>
        <w:t xml:space="preserve">The Reptile methodology from Chapter 15 adds the safety dimension: every rule violation endangered the children in the program's care. The trial lawyer's task is to get the witness to agree to the safety rule first, then confront them with the evidence that the rule was violated. This sequence—agreement, then confrontation—is devastatingly effective because the witness has already committed to the standard before being shown the failure.</w:t>
      </w:r>
    </w:p>
    <w:p>
      <w:pPr>
        <w:spacing w:after="0" w:before="240" w:line="480"/>
      </w:pPr>
      <w:r>
        <w:rPr>
          <w:rFonts w:ascii="Times New Roman" w:cs="Times New Roman" w:eastAsia="Times New Roman" w:hAnsi="Times New Roman"/>
          <w:b/>
          <w:bCs/>
          <w:i/>
          <w:iCs/>
          <w:sz w:val="24"/>
          <w:szCs w:val="24"/>
        </w:rPr>
        <w:t xml:space="preserve">The Cross-Examination Script Framework</w:t>
      </w:r>
    </w:p>
    <w:p>
      <w:pPr>
        <w:spacing w:after="0" w:line="480"/>
        <w:ind w:firstLine="720"/>
      </w:pPr>
      <w:r>
        <w:rPr>
          <w:rFonts w:ascii="Times New Roman" w:cs="Times New Roman" w:eastAsia="Times New Roman" w:hAnsi="Times New Roman"/>
          <w:sz w:val="24"/>
          <w:szCs w:val="24"/>
        </w:rPr>
        <w:t xml:space="preserve">For each defense witness, build the cross around this five-step structure:</w:t>
      </w:r>
    </w:p>
    <w:p>
      <w:pPr>
        <w:spacing w:after="0" w:line="480"/>
        <w:ind w:firstLine="720"/>
      </w:pPr>
      <w:r>
        <w:rPr>
          <w:rFonts w:ascii="Times New Roman" w:cs="Times New Roman" w:eastAsia="Times New Roman" w:hAnsi="Times New Roman"/>
          <w:i/>
          <w:iCs/>
          <w:sz w:val="24"/>
          <w:szCs w:val="24"/>
        </w:rPr>
        <w:t xml:space="preserve">Step 1 — Establish the rule:</w:t>
      </w:r>
      <w:r>
        <w:rPr>
          <w:rFonts w:ascii="Times New Roman" w:cs="Times New Roman" w:eastAsia="Times New Roman" w:hAnsi="Times New Roman"/>
          <w:sz w:val="24"/>
          <w:szCs w:val="24"/>
        </w:rPr>
        <w:t xml:space="preserve"> "You would agree that [safety rule]?" Get the commitment before the confrontation.</w:t>
      </w:r>
    </w:p>
    <w:p>
      <w:pPr>
        <w:spacing w:after="0" w:line="480"/>
        <w:ind w:firstLine="720"/>
      </w:pPr>
      <w:r>
        <w:rPr>
          <w:rFonts w:ascii="Times New Roman" w:cs="Times New Roman" w:eastAsia="Times New Roman" w:hAnsi="Times New Roman"/>
          <w:i/>
          <w:iCs/>
          <w:sz w:val="24"/>
          <w:szCs w:val="24"/>
        </w:rPr>
        <w:t xml:space="preserve">Step 2 — Show the violation:</w:t>
      </w:r>
      <w:r>
        <w:rPr>
          <w:rFonts w:ascii="Times New Roman" w:cs="Times New Roman" w:eastAsia="Times New Roman" w:hAnsi="Times New Roman"/>
          <w:sz w:val="24"/>
          <w:szCs w:val="24"/>
        </w:rPr>
        <w:t xml:space="preserve"> "And the records show that [specific evidence of rule violation]." Use documents. Make the witness confirm what the documents say.</w:t>
      </w:r>
    </w:p>
    <w:p>
      <w:pPr>
        <w:spacing w:after="0" w:line="480"/>
        <w:ind w:firstLine="720"/>
      </w:pPr>
      <w:r>
        <w:rPr>
          <w:rFonts w:ascii="Times New Roman" w:cs="Times New Roman" w:eastAsia="Times New Roman" w:hAnsi="Times New Roman"/>
          <w:i/>
          <w:iCs/>
          <w:sz w:val="24"/>
          <w:szCs w:val="24"/>
        </w:rPr>
        <w:t xml:space="preserve">Step 3 — Connect to the system:</w:t>
      </w:r>
      <w:r>
        <w:rPr>
          <w:rFonts w:ascii="Times New Roman" w:cs="Times New Roman" w:eastAsia="Times New Roman" w:hAnsi="Times New Roman"/>
          <w:sz w:val="24"/>
          <w:szCs w:val="24"/>
        </w:rPr>
        <w:t xml:space="preserve"> "This was not an isolated incident, was it? The records show [pattern evidence] as well." Build the villain through the witness's own admissions.</w:t>
      </w:r>
    </w:p>
    <w:p>
      <w:pPr>
        <w:spacing w:after="0" w:line="480"/>
        <w:ind w:firstLine="720"/>
      </w:pPr>
      <w:r>
        <w:rPr>
          <w:rFonts w:ascii="Times New Roman" w:cs="Times New Roman" w:eastAsia="Times New Roman" w:hAnsi="Times New Roman"/>
          <w:i/>
          <w:iCs/>
          <w:sz w:val="24"/>
          <w:szCs w:val="24"/>
        </w:rPr>
        <w:t xml:space="preserve">Step 4 — Connect to the harm:</w:t>
      </w:r>
      <w:r>
        <w:rPr>
          <w:rFonts w:ascii="Times New Roman" w:cs="Times New Roman" w:eastAsia="Times New Roman" w:hAnsi="Times New Roman"/>
          <w:sz w:val="24"/>
          <w:szCs w:val="24"/>
        </w:rPr>
        <w:t xml:space="preserve"> "And [client] was in the program's care when this rule was being violated." Connect the system to the person.</w:t>
      </w:r>
    </w:p>
    <w:p>
      <w:pPr>
        <w:spacing w:after="0" w:line="480"/>
        <w:ind w:firstLine="720"/>
      </w:pPr>
      <w:r>
        <w:rPr>
          <w:rFonts w:ascii="Times New Roman" w:cs="Times New Roman" w:eastAsia="Times New Roman" w:hAnsi="Times New Roman"/>
          <w:i/>
          <w:iCs/>
          <w:sz w:val="24"/>
          <w:szCs w:val="24"/>
        </w:rPr>
        <w:t xml:space="preserve">Step 5 — Close the loop:</w:t>
      </w:r>
      <w:r>
        <w:rPr>
          <w:rFonts w:ascii="Times New Roman" w:cs="Times New Roman" w:eastAsia="Times New Roman" w:hAnsi="Times New Roman"/>
          <w:sz w:val="24"/>
          <w:szCs w:val="24"/>
        </w:rPr>
        <w:t xml:space="preserve"> One question that ties the cross back to the villain narrative. Do not overreach. Get the admission and sit down.</w:t>
      </w:r>
    </w:p>
    <w:p>
      <w:pPr>
        <w:spacing w:after="0" w:line="480"/>
        <w:ind w:firstLine="720"/>
      </w:pPr>
      <w:r>
        <w:rPr>
          <w:rFonts w:ascii="Times New Roman" w:cs="Times New Roman" w:eastAsia="Times New Roman" w:hAnsi="Times New Roman"/>
          <w:sz w:val="24"/>
          <w:szCs w:val="24"/>
        </w:rPr>
        <w:t xml:space="preserve">The critical discipline: do not argue with the witness. Do not let them explain at length. The power of this structure is cumulative—one rule and one violation is a data point; ten rules and ten violations is a system. Pace and accumulation are your weapons.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Closing Argument: The Return with the Elixir</w:t>
      </w:r>
    </w:p>
    <w:p>
      <w:pPr>
        <w:spacing w:after="0" w:line="480"/>
      </w:pPr>
    </w:p>
    <w:p>
      <w:pPr>
        <w:spacing w:after="0" w:line="480"/>
      </w:pPr>
      <w:r>
        <w:rPr>
          <w:rFonts w:ascii="Times New Roman" w:cs="Times New Roman" w:eastAsia="Times New Roman" w:hAnsi="Times New Roman"/>
          <w:sz w:val="24"/>
          <w:szCs w:val="24"/>
        </w:rPr>
        <w:t xml:space="preserve">If opening statement is the Call to Adventure, closing argument is the Return with the Elixir—the moment the hero comes back from the journey transformed, carrying the truth that will heal the community. In a TTI trial, the jury is the hero, and the elixir is the verdict.</w:t>
      </w:r>
    </w:p>
    <w:p>
      <w:pPr>
        <w:spacing w:after="0" w:before="240" w:line="480"/>
      </w:pPr>
      <w:r>
        <w:rPr>
          <w:rFonts w:ascii="Times New Roman" w:cs="Times New Roman" w:eastAsia="Times New Roman" w:hAnsi="Times New Roman"/>
          <w:b/>
          <w:bCs/>
          <w:i/>
          <w:iCs/>
          <w:sz w:val="24"/>
          <w:szCs w:val="24"/>
        </w:rPr>
        <w:t xml:space="preserve">The Reminder</w:t>
      </w:r>
    </w:p>
    <w:p>
      <w:pPr>
        <w:spacing w:after="0" w:line="480"/>
        <w:ind w:firstLine="720"/>
      </w:pPr>
      <w:r>
        <w:rPr>
          <w:rFonts w:ascii="Times New Roman" w:cs="Times New Roman" w:eastAsia="Times New Roman" w:hAnsi="Times New Roman"/>
          <w:sz w:val="24"/>
          <w:szCs w:val="24"/>
        </w:rPr>
        <w:t xml:space="preserve">Begin by reminding the jury of who they said they wanted to be during voir dire. "When we first talked, I asked you whether you believed that programs should be held to the same standard of accountability as individuals. Every one of you said yes. The evidence you have heard over the past [days/weeks] showed you what happens when they are not." This reconnects the jury to the moral architecture you built during voir dire and activates the commitment consistency that will carry them through deliberation.</w:t>
      </w:r>
    </w:p>
    <w:p>
      <w:pPr>
        <w:spacing w:after="0" w:before="240" w:line="480"/>
      </w:pPr>
      <w:r>
        <w:rPr>
          <w:rFonts w:ascii="Times New Roman" w:cs="Times New Roman" w:eastAsia="Times New Roman" w:hAnsi="Times New Roman"/>
          <w:b/>
          <w:bCs/>
          <w:i/>
          <w:iCs/>
          <w:sz w:val="24"/>
          <w:szCs w:val="24"/>
        </w:rPr>
        <w:t xml:space="preserve">The Story, Complete</w:t>
      </w:r>
    </w:p>
    <w:p>
      <w:pPr>
        <w:spacing w:after="0" w:line="480"/>
        <w:ind w:firstLine="720"/>
      </w:pPr>
      <w:r>
        <w:rPr>
          <w:rFonts w:ascii="Times New Roman" w:cs="Times New Roman" w:eastAsia="Times New Roman" w:hAnsi="Times New Roman"/>
          <w:sz w:val="24"/>
          <w:szCs w:val="24"/>
        </w:rPr>
        <w:t xml:space="preserve">Tell the story one final time, incorporating the evidence the jury heard. This is not a witness-by-witness recap. It is the narrative—the mask, the reality, the harm, the person before, the person after—told with the authority of someone who has proven every element. Use the strongest moments from trial: the document that revealed the concealment, the testimony that moved the room, the cross-examination answer that exposed the system. Let the story build to its natural climax: the full scope of what was done, measured against the full scope of what was lost.</w:t>
      </w:r>
    </w:p>
    <w:p>
      <w:pPr>
        <w:spacing w:after="0" w:before="240" w:line="480"/>
      </w:pPr>
      <w:r>
        <w:rPr>
          <w:rFonts w:ascii="Times New Roman" w:cs="Times New Roman" w:eastAsia="Times New Roman" w:hAnsi="Times New Roman"/>
          <w:b/>
          <w:bCs/>
          <w:i/>
          <w:iCs/>
          <w:sz w:val="24"/>
          <w:szCs w:val="24"/>
        </w:rPr>
        <w:t xml:space="preserve">The Damages Argument</w:t>
      </w:r>
    </w:p>
    <w:p>
      <w:pPr>
        <w:spacing w:after="0" w:line="480"/>
        <w:ind w:firstLine="720"/>
      </w:pPr>
      <w:r>
        <w:rPr>
          <w:rFonts w:ascii="Times New Roman" w:cs="Times New Roman" w:eastAsia="Times New Roman" w:hAnsi="Times New Roman"/>
          <w:sz w:val="24"/>
          <w:szCs w:val="24"/>
        </w:rPr>
        <w:t xml:space="preserve">Walk the jury through the harms-and-losses list from Chapter 17. Use the per-diem framework. Connect every category of loss to specific testimony they heard. Make the math visible: "Twenty-five dollars an hour. Twenty-four hours a day. Three hundred sixty-five days a year. For the next forty-two years that [client] will live with what this program did to her. That is the arithmetic of accountability." Give them the number. Do not apologize for it. Do not hedge it. If the evidence supports it, say it with the conviction of someone who has measured it carefully and believes it is right.</w:t>
      </w:r>
    </w:p>
    <w:p>
      <w:pPr>
        <w:spacing w:after="0" w:before="240" w:line="480"/>
      </w:pPr>
      <w:r>
        <w:rPr>
          <w:rFonts w:ascii="Times New Roman" w:cs="Times New Roman" w:eastAsia="Times New Roman" w:hAnsi="Times New Roman"/>
          <w:b/>
          <w:bCs/>
          <w:i/>
          <w:iCs/>
          <w:sz w:val="24"/>
          <w:szCs w:val="24"/>
        </w:rPr>
        <w:t xml:space="preserve">The Commission</w:t>
      </w:r>
    </w:p>
    <w:p>
      <w:pPr>
        <w:spacing w:after="0" w:line="480"/>
        <w:ind w:firstLine="720"/>
      </w:pPr>
      <w:r>
        <w:rPr>
          <w:rFonts w:ascii="Times New Roman" w:cs="Times New Roman" w:eastAsia="Times New Roman" w:hAnsi="Times New Roman"/>
          <w:sz w:val="24"/>
          <w:szCs w:val="24"/>
        </w:rPr>
        <w:t xml:space="preserve">End with identity. "You are the only people in the world with the power to hold this program accountable for the system it built. The regulators did not catch it. The accreditors did not see it. The parents did not know. But you know. You have seen the evidence. You have heard the truth. And now you have a choice: return a verdict that measures the full value of what was taken, or return a verdict that tells this program—and every program like it—that the system works. That the mask holds. That the silence protects."</w:t>
      </w:r>
    </w:p>
    <w:p>
      <w:pPr>
        <w:spacing w:after="0" w:line="480"/>
        <w:ind w:firstLine="720"/>
      </w:pPr>
      <w:r>
        <w:rPr>
          <w:rFonts w:ascii="Times New Roman" w:cs="Times New Roman" w:eastAsia="Times New Roman" w:hAnsi="Times New Roman"/>
          <w:sz w:val="24"/>
          <w:szCs w:val="24"/>
        </w:rPr>
        <w:t xml:space="preserve">Pause. "I am asking you to choose accountability. I am asking you to have the courage to say: not here. Not to this child. Not ever again."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AI-Assisted Trial Preparation</w:t>
      </w:r>
    </w:p>
    <w:p>
      <w:pPr>
        <w:spacing w:after="0" w:line="480"/>
      </w:pPr>
    </w:p>
    <w:p>
      <w:pPr>
        <w:spacing w:after="0" w:line="480"/>
      </w:pPr>
      <w:r>
        <w:rPr>
          <w:rFonts w:ascii="Times New Roman" w:cs="Times New Roman" w:eastAsia="Times New Roman" w:hAnsi="Times New Roman"/>
          <w:sz w:val="24"/>
          <w:szCs w:val="24"/>
        </w:rPr>
        <w:t xml:space="preserve">Artificial intelligence has fundamentally changed the economics of trial preparation. It has not replaced the lawyer. It cannot replace the lawyer. The authenticity, the judgment, the courtroom presence, the relationship with the client—these are irreducibly human. But the scaffolding that supports those human acts—the outlines, the scripts, the research, the document organization—can now be built faster, cheaper, and more thoroughly with AI assistance than any lawyer or paralegal could produce alone.</w:t>
      </w:r>
    </w:p>
    <w:p>
      <w:pPr>
        <w:spacing w:after="0" w:line="480"/>
        <w:ind w:firstLine="720"/>
      </w:pPr>
      <w:r>
        <w:rPr>
          <w:rFonts w:ascii="Times New Roman" w:cs="Times New Roman" w:eastAsia="Times New Roman" w:hAnsi="Times New Roman"/>
          <w:sz w:val="24"/>
          <w:szCs w:val="24"/>
        </w:rPr>
        <w:t xml:space="preserve">This matters in TTI litigation for a specific reason: these cases are emotionally devastating to prepare. Every hour spent reading incident reports, organizing abuse records, and drafting cross-examination outlines is an hour spent in the swamp of human cruelty against children. The emotional weight is cumulative. It produces vicarious trauma in lawyers, paralegals, and support staff. It drives talented advocates out of the practice area. It limits the number of cases any firm can handle, which means survivors who need representation go without it.</w:t>
      </w:r>
    </w:p>
    <w:p>
      <w:pPr>
        <w:spacing w:after="0" w:line="480"/>
        <w:ind w:firstLine="720"/>
      </w:pPr>
      <w:r>
        <w:rPr>
          <w:rFonts w:ascii="Times New Roman" w:cs="Times New Roman" w:eastAsia="Times New Roman" w:hAnsi="Times New Roman"/>
          <w:sz w:val="24"/>
          <w:szCs w:val="24"/>
        </w:rPr>
        <w:t xml:space="preserve">AI does not feel the weight. It does not experience vicarious trauma. It can process the material, organize it, identify patterns, and produce first drafts—freeing the human team to focus on the work that requires human judgment, human emotion, and human presence. This is not laziness. It is sustainability.</w:t>
      </w:r>
    </w:p>
    <w:p>
      <w:pPr>
        <w:spacing w:after="0" w:before="240" w:line="480"/>
      </w:pPr>
      <w:r>
        <w:rPr>
          <w:rFonts w:ascii="Times New Roman" w:cs="Times New Roman" w:eastAsia="Times New Roman" w:hAnsi="Times New Roman"/>
          <w:b/>
          <w:bCs/>
          <w:i/>
          <w:iCs/>
          <w:sz w:val="24"/>
          <w:szCs w:val="24"/>
        </w:rPr>
        <w:t xml:space="preserve">Where AI Excels</w:t>
      </w:r>
    </w:p>
    <w:p>
      <w:pPr>
        <w:spacing w:after="0" w:line="480"/>
        <w:ind w:firstLine="720"/>
      </w:pPr>
      <w:r>
        <w:rPr>
          <w:rFonts w:ascii="Times New Roman" w:cs="Times New Roman" w:eastAsia="Times New Roman" w:hAnsi="Times New Roman"/>
          <w:i/>
          <w:iCs/>
          <w:sz w:val="24"/>
          <w:szCs w:val="24"/>
        </w:rPr>
        <w:t xml:space="preserve">Document review and pattern identification.</w:t>
      </w:r>
      <w:r>
        <w:rPr>
          <w:rFonts w:ascii="Times New Roman" w:cs="Times New Roman" w:eastAsia="Times New Roman" w:hAnsi="Times New Roman"/>
          <w:sz w:val="24"/>
          <w:szCs w:val="24"/>
        </w:rPr>
        <w:t xml:space="preserve"> Upload incident reports, policies, and internal communications. Ask the AI to identify recurring complaint types, escalation in severity, gaps between policy and practice, and language suggesting awareness of harm. AI can process thousands of pages in minutes and produce organized summaries that would take a paralegal days.</w:t>
      </w:r>
    </w:p>
    <w:p>
      <w:pPr>
        <w:spacing w:after="0" w:line="480"/>
        <w:ind w:firstLine="720"/>
      </w:pPr>
      <w:r>
        <w:rPr>
          <w:rFonts w:ascii="Times New Roman" w:cs="Times New Roman" w:eastAsia="Times New Roman" w:hAnsi="Times New Roman"/>
          <w:i/>
          <w:iCs/>
          <w:sz w:val="24"/>
          <w:szCs w:val="24"/>
        </w:rPr>
        <w:t xml:space="preserve">First drafts of trial scripts.</w:t>
      </w:r>
      <w:r>
        <w:rPr>
          <w:rFonts w:ascii="Times New Roman" w:cs="Times New Roman" w:eastAsia="Times New Roman" w:hAnsi="Times New Roman"/>
          <w:sz w:val="24"/>
          <w:szCs w:val="24"/>
        </w:rPr>
        <w:t xml:space="preserve"> AI produces competent first drafts of opening outlines, cross-examination scripts, and closing argument structures based on the case facts you provide. The drafts are not final product. They are scaffolding that the lawyer refines, personalizes, and brings to life with courtroom instinct.</w:t>
      </w:r>
    </w:p>
    <w:p>
      <w:pPr>
        <w:spacing w:after="0" w:line="480"/>
        <w:ind w:firstLine="720"/>
      </w:pPr>
      <w:r>
        <w:rPr>
          <w:rFonts w:ascii="Times New Roman" w:cs="Times New Roman" w:eastAsia="Times New Roman" w:hAnsi="Times New Roman"/>
          <w:i/>
          <w:iCs/>
          <w:sz w:val="24"/>
          <w:szCs w:val="24"/>
        </w:rPr>
        <w:t xml:space="preserve">Overnight trial support.</w:t>
      </w:r>
      <w:r>
        <w:rPr>
          <w:rFonts w:ascii="Times New Roman" w:cs="Times New Roman" w:eastAsia="Times New Roman" w:hAnsi="Times New Roman"/>
          <w:sz w:val="24"/>
          <w:szCs w:val="24"/>
        </w:rPr>
        <w:t xml:space="preserve"> At the end of each trial day, feed the AI the day's transcript. Overnight, it processes the testimony, identifies key moments for closing argument, flags inconsistencies with prior depositions, and produces an updated cross-examination outline for tomorrow's witnesses. This workflow alone can save the trial team three to four hours of overnight preparation each day.</w:t>
      </w:r>
    </w:p>
    <w:p>
      <w:pPr>
        <w:spacing w:after="0" w:line="480"/>
        <w:ind w:firstLine="720"/>
      </w:pPr>
      <w:r>
        <w:rPr>
          <w:rFonts w:ascii="Times New Roman" w:cs="Times New Roman" w:eastAsia="Times New Roman" w:hAnsi="Times New Roman"/>
          <w:i/>
          <w:iCs/>
          <w:sz w:val="24"/>
          <w:szCs w:val="24"/>
        </w:rPr>
        <w:t xml:space="preserve">Expert witness preparation.</w:t>
      </w:r>
      <w:r>
        <w:rPr>
          <w:rFonts w:ascii="Times New Roman" w:cs="Times New Roman" w:eastAsia="Times New Roman" w:hAnsi="Times New Roman"/>
          <w:sz w:val="24"/>
          <w:szCs w:val="24"/>
        </w:rPr>
        <w:t xml:space="preserve"> Feed the AI your expert's report, the opposing expert's report, and your trial themes. It generates a direct examination outline, anticipated cross-examination questions, and a boundary memo identifying what the expert should and should not address.</w:t>
      </w:r>
    </w:p>
    <w:p>
      <w:pPr>
        <w:spacing w:after="0" w:before="240" w:line="480"/>
      </w:pPr>
      <w:r>
        <w:rPr>
          <w:rFonts w:ascii="Times New Roman" w:cs="Times New Roman" w:eastAsia="Times New Roman" w:hAnsi="Times New Roman"/>
          <w:b/>
          <w:bCs/>
          <w:i/>
          <w:iCs/>
          <w:sz w:val="24"/>
          <w:szCs w:val="24"/>
        </w:rPr>
        <w:t xml:space="preserve">What AI Cannot Do</w:t>
      </w:r>
    </w:p>
    <w:p>
      <w:pPr>
        <w:spacing w:after="0" w:line="480"/>
        <w:ind w:firstLine="720"/>
      </w:pPr>
      <w:r>
        <w:rPr>
          <w:rFonts w:ascii="Times New Roman" w:cs="Times New Roman" w:eastAsia="Times New Roman" w:hAnsi="Times New Roman"/>
          <w:sz w:val="24"/>
          <w:szCs w:val="24"/>
        </w:rPr>
        <w:t xml:space="preserve">AI cannot replace the lawyer's judgment about which facts matter, which themes resonate, and which courtroom moments will move the jury. It cannot replace the emotional authenticity that Trial by Human demands. It cannot replace the relationship with the client. And it cannot replace the courtroom instincts that come only from experience: when to push a witness harder, when to let a moment breathe, when to abandon the script and follow the energy of the room. The AI builds the frame. You build the house.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Surviving the Trial: Emotional Sustainability</w:t>
      </w:r>
    </w:p>
    <w:p>
      <w:pPr>
        <w:spacing w:after="0" w:line="480"/>
      </w:pPr>
    </w:p>
    <w:p>
      <w:pPr>
        <w:spacing w:after="0" w:line="480"/>
      </w:pPr>
      <w:r>
        <w:rPr>
          <w:rFonts w:ascii="Times New Roman" w:cs="Times New Roman" w:eastAsia="Times New Roman" w:hAnsi="Times New Roman"/>
          <w:sz w:val="24"/>
          <w:szCs w:val="24"/>
        </w:rPr>
        <w:t xml:space="preserve">This work is not like other litigation. You are sitting with people who were systematically harmed as children by organizations that were supposed to protect them. You are reading their records, hearing their stories, feeling their pain, and carrying it into the courtroom. The clinical literature calls this vicarious traumatization—the cumulative transformation of the helper's inner experience resulting from empathic engagement with traumatized clients. The irony is that the qualities that make you effective—empathy, emotional engagement, the willingness to sit with pain—are the same qualities that make you vulnerable.</w:t>
      </w:r>
    </w:p>
    <w:p>
      <w:pPr>
        <w:spacing w:after="0" w:before="240" w:line="480"/>
      </w:pPr>
      <w:r>
        <w:rPr>
          <w:rFonts w:ascii="Times New Roman" w:cs="Times New Roman" w:eastAsia="Times New Roman" w:hAnsi="Times New Roman"/>
          <w:b/>
          <w:bCs/>
          <w:i/>
          <w:iCs/>
          <w:sz w:val="24"/>
          <w:szCs w:val="24"/>
        </w:rPr>
        <w:t xml:space="preserve">Structural Protections</w:t>
      </w:r>
    </w:p>
    <w:p>
      <w:pPr>
        <w:spacing w:after="0" w:line="480"/>
        <w:ind w:firstLine="720"/>
      </w:pPr>
      <w:r>
        <w:rPr>
          <w:rFonts w:ascii="Times New Roman" w:cs="Times New Roman" w:eastAsia="Times New Roman" w:hAnsi="Times New Roman"/>
          <w:i/>
          <w:iCs/>
          <w:sz w:val="24"/>
          <w:szCs w:val="24"/>
        </w:rPr>
        <w:t xml:space="preserve">Case rotation.</w:t>
      </w:r>
      <w:r>
        <w:rPr>
          <w:rFonts w:ascii="Times New Roman" w:cs="Times New Roman" w:eastAsia="Times New Roman" w:hAnsi="Times New Roman"/>
          <w:sz w:val="24"/>
          <w:szCs w:val="24"/>
        </w:rPr>
        <w:t xml:space="preserve"> No single lawyer or staff member should be immersed in TTI material continuously. Rotate between case phases and practice areas. Build breathing room into the calendar.</w:t>
      </w:r>
    </w:p>
    <w:p>
      <w:pPr>
        <w:spacing w:after="0" w:line="480"/>
        <w:ind w:firstLine="720"/>
      </w:pPr>
      <w:r>
        <w:rPr>
          <w:rFonts w:ascii="Times New Roman" w:cs="Times New Roman" w:eastAsia="Times New Roman" w:hAnsi="Times New Roman"/>
          <w:i/>
          <w:iCs/>
          <w:sz w:val="24"/>
          <w:szCs w:val="24"/>
        </w:rPr>
        <w:t xml:space="preserve">AI as emotional buffer.</w:t>
      </w:r>
      <w:r>
        <w:rPr>
          <w:rFonts w:ascii="Times New Roman" w:cs="Times New Roman" w:eastAsia="Times New Roman" w:hAnsi="Times New Roman"/>
          <w:sz w:val="24"/>
          <w:szCs w:val="24"/>
        </w:rPr>
        <w:t xml:space="preserve"> Use AI tools to perform the first pass on emotionally devastating material. Let the AI read the incident reports, summarize the abuse records, and organize the evidence. The lawyer reviews structured summaries rather than two hundred pages of raw abuse documentation. The lawyer's emotional energy is a finite resource. Spend it where it matters most: in the room with the client and in the courtroom with the jury.</w:t>
      </w:r>
    </w:p>
    <w:p>
      <w:pPr>
        <w:spacing w:after="0" w:line="480"/>
        <w:ind w:firstLine="720"/>
      </w:pPr>
      <w:r>
        <w:rPr>
          <w:rFonts w:ascii="Times New Roman" w:cs="Times New Roman" w:eastAsia="Times New Roman" w:hAnsi="Times New Roman"/>
          <w:i/>
          <w:iCs/>
          <w:sz w:val="24"/>
          <w:szCs w:val="24"/>
        </w:rPr>
        <w:t xml:space="preserve">Team debriefing.</w:t>
      </w:r>
      <w:r>
        <w:rPr>
          <w:rFonts w:ascii="Times New Roman" w:cs="Times New Roman" w:eastAsia="Times New Roman" w:hAnsi="Times New Roman"/>
          <w:sz w:val="24"/>
          <w:szCs w:val="24"/>
        </w:rPr>
        <w:t xml:space="preserve"> After significant exposure to traumatic material—survivor interviews, abuse record reviews, trial testimony—the team should debrief. Not a case strategy meeting. A human check-in. This practice is standard in social work and emergency medicine. It should be standard in TTI litigation.</w:t>
      </w:r>
    </w:p>
    <w:p>
      <w:pPr>
        <w:spacing w:after="0" w:line="480"/>
        <w:ind w:firstLine="720"/>
      </w:pPr>
      <w:r>
        <w:rPr>
          <w:rFonts w:ascii="Times New Roman" w:cs="Times New Roman" w:eastAsia="Times New Roman" w:hAnsi="Times New Roman"/>
          <w:i/>
          <w:iCs/>
          <w:sz w:val="24"/>
          <w:szCs w:val="24"/>
        </w:rPr>
        <w:t xml:space="preserve">Bounded availability.</w:t>
      </w:r>
      <w:r>
        <w:rPr>
          <w:rFonts w:ascii="Times New Roman" w:cs="Times New Roman" w:eastAsia="Times New Roman" w:hAnsi="Times New Roman"/>
          <w:sz w:val="24"/>
          <w:szCs w:val="24"/>
        </w:rPr>
        <w:t xml:space="preserve"> TTI survivors often develop intense reliance on their lawyer—the first person who believed them. Establish clear communication protocols from the beginning of representation. Boundaries are not callousness. They are the infrastructure that allows you to be present for the client over the long duration of the case.</w:t>
      </w:r>
    </w:p>
    <w:p>
      <w:pPr>
        <w:spacing w:after="0" w:before="240" w:line="480"/>
      </w:pPr>
      <w:r>
        <w:rPr>
          <w:rFonts w:ascii="Times New Roman" w:cs="Times New Roman" w:eastAsia="Times New Roman" w:hAnsi="Times New Roman"/>
          <w:b/>
          <w:bCs/>
          <w:i/>
          <w:iCs/>
          <w:sz w:val="24"/>
          <w:szCs w:val="24"/>
        </w:rPr>
        <w:t xml:space="preserve">Individual Practices</w:t>
      </w:r>
    </w:p>
    <w:p>
      <w:pPr>
        <w:spacing w:after="0" w:line="480"/>
        <w:ind w:firstLine="720"/>
      </w:pPr>
      <w:r>
        <w:rPr>
          <w:rFonts w:ascii="Times New Roman" w:cs="Times New Roman" w:eastAsia="Times New Roman" w:hAnsi="Times New Roman"/>
          <w:i/>
          <w:iCs/>
          <w:sz w:val="24"/>
          <w:szCs w:val="24"/>
        </w:rPr>
        <w:t xml:space="preserve">Physical discharge.</w:t>
      </w:r>
      <w:r>
        <w:rPr>
          <w:rFonts w:ascii="Times New Roman" w:cs="Times New Roman" w:eastAsia="Times New Roman" w:hAnsi="Times New Roman"/>
          <w:sz w:val="24"/>
          <w:szCs w:val="24"/>
        </w:rPr>
        <w:t xml:space="preserve"> Trauma lives in the body. Regular physical exercise—built into the weekly schedule as non-negotiable—is the single most effective individual practice for managing vicarious trauma.</w:t>
      </w:r>
    </w:p>
    <w:p>
      <w:pPr>
        <w:spacing w:after="0" w:line="480"/>
        <w:ind w:firstLine="720"/>
      </w:pPr>
      <w:r>
        <w:rPr>
          <w:rFonts w:ascii="Times New Roman" w:cs="Times New Roman" w:eastAsia="Times New Roman" w:hAnsi="Times New Roman"/>
          <w:i/>
          <w:iCs/>
          <w:sz w:val="24"/>
          <w:szCs w:val="24"/>
        </w:rPr>
        <w:t xml:space="preserve">Compartmentalization with integrity.</w:t>
      </w:r>
      <w:r>
        <w:rPr>
          <w:rFonts w:ascii="Times New Roman" w:cs="Times New Roman" w:eastAsia="Times New Roman" w:hAnsi="Times New Roman"/>
          <w:sz w:val="24"/>
          <w:szCs w:val="24"/>
        </w:rPr>
        <w:t xml:space="preserve"> The ability to be fully present with the case during work hours and fully present with your family during off hours is not emotional avoidance. It is emotional discipline. You are not suppressing the pain. You are choosing when to carry it and when to set it down.</w:t>
      </w:r>
    </w:p>
    <w:p>
      <w:pPr>
        <w:spacing w:after="0" w:line="480"/>
        <w:ind w:firstLine="720"/>
      </w:pPr>
      <w:r>
        <w:rPr>
          <w:rFonts w:ascii="Times New Roman" w:cs="Times New Roman" w:eastAsia="Times New Roman" w:hAnsi="Times New Roman"/>
          <w:i/>
          <w:iCs/>
          <w:sz w:val="24"/>
          <w:szCs w:val="24"/>
        </w:rPr>
        <w:t xml:space="preserve">Professional support.</w:t>
      </w:r>
      <w:r>
        <w:rPr>
          <w:rFonts w:ascii="Times New Roman" w:cs="Times New Roman" w:eastAsia="Times New Roman" w:hAnsi="Times New Roman"/>
          <w:sz w:val="24"/>
          <w:szCs w:val="24"/>
        </w:rPr>
        <w:t xml:space="preserve"> A therapist who specializes in vicarious trauma is not a luxury for TTI lawyers. It is a professional necessity. The best trial lawyers in this practice area have therapists the way the best athletes have trainers—not because something is wrong, but because the work demands maintenance that cannot be done alone.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The trial converges across three acts—opening, examination, and closing—each demanding a different mode of advocacy but all flowing from the same narrative architecture built during voir dire.</w:t>
      </w:r>
    </w:p>
    <w:p>
      <w:pPr>
        <w:spacing w:after="0" w:line="480"/>
        <w:ind w:firstLine="720"/>
      </w:pPr>
      <w:r>
        <w:rPr>
          <w:rFonts w:ascii="Times New Roman" w:cs="Times New Roman" w:eastAsia="Times New Roman" w:hAnsi="Times New Roman"/>
          <w:sz w:val="24"/>
          <w:szCs w:val="24"/>
        </w:rPr>
        <w:t xml:space="preserve">Opening statement is the Call to Adventure. Begin with a human moment—a scene that drops the jury into the story within thirty seconds. Structure the body as mask (what the program told the world), reality (what happened behind the facade), harm (what the system did to this child), and ask (the principle of accountability). Target twelve to eighteen minutes. Under-promise and over-deliver.</w:t>
      </w:r>
    </w:p>
    <w:p>
      <w:pPr>
        <w:spacing w:after="0" w:line="480"/>
        <w:ind w:firstLine="720"/>
      </w:pPr>
      <w:r>
        <w:rPr>
          <w:rFonts w:ascii="Times New Roman" w:cs="Times New Roman" w:eastAsia="Times New Roman" w:hAnsi="Times New Roman"/>
          <w:sz w:val="24"/>
          <w:szCs w:val="24"/>
        </w:rPr>
        <w:t xml:space="preserve">Witness order follows the StoryBrand architecture: context witness (build the system), life-before witness (establish trajectory), plaintiff (the emotional core), expert (the analytical framework), avatar (the system's human face under cross-examination), and damages foundation (the economic anchor). Alternate emotionally intense and analytical witnesses to maintain the push-pull dynamic.</w:t>
      </w:r>
    </w:p>
    <w:p>
      <w:pPr>
        <w:spacing w:after="0" w:line="480"/>
        <w:ind w:firstLine="720"/>
      </w:pPr>
      <w:r>
        <w:rPr>
          <w:rFonts w:ascii="Times New Roman" w:cs="Times New Roman" w:eastAsia="Times New Roman" w:hAnsi="Times New Roman"/>
          <w:sz w:val="24"/>
          <w:szCs w:val="24"/>
        </w:rPr>
        <w:t xml:space="preserve">Cross-examination is revelation, not destruction. Use the five-step framework: establish the rule, show the violation, connect to the system, connect to the harm, close the loop. Pace and accumulation are your weapons. Ten admitted rule violations is a system.</w:t>
      </w:r>
    </w:p>
    <w:p>
      <w:pPr>
        <w:spacing w:after="0" w:line="480"/>
        <w:ind w:firstLine="720"/>
      </w:pPr>
      <w:r>
        <w:rPr>
          <w:rFonts w:ascii="Times New Roman" w:cs="Times New Roman" w:eastAsia="Times New Roman" w:hAnsi="Times New Roman"/>
          <w:sz w:val="24"/>
          <w:szCs w:val="24"/>
        </w:rPr>
        <w:t xml:space="preserve">Closing argument is the Return with the Elixir. Remind the jury of their voir dire commitments. Tell the complete story incorporating trial evidence. Walk through the damages using the per-diem framework. End with the commission: courage, identity, and the choice between accountability and silence.</w:t>
      </w:r>
    </w:p>
    <w:p>
      <w:pPr>
        <w:spacing w:after="0" w:line="480"/>
        <w:ind w:firstLine="720"/>
      </w:pPr>
      <w:r>
        <w:rPr>
          <w:rFonts w:ascii="Times New Roman" w:cs="Times New Roman" w:eastAsia="Times New Roman" w:hAnsi="Times New Roman"/>
          <w:sz w:val="24"/>
          <w:szCs w:val="24"/>
        </w:rPr>
        <w:t xml:space="preserve">Use AI to manage the scaffolding—document review, first drafts, overnight trial support, expert preparation—so the human team can focus on judgment, authenticity, and courtroom presence. Protect the team from vicarious trauma through case rotation, AI-buffered document review, team debriefing, bounded availability, and professional support. The survivors need lawyers who are not only skilled but present—and presence requires sustainability.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Opening, Cross, and Closing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2026-05-13T20:44:58.030Z</dcterms:created>
  <dcterms:modified xsi:type="dcterms:W3CDTF">2026-05-13T20:44:58.031Z</dcterms:modified>
</cp:coreProperties>
</file>

<file path=docProps/custom.xml><?xml version="1.0" encoding="utf-8"?>
<Properties xmlns="http://schemas.openxmlformats.org/officeDocument/2006/custom-properties" xmlns:vt="http://schemas.openxmlformats.org/officeDocument/2006/docPropsVTypes"/>
</file>