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8"/>
          <w:szCs w:val="28"/>
        </w:rPr>
        <w:t xml:space="preserve">BREAKING THE SYSTEM</w:t>
      </w:r>
    </w:p>
    <w:p>
      <w:pPr>
        <w:spacing w:after="0" w:line="480"/>
        <w:jc w:val="center"/>
      </w:pPr>
      <w:r>
        <w:rPr>
          <w:rFonts w:ascii="Times New Roman" w:cs="Times New Roman" w:eastAsia="Times New Roman" w:hAnsi="Times New Roman"/>
          <w:i/>
          <w:iCs/>
          <w:sz w:val="24"/>
          <w:szCs w:val="24"/>
        </w:rPr>
        <w:t xml:space="preserve">A Trial Lawyer's Guide to the Troubled Teen Industry</w:t>
      </w:r>
    </w:p>
    <w:p>
      <w:pPr>
        <w:spacing w:after="0" w:line="480"/>
      </w:pPr>
    </w:p>
    <w:p>
      <w:pPr>
        <w:spacing w:after="0" w:line="480"/>
        <w:jc w:val="center"/>
      </w:pPr>
      <w:r>
        <w:rPr>
          <w:rFonts w:ascii="Times New Roman" w:cs="Times New Roman" w:eastAsia="Times New Roman" w:hAnsi="Times New Roman"/>
          <w:sz w:val="24"/>
          <w:szCs w:val="24"/>
        </w:rPr>
        <w:t xml:space="preserve">Frank Stucki, Esq., MBA</w:t>
      </w:r>
    </w:p>
    <w:p>
      <w:pPr>
        <w:spacing w:after="0" w:line="480"/>
      </w:pPr>
    </w:p>
    <w:p>
      <w:pPr>
        <w:spacing w:after="0" w:line="480"/>
        <w:jc w:val="center"/>
      </w:pPr>
      <w:r>
        <w:rPr>
          <w:rFonts w:ascii="Times New Roman" w:cs="Times New Roman" w:eastAsia="Times New Roman" w:hAnsi="Times New Roman"/>
          <w:sz w:val="24"/>
          <w:szCs w:val="24"/>
        </w:rPr>
        <w:t xml:space="preserve">CONDENSED BOOK OUTLINE</w:t>
      </w:r>
    </w:p>
    <w:p>
      <w:pPr>
        <w:spacing w:after="0" w:line="480"/>
        <w:jc w:val="center"/>
      </w:pPr>
      <w:r>
        <w:rPr>
          <w:rFonts w:ascii="Times New Roman" w:cs="Times New Roman" w:eastAsia="Times New Roman" w:hAnsi="Times New Roman"/>
          <w:sz w:val="24"/>
          <w:szCs w:val="24"/>
        </w:rPr>
        <w:t xml:space="preserve">Working Draft — May 2026</w:t>
      </w:r>
    </w:p>
    <w:p>
      <w:pPr>
        <w:spacing w:after="0" w:line="480"/>
      </w:pPr>
    </w:p>
    <w:p>
      <w:pPr>
        <w:spacing w:after="0" w:line="480"/>
        <w:jc w:val="center"/>
      </w:pPr>
      <w:r>
        <w:rPr>
          <w:rFonts w:ascii="Times New Roman" w:cs="Times New Roman" w:eastAsia="Times New Roman" w:hAnsi="Times New Roman"/>
          <w:sz w:val="24"/>
          <w:szCs w:val="24"/>
        </w:rPr>
        <w:t xml:space="preserve">23 Chapters + 8 Appendices</w:t>
      </w:r>
    </w:p>
    <w:p>
      <w:pPr>
        <w:spacing w:after="0" w:line="480"/>
        <w:jc w:val="center"/>
      </w:pPr>
      <w:r>
        <w:rPr>
          <w:rFonts w:ascii="Times New Roman" w:cs="Times New Roman" w:eastAsia="Times New Roman" w:hAnsi="Times New Roman"/>
          <w:sz w:val="24"/>
          <w:szCs w:val="24"/>
        </w:rPr>
        <w:t xml:space="preserve">Target: 275–350 pages | 80,000–105,000 words</w:t>
      </w:r>
    </w:p>
    <w:p>
      <w:pPr>
        <w:spacing w:after="0" w:line="480"/>
      </w:pPr>
    </w:p>
    <w:p>
      <w:pPr>
        <w:pBdr>
          <w:bottom w:val="single" w:color="999999" w:sz="4" w:space="6"/>
        </w:pBdr>
        <w:spacing w:after="120" w:before="120"/>
        <w:jc w:val="center"/>
      </w:pPr>
    </w:p>
    <w:p>
      <w:pPr>
        <w:spacing w:after="0" w:before="360" w:line="480"/>
        <w:jc w:val="center"/>
      </w:pPr>
      <w:r>
        <w:rPr>
          <w:rFonts w:ascii="Times New Roman" w:cs="Times New Roman" w:eastAsia="Times New Roman" w:hAnsi="Times New Roman"/>
          <w:b/>
          <w:bCs/>
          <w:sz w:val="26"/>
          <w:szCs w:val="26"/>
        </w:rPr>
        <w:t xml:space="preserve">Overview</w:t>
      </w:r>
    </w:p>
    <w:p>
      <w:pPr>
        <w:spacing w:after="0" w:line="480"/>
      </w:pPr>
    </w:p>
    <w:p>
      <w:pPr>
        <w:spacing w:after="0" w:line="480"/>
        <w:ind w:firstLine="720"/>
      </w:pPr>
      <w:r>
        <w:rPr>
          <w:rFonts w:ascii="Times New Roman" w:cs="Times New Roman" w:eastAsia="Times New Roman" w:hAnsi="Times New Roman"/>
          <w:sz w:val="24"/>
          <w:szCs w:val="24"/>
        </w:rPr>
        <w:t xml:space="preserve">This outline presents a condensed, TTI-specific edition of Breaking the System: A Trial Lawyer's Guide to Institutional Abuse. Where the full manuscript (36 chapters, 514 pages) covers institutional abuse across all settings—religious organizations, nursing homes, schools, foster care, workplaces—this edition focuses exclusively on the Troubled Teen Industry: residential treatment centers, wilderness programs, therapeutic boarding schools, boot camps, and "emotion-growth" academies.</w:t>
      </w:r>
    </w:p>
    <w:p>
      <w:pPr>
        <w:spacing w:after="0" w:line="480"/>
        <w:ind w:firstLine="720"/>
      </w:pPr>
      <w:r>
        <w:rPr>
          <w:rFonts w:ascii="Times New Roman" w:cs="Times New Roman" w:eastAsia="Times New Roman" w:hAnsi="Times New Roman"/>
          <w:sz w:val="24"/>
          <w:szCs w:val="24"/>
        </w:rPr>
        <w:t xml:space="preserve">The core methodology is preserved intact. The BITE model, the complaint-as-weapon strategy, the discovery architecture, the trial frameworks (Rules of the Road, Reptile, Trial by Human, the Villain Reveal), and the damages presentation all translate directly from the full book. What changes is the lens: every example, every discovery template, every cross-examination scenario, and every case study is drawn specifically from TTI litigation.</w:t>
      </w:r>
    </w:p>
    <w:p>
      <w:pPr>
        <w:spacing w:after="0" w:line="480"/>
        <w:ind w:firstLine="720"/>
      </w:pPr>
      <w:r>
        <w:rPr>
          <w:rFonts w:ascii="Times New Roman" w:cs="Times New Roman" w:eastAsia="Times New Roman" w:hAnsi="Times New Roman"/>
          <w:sz w:val="24"/>
          <w:szCs w:val="24"/>
        </w:rPr>
        <w:t xml:space="preserve">This edition serves three audiences: (1) TTI survivors and their families, who need to understand what was done to them and what their rights are; (2) trial lawyers handling or evaluating TTI cases, who need a repeatable litigation method built from the ground up for these cases; and (3) the advocates, organizations, and policymakers working to reform or dismantle the TTI—including Unsilenced, Breaking Code Silence, and the growing survivor-led movement for accountability.</w:t>
      </w:r>
    </w:p>
    <w:p>
      <w:pPr>
        <w:spacing w:after="0" w:line="480"/>
        <w:ind w:firstLine="720"/>
      </w:pPr>
      <w:r>
        <w:rPr>
          <w:rFonts w:ascii="Times New Roman" w:cs="Times New Roman" w:eastAsia="Times New Roman" w:hAnsi="Times New Roman"/>
          <w:sz w:val="24"/>
          <w:szCs w:val="24"/>
        </w:rPr>
        <w:t xml:space="preserve">Relationship to the full book: </w:t>
      </w:r>
      <w:r>
        <w:rPr>
          <w:rFonts w:ascii="Times New Roman" w:cs="Times New Roman" w:eastAsia="Times New Roman" w:hAnsi="Times New Roman"/>
          <w:i/>
          <w:iCs/>
          <w:sz w:val="24"/>
          <w:szCs w:val="24"/>
        </w:rPr>
        <w:t xml:space="preserve">Breaking the System: A Trial Lawyer's Guide to Institutional Abuse</w:t>
      </w:r>
      <w:r>
        <w:rPr>
          <w:rFonts w:ascii="Times New Roman" w:cs="Times New Roman" w:eastAsia="Times New Roman" w:hAnsi="Times New Roman"/>
          <w:sz w:val="24"/>
          <w:szCs w:val="24"/>
        </w:rPr>
        <w:t xml:space="preserve"> remains the comprehensive reference for lawyers handling institutional abuse cases across all settings. This TTI edition is designed to be read independently—a focused, actionable guide for anyone whose work centers on the Troubled Teen Industry. Lawyers who handle both TTI and other institutional abuse cases should consult the full book for cross-institutional strategy.</w:t>
      </w:r>
    </w:p>
    <w:p>
      <w:pPr>
        <w:spacing w:after="0" w:line="480"/>
      </w:pPr>
    </w:p>
    <w:p>
      <w:pPr>
        <w:spacing w:after="0" w:before="360" w:line="480"/>
        <w:jc w:val="center"/>
      </w:pPr>
      <w:r>
        <w:rPr>
          <w:rFonts w:ascii="Times New Roman" w:cs="Times New Roman" w:eastAsia="Times New Roman" w:hAnsi="Times New Roman"/>
          <w:b/>
          <w:bCs/>
          <w:sz w:val="26"/>
          <w:szCs w:val="26"/>
        </w:rPr>
        <w:t xml:space="preserve">Structure</w:t>
      </w:r>
    </w:p>
    <w:p>
      <w:pPr>
        <w:spacing w:after="0" w:line="480"/>
      </w:pPr>
    </w:p>
    <w:p>
      <w:pPr>
        <w:spacing w:after="0" w:line="480"/>
      </w:pPr>
      <w:r>
        <w:rPr>
          <w:rFonts w:ascii="Times New Roman" w:cs="Times New Roman" w:eastAsia="Times New Roman" w:hAnsi="Times New Roman"/>
          <w:b/>
          <w:bCs/>
          <w:sz w:val="24"/>
          <w:szCs w:val="24"/>
        </w:rPr>
        <w:t xml:space="preserve">Part I: The Industry (Chapters 1–5)</w:t>
      </w:r>
    </w:p>
    <w:p>
      <w:pPr>
        <w:spacing w:after="0" w:line="480"/>
        <w:ind w:firstLine="720"/>
      </w:pPr>
      <w:r>
        <w:rPr>
          <w:rFonts w:ascii="Times New Roman" w:cs="Times New Roman" w:eastAsia="Times New Roman" w:hAnsi="Times New Roman"/>
          <w:sz w:val="24"/>
          <w:szCs w:val="24"/>
        </w:rPr>
        <w:t xml:space="preserve">What the TTI is, how it operates, what it does to children, and why no one stops it.</w:t>
      </w:r>
    </w:p>
    <w:p>
      <w:pPr>
        <w:spacing w:after="0" w:line="480"/>
      </w:pPr>
    </w:p>
    <w:p>
      <w:pPr>
        <w:spacing w:after="0" w:line="480"/>
      </w:pPr>
      <w:r>
        <w:rPr>
          <w:rFonts w:ascii="Times New Roman" w:cs="Times New Roman" w:eastAsia="Times New Roman" w:hAnsi="Times New Roman"/>
          <w:b/>
          <w:bCs/>
          <w:sz w:val="24"/>
          <w:szCs w:val="24"/>
        </w:rPr>
        <w:t xml:space="preserve">Part II: For Survivors &amp; Families (Chapters 6–9)</w:t>
      </w:r>
    </w:p>
    <w:p>
      <w:pPr>
        <w:spacing w:after="0" w:line="480"/>
        <w:ind w:firstLine="720"/>
      </w:pPr>
      <w:r>
        <w:rPr>
          <w:rFonts w:ascii="Times New Roman" w:cs="Times New Roman" w:eastAsia="Times New Roman" w:hAnsi="Times New Roman"/>
          <w:sz w:val="24"/>
          <w:szCs w:val="24"/>
        </w:rPr>
        <w:t xml:space="preserve">Validation, rights, evidence preservation, and navigating the legal system.</w:t>
      </w:r>
    </w:p>
    <w:p>
      <w:pPr>
        <w:spacing w:after="0" w:line="480"/>
      </w:pPr>
    </w:p>
    <w:p>
      <w:pPr>
        <w:spacing w:after="0" w:line="480"/>
      </w:pPr>
      <w:r>
        <w:rPr>
          <w:rFonts w:ascii="Times New Roman" w:cs="Times New Roman" w:eastAsia="Times New Roman" w:hAnsi="Times New Roman"/>
          <w:b/>
          <w:bCs/>
          <w:sz w:val="24"/>
          <w:szCs w:val="24"/>
        </w:rPr>
        <w:t xml:space="preserve">Part III: Building the Case (Chapters 10–14)</w:t>
      </w:r>
    </w:p>
    <w:p>
      <w:pPr>
        <w:spacing w:after="0" w:line="480"/>
        <w:ind w:firstLine="720"/>
      </w:pPr>
      <w:r>
        <w:rPr>
          <w:rFonts w:ascii="Times New Roman" w:cs="Times New Roman" w:eastAsia="Times New Roman" w:hAnsi="Times New Roman"/>
          <w:sz w:val="24"/>
          <w:szCs w:val="24"/>
        </w:rPr>
        <w:t xml:space="preserve">From first interview through complaint, discovery, experts, and defense strategy.</w:t>
      </w:r>
    </w:p>
    <w:p>
      <w:pPr>
        <w:spacing w:after="0" w:line="480"/>
      </w:pPr>
    </w:p>
    <w:p>
      <w:pPr>
        <w:spacing w:after="0" w:line="480"/>
      </w:pPr>
      <w:r>
        <w:rPr>
          <w:rFonts w:ascii="Times New Roman" w:cs="Times New Roman" w:eastAsia="Times New Roman" w:hAnsi="Times New Roman"/>
          <w:b/>
          <w:bCs/>
          <w:sz w:val="24"/>
          <w:szCs w:val="24"/>
        </w:rPr>
        <w:t xml:space="preserve">Part IV: Trial (Chapters 15–21)</w:t>
      </w:r>
    </w:p>
    <w:p>
      <w:pPr>
        <w:spacing w:after="0" w:line="480"/>
        <w:ind w:firstLine="720"/>
      </w:pPr>
      <w:r>
        <w:rPr>
          <w:rFonts w:ascii="Times New Roman" w:cs="Times New Roman" w:eastAsia="Times New Roman" w:hAnsi="Times New Roman"/>
          <w:sz w:val="24"/>
          <w:szCs w:val="24"/>
        </w:rPr>
        <w:t xml:space="preserve">Rules of the Road, Reptile, voir dire, damages, witness strategy, and closing the case.</w:t>
      </w:r>
    </w:p>
    <w:p>
      <w:pPr>
        <w:spacing w:after="0" w:line="480"/>
      </w:pPr>
    </w:p>
    <w:p>
      <w:pPr>
        <w:spacing w:after="0" w:line="480"/>
      </w:pPr>
      <w:r>
        <w:rPr>
          <w:rFonts w:ascii="Times New Roman" w:cs="Times New Roman" w:eastAsia="Times New Roman" w:hAnsi="Times New Roman"/>
          <w:b/>
          <w:bCs/>
          <w:sz w:val="24"/>
          <w:szCs w:val="24"/>
        </w:rPr>
        <w:t xml:space="preserve">Part V: Beyond the Courtroom (Chapters 22–23)</w:t>
      </w:r>
    </w:p>
    <w:p>
      <w:pPr>
        <w:spacing w:after="0" w:line="480"/>
        <w:ind w:firstLine="720"/>
      </w:pPr>
      <w:r>
        <w:rPr>
          <w:rFonts w:ascii="Times New Roman" w:cs="Times New Roman" w:eastAsia="Times New Roman" w:hAnsi="Times New Roman"/>
          <w:sz w:val="24"/>
          <w:szCs w:val="24"/>
        </w:rPr>
        <w:t xml:space="preserve">Post-verdict recovery, the movement, and the road ahead.</w:t>
      </w:r>
    </w:p>
    <w:p>
      <w:pPr>
        <w:spacing w:after="0" w:line="480"/>
      </w:pPr>
    </w:p>
    <w:p>
      <w:pPr>
        <w:spacing w:after="0" w:line="480"/>
      </w:pPr>
      <w:r>
        <w:rPr>
          <w:rFonts w:ascii="Times New Roman" w:cs="Times New Roman" w:eastAsia="Times New Roman" w:hAnsi="Times New Roman"/>
          <w:b/>
          <w:bCs/>
          <w:sz w:val="24"/>
          <w:szCs w:val="24"/>
        </w:rPr>
        <w:t xml:space="preserve">Appendices (A–H)</w:t>
      </w:r>
    </w:p>
    <w:p>
      <w:pPr>
        <w:spacing w:after="0" w:line="480"/>
        <w:ind w:firstLine="720"/>
      </w:pPr>
      <w:r>
        <w:rPr>
          <w:rFonts w:ascii="Times New Roman" w:cs="Times New Roman" w:eastAsia="Times New Roman" w:hAnsi="Times New Roman"/>
          <w:sz w:val="24"/>
          <w:szCs w:val="24"/>
        </w:rPr>
        <w:t xml:space="preserve">Practitioner tools: BITE checklist, intake protocol, sample discovery, and more.</w:t>
      </w:r>
    </w:p>
    <w:p>
      <w:pPr>
        <w:spacing w:after="0" w:line="480"/>
      </w:pPr>
    </w:p>
    <w:p>
      <w:pPr>
        <w:pBdr>
          <w:bottom w:val="single" w:color="999999" w:sz="4" w:space="6"/>
        </w:pBdr>
        <w:spacing w:after="120" w:before="120"/>
        <w:jc w:val="center"/>
      </w:pPr>
    </w:p>
    <w:p>
      <w:pPr>
        <w:spacing w:after="0" w:before="360" w:line="480"/>
        <w:jc w:val="center"/>
      </w:pPr>
      <w:r>
        <w:rPr>
          <w:rFonts w:ascii="Times New Roman" w:cs="Times New Roman" w:eastAsia="Times New Roman" w:hAnsi="Times New Roman"/>
          <w:b/>
          <w:bCs/>
          <w:sz w:val="26"/>
          <w:szCs w:val="26"/>
        </w:rPr>
        <w:t xml:space="preserve">PART I: THE INDUSTRY</w:t>
      </w:r>
    </w:p>
    <w:p>
      <w:pPr>
        <w:spacing w:after="0" w:line="480"/>
      </w:pPr>
      <w:r>
        <w:rPr>
          <w:rFonts w:ascii="Times New Roman" w:cs="Times New Roman" w:eastAsia="Times New Roman" w:hAnsi="Times New Roman"/>
          <w:sz w:val="24"/>
          <w:szCs w:val="24"/>
        </w:rPr>
        <w:t xml:space="preserve">What the Troubled Teen Industry is, how it works, and what it does to children</w:t>
      </w:r>
    </w:p>
    <w:p>
      <w:pPr>
        <w:spacing w:after="0" w:line="480"/>
      </w:pPr>
    </w:p>
    <w:p>
      <w:pPr>
        <w:spacing w:after="0" w:before="240" w:line="480"/>
      </w:pPr>
      <w:r>
        <w:rPr>
          <w:rFonts w:ascii="Times New Roman" w:cs="Times New Roman" w:eastAsia="Times New Roman" w:hAnsi="Times New Roman"/>
          <w:b/>
          <w:bCs/>
          <w:sz w:val="24"/>
          <w:szCs w:val="24"/>
        </w:rPr>
        <w:t xml:space="preserve">Chapter 1: The Quiet War on Children</w:t>
      </w:r>
    </w:p>
    <w:p>
      <w:pPr>
        <w:spacing w:after="0" w:line="480"/>
        <w:ind w:firstLine="720"/>
      </w:pPr>
      <w:r>
        <w:rPr>
          <w:rFonts w:ascii="Times New Roman" w:cs="Times New Roman" w:eastAsia="Times New Roman" w:hAnsi="Times New Roman"/>
          <w:sz w:val="24"/>
          <w:szCs w:val="24"/>
        </w:rPr>
        <w:t xml:space="preserve">The opening chapter. Begin with composite TTI narratives—a teenager extracted from their bed at 2 a.m. by strangers, transported across state lines, and deposited in a facility their parents were told would save them. Walk through the machinery: night transport, intake strip-down, level systems, isolation, restraint, forced confession, censored communication, family manipulation. Establish the moral stakes. Introduce the scope: a multi-billion-dollar industry operating in regulatory shadows, serving hundreds of thousands of American children, with no federal oversight and a patchwork of state regulation that ranges from inadequate to nonexistent.</w:t>
      </w:r>
    </w:p>
    <w:p>
      <w:pPr>
        <w:spacing w:after="0" w:line="480"/>
        <w:ind w:left="720"/>
      </w:pPr>
      <w:r>
        <w:rPr>
          <w:rFonts w:ascii="Times New Roman" w:cs="Times New Roman" w:eastAsia="Times New Roman" w:hAnsi="Times New Roman"/>
          <w:sz w:val="24"/>
          <w:szCs w:val="24"/>
        </w:rPr>
        <w:t xml:space="preserve">•  Composite TTI narratives: wilderness, RTC, therapeutic boarding school, boot camp</w:t>
      </w:r>
    </w:p>
    <w:p>
      <w:pPr>
        <w:spacing w:after="0" w:line="480"/>
        <w:ind w:left="720"/>
      </w:pPr>
      <w:r>
        <w:rPr>
          <w:rFonts w:ascii="Times New Roman" w:cs="Times New Roman" w:eastAsia="Times New Roman" w:hAnsi="Times New Roman"/>
          <w:sz w:val="24"/>
          <w:szCs w:val="24"/>
        </w:rPr>
        <w:t xml:space="preserve">•  The machinery: recruitment → transport → isolation → control → concealment</w:t>
      </w:r>
    </w:p>
    <w:p>
      <w:pPr>
        <w:spacing w:after="0" w:line="480"/>
        <w:ind w:left="720"/>
      </w:pPr>
      <w:r>
        <w:rPr>
          <w:rFonts w:ascii="Times New Roman" w:cs="Times New Roman" w:eastAsia="Times New Roman" w:hAnsi="Times New Roman"/>
          <w:sz w:val="24"/>
          <w:szCs w:val="24"/>
        </w:rPr>
        <w:t xml:space="preserve">•  The scope: $23+ billion industry, 50,000–100,000+ children at any given time</w:t>
      </w:r>
    </w:p>
    <w:p>
      <w:pPr>
        <w:spacing w:after="0" w:line="480"/>
        <w:ind w:left="720"/>
      </w:pPr>
      <w:r>
        <w:rPr>
          <w:rFonts w:ascii="Times New Roman" w:cs="Times New Roman" w:eastAsia="Times New Roman" w:hAnsi="Times New Roman"/>
          <w:sz w:val="24"/>
          <w:szCs w:val="24"/>
        </w:rPr>
        <w:t xml:space="preserve">•  No federal oversight; state-by-state regulatory patchwork</w:t>
      </w:r>
    </w:p>
    <w:p>
      <w:pPr>
        <w:spacing w:after="0" w:line="480"/>
        <w:ind w:left="720"/>
      </w:pPr>
      <w:r>
        <w:rPr>
          <w:rFonts w:ascii="Times New Roman" w:cs="Times New Roman" w:eastAsia="Times New Roman" w:hAnsi="Times New Roman"/>
          <w:sz w:val="24"/>
          <w:szCs w:val="24"/>
        </w:rPr>
        <w:t xml:space="preserve">•  This is not a collection of bad programs. It is an industry built on coercive control.</w:t>
      </w:r>
    </w:p>
    <w:p>
      <w:pPr>
        <w:spacing w:after="0" w:line="480"/>
        <w:ind w:left="720"/>
      </w:pPr>
      <w:r>
        <w:rPr>
          <w:rFonts w:ascii="Times New Roman" w:cs="Times New Roman" w:eastAsia="Times New Roman" w:hAnsi="Times New Roman"/>
          <w:sz w:val="24"/>
          <w:szCs w:val="24"/>
        </w:rPr>
        <w:t xml:space="preserve">•  Personal note: why you wrote this book</w:t>
      </w:r>
    </w:p>
    <w:p>
      <w:pPr>
        <w:spacing w:after="0" w:line="480"/>
      </w:pPr>
    </w:p>
    <w:p>
      <w:pPr>
        <w:spacing w:after="0" w:before="240" w:line="480"/>
      </w:pPr>
      <w:r>
        <w:rPr>
          <w:rFonts w:ascii="Times New Roman" w:cs="Times New Roman" w:eastAsia="Times New Roman" w:hAnsi="Times New Roman"/>
          <w:b/>
          <w:bCs/>
          <w:sz w:val="24"/>
          <w:szCs w:val="24"/>
        </w:rPr>
        <w:t xml:space="preserve">Chapter 2: The Program as System, Not Backdrop</w:t>
      </w:r>
    </w:p>
    <w:p>
      <w:pPr>
        <w:spacing w:after="0" w:line="480"/>
        <w:ind w:firstLine="720"/>
      </w:pPr>
      <w:r>
        <w:rPr>
          <w:rFonts w:ascii="Times New Roman" w:cs="Times New Roman" w:eastAsia="Times New Roman" w:hAnsi="Times New Roman"/>
          <w:sz w:val="24"/>
          <w:szCs w:val="24"/>
        </w:rPr>
        <w:t xml:space="preserve">The conceptual foundation. TTI cases are not "abuse at a program." They are cases about programs designed to produce harm. Teach lawyers to see the program as a coercive system—designed dependency, suppressed complaint, externalized cost—not merely the place where a bad counselor did a bad thing. Cover entity structures (shells, affiliates, parent companies, educational consultant referral networks) and the business model: $30K–$200K/year per child, private equity consolidation, referral fees, and the financial architecture of concealment.</w:t>
      </w:r>
    </w:p>
    <w:p>
      <w:pPr>
        <w:spacing w:after="0" w:line="480"/>
        <w:ind w:left="720"/>
      </w:pPr>
      <w:r>
        <w:rPr>
          <w:rFonts w:ascii="Times New Roman" w:cs="Times New Roman" w:eastAsia="Times New Roman" w:hAnsi="Times New Roman"/>
          <w:sz w:val="24"/>
          <w:szCs w:val="24"/>
        </w:rPr>
        <w:t xml:space="preserve">•  The program as designed system vs. incidental site of harm</w:t>
      </w:r>
    </w:p>
    <w:p>
      <w:pPr>
        <w:spacing w:after="0" w:line="480"/>
        <w:ind w:left="720"/>
      </w:pPr>
      <w:r>
        <w:rPr>
          <w:rFonts w:ascii="Times New Roman" w:cs="Times New Roman" w:eastAsia="Times New Roman" w:hAnsi="Times New Roman"/>
          <w:sz w:val="24"/>
          <w:szCs w:val="24"/>
        </w:rPr>
        <w:t xml:space="preserve">•  Structural features: isolation, hierarchy, information control, dependency creation</w:t>
      </w:r>
    </w:p>
    <w:p>
      <w:pPr>
        <w:spacing w:after="0" w:line="480"/>
        <w:ind w:left="720"/>
      </w:pPr>
      <w:r>
        <w:rPr>
          <w:rFonts w:ascii="Times New Roman" w:cs="Times New Roman" w:eastAsia="Times New Roman" w:hAnsi="Times New Roman"/>
          <w:sz w:val="24"/>
          <w:szCs w:val="24"/>
        </w:rPr>
        <w:t xml:space="preserve">•  Marketing safety while operating danger</w:t>
      </w:r>
    </w:p>
    <w:p>
      <w:pPr>
        <w:spacing w:after="0" w:line="480"/>
        <w:ind w:left="720"/>
      </w:pPr>
      <w:r>
        <w:rPr>
          <w:rFonts w:ascii="Times New Roman" w:cs="Times New Roman" w:eastAsia="Times New Roman" w:hAnsi="Times New Roman"/>
          <w:sz w:val="24"/>
          <w:szCs w:val="24"/>
        </w:rPr>
        <w:t xml:space="preserve">•  TTI economics: $30K–$200K/year per child; PE consolidation; consultant referral fees</w:t>
      </w:r>
    </w:p>
    <w:p>
      <w:pPr>
        <w:spacing w:after="0" w:line="480"/>
        <w:ind w:left="720"/>
      </w:pPr>
      <w:r>
        <w:rPr>
          <w:rFonts w:ascii="Times New Roman" w:cs="Times New Roman" w:eastAsia="Times New Roman" w:hAnsi="Times New Roman"/>
          <w:sz w:val="24"/>
          <w:szCs w:val="24"/>
        </w:rPr>
        <w:t xml:space="preserve">•  Entity structures: shells, affiliates, parent organizations, the corporate architecture of concealment</w:t>
      </w:r>
    </w:p>
    <w:p>
      <w:pPr>
        <w:spacing w:after="0" w:line="480"/>
        <w:ind w:left="720"/>
      </w:pPr>
      <w:r>
        <w:rPr>
          <w:rFonts w:ascii="Times New Roman" w:cs="Times New Roman" w:eastAsia="Times New Roman" w:hAnsi="Times New Roman"/>
          <w:sz w:val="24"/>
          <w:szCs w:val="24"/>
        </w:rPr>
        <w:t xml:space="preserve">•  The distinction: system-produced harm vs. individual misconduct in a program setting</w:t>
      </w:r>
    </w:p>
    <w:p>
      <w:pPr>
        <w:spacing w:after="0" w:line="480"/>
      </w:pPr>
    </w:p>
    <w:p>
      <w:pPr>
        <w:spacing w:after="0" w:before="240" w:line="480"/>
      </w:pPr>
      <w:r>
        <w:rPr>
          <w:rFonts w:ascii="Times New Roman" w:cs="Times New Roman" w:eastAsia="Times New Roman" w:hAnsi="Times New Roman"/>
          <w:b/>
          <w:bCs/>
          <w:sz w:val="24"/>
          <w:szCs w:val="24"/>
        </w:rPr>
        <w:t xml:space="preserve">Chapter 3: What It Does to Children — Complex Trauma and Developmental Theft</w:t>
      </w:r>
    </w:p>
    <w:p>
      <w:pPr>
        <w:spacing w:after="0" w:line="480"/>
        <w:ind w:firstLine="720"/>
      </w:pPr>
      <w:r>
        <w:rPr>
          <w:rFonts w:ascii="Times New Roman" w:cs="Times New Roman" w:eastAsia="Times New Roman" w:hAnsi="Times New Roman"/>
          <w:sz w:val="24"/>
          <w:szCs w:val="24"/>
        </w:rPr>
        <w:t xml:space="preserve">The damages foundation. C-PTSD in adolescents subjected to coercive control during critical developmental windows. Draw on van der Kolk, Herman, Perry, Walker, and Burke Harris. The unique TTI dimension: this is not just trauma inflicted during childhood—it is development stolen during the years when identity, autonomy, and relational capacity are forming. Cover the four F responses, ACE scores, somatic symptoms, nervous system dysregulation, identity disruption, and why TTI survivors present atypically (fawning, compliance masking injury, inability to narrate cleanly).</w:t>
      </w:r>
    </w:p>
    <w:p>
      <w:pPr>
        <w:spacing w:after="0" w:line="480"/>
        <w:ind w:left="720"/>
      </w:pPr>
      <w:r>
        <w:rPr>
          <w:rFonts w:ascii="Times New Roman" w:cs="Times New Roman" w:eastAsia="Times New Roman" w:hAnsi="Times New Roman"/>
          <w:sz w:val="24"/>
          <w:szCs w:val="24"/>
        </w:rPr>
        <w:t xml:space="preserve">•  PTSD vs. C-PTSD: single-event trauma vs. the methodical erosion of a developing person</w:t>
      </w:r>
    </w:p>
    <w:p>
      <w:pPr>
        <w:spacing w:after="0" w:line="480"/>
        <w:ind w:left="720"/>
      </w:pPr>
      <w:r>
        <w:rPr>
          <w:rFonts w:ascii="Times New Roman" w:cs="Times New Roman" w:eastAsia="Times New Roman" w:hAnsi="Times New Roman"/>
          <w:sz w:val="24"/>
          <w:szCs w:val="24"/>
        </w:rPr>
        <w:t xml:space="preserve">•  Developmental theft: what happens when abuse occurs during formative years (Perry)</w:t>
      </w:r>
    </w:p>
    <w:p>
      <w:pPr>
        <w:spacing w:after="0" w:line="480"/>
        <w:ind w:left="720"/>
      </w:pPr>
      <w:r>
        <w:rPr>
          <w:rFonts w:ascii="Times New Roman" w:cs="Times New Roman" w:eastAsia="Times New Roman" w:hAnsi="Times New Roman"/>
          <w:sz w:val="24"/>
          <w:szCs w:val="24"/>
        </w:rPr>
        <w:t xml:space="preserve">•  The four F responses (Walker): fight, flight, freeze, fawn—and why TTI survivors fawn</w:t>
      </w:r>
    </w:p>
    <w:p>
      <w:pPr>
        <w:spacing w:after="0" w:line="480"/>
        <w:ind w:left="720"/>
      </w:pPr>
      <w:r>
        <w:rPr>
          <w:rFonts w:ascii="Times New Roman" w:cs="Times New Roman" w:eastAsia="Times New Roman" w:hAnsi="Times New Roman"/>
          <w:sz w:val="24"/>
          <w:szCs w:val="24"/>
        </w:rPr>
        <w:t xml:space="preserve">•  The body keeps the score: somatic symptoms, dissociation, nervous system dysregulation (van der Kolk)</w:t>
      </w:r>
    </w:p>
    <w:p>
      <w:pPr>
        <w:spacing w:after="0" w:line="480"/>
        <w:ind w:left="720"/>
      </w:pPr>
      <w:r>
        <w:rPr>
          <w:rFonts w:ascii="Times New Roman" w:cs="Times New Roman" w:eastAsia="Times New Roman" w:hAnsi="Times New Roman"/>
          <w:sz w:val="24"/>
          <w:szCs w:val="24"/>
        </w:rPr>
        <w:t xml:space="preserve">•  Identity disruption during formation—not a broken adult, but a person never allowed to form</w:t>
      </w:r>
    </w:p>
    <w:p>
      <w:pPr>
        <w:spacing w:after="0" w:line="480"/>
        <w:ind w:left="720"/>
      </w:pPr>
      <w:r>
        <w:rPr>
          <w:rFonts w:ascii="Times New Roman" w:cs="Times New Roman" w:eastAsia="Times New Roman" w:hAnsi="Times New Roman"/>
          <w:sz w:val="24"/>
          <w:szCs w:val="24"/>
        </w:rPr>
        <w:t xml:space="preserve">•  ACE scores, long-term consequences: substance abuse, self-harm, relational dysfunction</w:t>
      </w:r>
    </w:p>
    <w:p>
      <w:pPr>
        <w:spacing w:after="0" w:line="480"/>
        <w:ind w:left="720"/>
      </w:pPr>
      <w:r>
        <w:rPr>
          <w:rFonts w:ascii="Times New Roman" w:cs="Times New Roman" w:eastAsia="Times New Roman" w:hAnsi="Times New Roman"/>
          <w:sz w:val="24"/>
          <w:szCs w:val="24"/>
        </w:rPr>
        <w:t xml:space="preserve">•  Why survivors cannot narrate cleanly—and why that does not mean they are lying</w:t>
      </w:r>
    </w:p>
    <w:p>
      <w:pPr>
        <w:spacing w:after="0" w:line="480"/>
      </w:pPr>
    </w:p>
    <w:p>
      <w:pPr>
        <w:spacing w:after="0" w:before="240" w:line="480"/>
      </w:pPr>
      <w:r>
        <w:rPr>
          <w:rFonts w:ascii="Times New Roman" w:cs="Times New Roman" w:eastAsia="Times New Roman" w:hAnsi="Times New Roman"/>
          <w:b/>
          <w:bCs/>
          <w:sz w:val="24"/>
          <w:szCs w:val="24"/>
        </w:rPr>
        <w:t xml:space="preserve">Chapter 4: The Architecture of Silence — Why No One Complained</w:t>
      </w:r>
    </w:p>
    <w:p>
      <w:pPr>
        <w:spacing w:after="0" w:line="480"/>
        <w:ind w:firstLine="720"/>
      </w:pPr>
      <w:r>
        <w:rPr>
          <w:rFonts w:ascii="Times New Roman" w:cs="Times New Roman" w:eastAsia="Times New Roman" w:hAnsi="Times New Roman"/>
          <w:sz w:val="24"/>
          <w:szCs w:val="24"/>
        </w:rPr>
        <w:t xml:space="preserve">The most important defensive chapter. Address "If it was so bad, why didn't they complain?" by showing how every TTI program systematically suppresses complaint: censored letters, monitored and scripted phone calls, punished honesty, rewarded compliance, "they're manipulating you" coaching of parents. Cover staff culture (NDAs, normalization, economic dependence), educational consultant complicity, regulatory capture, and parental cognitive dissonance. Then layer in the cognitive science of institutional denial (Kahneman, Lerner, Milgram, Festinger, Slovic): why the outside world resists believing even when survivors do speak.</w:t>
      </w:r>
    </w:p>
    <w:p>
      <w:pPr>
        <w:spacing w:after="0" w:line="480"/>
        <w:ind w:left="720"/>
      </w:pPr>
      <w:r>
        <w:rPr>
          <w:rFonts w:ascii="Times New Roman" w:cs="Times New Roman" w:eastAsia="Times New Roman" w:hAnsi="Times New Roman"/>
          <w:sz w:val="24"/>
          <w:szCs w:val="24"/>
        </w:rPr>
        <w:t xml:space="preserve">•  TTI silence mechanisms: censored letters, scripted calls, punished honesty, coached parents</w:t>
      </w:r>
    </w:p>
    <w:p>
      <w:pPr>
        <w:spacing w:after="0" w:line="480"/>
        <w:ind w:left="720"/>
      </w:pPr>
      <w:r>
        <w:rPr>
          <w:rFonts w:ascii="Times New Roman" w:cs="Times New Roman" w:eastAsia="Times New Roman" w:hAnsi="Times New Roman"/>
          <w:sz w:val="24"/>
          <w:szCs w:val="24"/>
        </w:rPr>
        <w:t xml:space="preserve">•  "They're manipulating you": how programs pre-empt children's complaints</w:t>
      </w:r>
    </w:p>
    <w:p>
      <w:pPr>
        <w:spacing w:after="0" w:line="480"/>
        <w:ind w:left="720"/>
      </w:pPr>
      <w:r>
        <w:rPr>
          <w:rFonts w:ascii="Times New Roman" w:cs="Times New Roman" w:eastAsia="Times New Roman" w:hAnsi="Times New Roman"/>
          <w:sz w:val="24"/>
          <w:szCs w:val="24"/>
        </w:rPr>
        <w:t xml:space="preserve">•  Staff culture: NDAs, loyalty, normalization, economic dependence</w:t>
      </w:r>
    </w:p>
    <w:p>
      <w:pPr>
        <w:spacing w:after="0" w:line="480"/>
        <w:ind w:left="720"/>
      </w:pPr>
      <w:r>
        <w:rPr>
          <w:rFonts w:ascii="Times New Roman" w:cs="Times New Roman" w:eastAsia="Times New Roman" w:hAnsi="Times New Roman"/>
          <w:sz w:val="24"/>
          <w:szCs w:val="24"/>
        </w:rPr>
        <w:t xml:space="preserve">•  Educational consultant complicity and referral incentives</w:t>
      </w:r>
    </w:p>
    <w:p>
      <w:pPr>
        <w:spacing w:after="0" w:line="480"/>
        <w:ind w:left="720"/>
      </w:pPr>
      <w:r>
        <w:rPr>
          <w:rFonts w:ascii="Times New Roman" w:cs="Times New Roman" w:eastAsia="Times New Roman" w:hAnsi="Times New Roman"/>
          <w:sz w:val="24"/>
          <w:szCs w:val="24"/>
        </w:rPr>
        <w:t xml:space="preserve">•  Parental cognitive dissonance: acknowledging truth means admitting you paid for your child's abuse</w:t>
      </w:r>
    </w:p>
    <w:p>
      <w:pPr>
        <w:spacing w:after="0" w:line="480"/>
        <w:ind w:left="720"/>
      </w:pPr>
      <w:r>
        <w:rPr>
          <w:rFonts w:ascii="Times New Roman" w:cs="Times New Roman" w:eastAsia="Times New Roman" w:hAnsi="Times New Roman"/>
          <w:sz w:val="24"/>
          <w:szCs w:val="24"/>
        </w:rPr>
        <w:t xml:space="preserve">•  Cognitive science of denial: System 1/2 (Kahneman), just-world hypothesis (Lerner), authority bias (Milgram)</w:t>
      </w:r>
    </w:p>
    <w:p>
      <w:pPr>
        <w:spacing w:after="0" w:line="480"/>
        <w:ind w:left="720"/>
      </w:pPr>
      <w:r>
        <w:rPr>
          <w:rFonts w:ascii="Times New Roman" w:cs="Times New Roman" w:eastAsia="Times New Roman" w:hAnsi="Times New Roman"/>
          <w:sz w:val="24"/>
          <w:szCs w:val="24"/>
        </w:rPr>
        <w:t xml:space="preserve">•  The backfire effect: why gradual unmasking succeeds where frontal assault fails</w:t>
      </w:r>
    </w:p>
    <w:p>
      <w:pPr>
        <w:spacing w:after="0" w:line="480"/>
        <w:ind w:left="720"/>
      </w:pPr>
      <w:r>
        <w:rPr>
          <w:rFonts w:ascii="Times New Roman" w:cs="Times New Roman" w:eastAsia="Times New Roman" w:hAnsi="Times New Roman"/>
          <w:sz w:val="24"/>
          <w:szCs w:val="24"/>
        </w:rPr>
        <w:t xml:space="preserve">•  Reframing for trial: "Of course there was no complaint. The complaint pathways were controlled."</w:t>
      </w:r>
    </w:p>
    <w:p>
      <w:pPr>
        <w:spacing w:after="0" w:line="480"/>
      </w:pPr>
    </w:p>
    <w:p>
      <w:pPr>
        <w:spacing w:after="0" w:before="240" w:line="480"/>
      </w:pPr>
      <w:r>
        <w:rPr>
          <w:rFonts w:ascii="Times New Roman" w:cs="Times New Roman" w:eastAsia="Times New Roman" w:hAnsi="Times New Roman"/>
          <w:b/>
          <w:bCs/>
          <w:sz w:val="24"/>
          <w:szCs w:val="24"/>
        </w:rPr>
        <w:t xml:space="preserve">Chapter 5: Mind Control Is Not Mystical — The BITE Model as Proof Architecture</w:t>
      </w:r>
    </w:p>
    <w:p>
      <w:pPr>
        <w:spacing w:after="0" w:line="480"/>
        <w:ind w:firstLine="720"/>
      </w:pPr>
      <w:r>
        <w:rPr>
          <w:rFonts w:ascii="Times New Roman" w:cs="Times New Roman" w:eastAsia="Times New Roman" w:hAnsi="Times New Roman"/>
          <w:sz w:val="24"/>
          <w:szCs w:val="24"/>
        </w:rPr>
        <w:t xml:space="preserve">The signature methodology chapter. Combine the BITE model introduction and the proof architecture into a single, dense chapter. Introduce Hassan's framework (Behavior, Information, Thought, Emotional control), then convert each category into a TTI-specific litigation grid: institutional behavior → source of proof → legal claim → damages implication. This chapter becomes the backbone of everything that follows—complaint, discovery, deposition, cross-examination, and closing argument.</w:t>
      </w:r>
    </w:p>
    <w:p>
      <w:pPr>
        <w:spacing w:after="0" w:line="480"/>
        <w:ind w:left="720"/>
      </w:pPr>
      <w:r>
        <w:rPr>
          <w:rFonts w:ascii="Times New Roman" w:cs="Times New Roman" w:eastAsia="Times New Roman" w:hAnsi="Times New Roman"/>
          <w:sz w:val="24"/>
          <w:szCs w:val="24"/>
        </w:rPr>
        <w:t xml:space="preserve">•  Steven Hassan and why his work matters for TTI litigation</w:t>
      </w:r>
    </w:p>
    <w:p>
      <w:pPr>
        <w:spacing w:after="0" w:line="480"/>
        <w:ind w:left="720"/>
      </w:pPr>
      <w:r>
        <w:rPr>
          <w:rFonts w:ascii="Times New Roman" w:cs="Times New Roman" w:eastAsia="Times New Roman" w:hAnsi="Times New Roman"/>
          <w:sz w:val="24"/>
          <w:szCs w:val="24"/>
        </w:rPr>
        <w:t xml:space="preserve">•  The BITE model explained with TTI-specific manifestations throughout</w:t>
      </w:r>
    </w:p>
    <w:p>
      <w:pPr>
        <w:spacing w:after="0" w:line="480"/>
        <w:ind w:left="720"/>
      </w:pPr>
      <w:r>
        <w:rPr>
          <w:rFonts w:ascii="Times New Roman" w:cs="Times New Roman" w:eastAsia="Times New Roman" w:hAnsi="Times New Roman"/>
          <w:sz w:val="24"/>
          <w:szCs w:val="24"/>
        </w:rPr>
        <w:t xml:space="preserve">•  Behavior Control: movement restrictions, forced labor, restraints, transport, sleep/food control, isolation</w:t>
      </w:r>
    </w:p>
    <w:p>
      <w:pPr>
        <w:spacing w:after="0" w:line="480"/>
        <w:ind w:left="720"/>
      </w:pPr>
      <w:r>
        <w:rPr>
          <w:rFonts w:ascii="Times New Roman" w:cs="Times New Roman" w:eastAsia="Times New Roman" w:hAnsi="Times New Roman"/>
          <w:sz w:val="24"/>
          <w:szCs w:val="24"/>
        </w:rPr>
        <w:t xml:space="preserve">•  Information Control: censored mail, scripted calls, parent deception, sanitized records, misleading marketing</w:t>
      </w:r>
    </w:p>
    <w:p>
      <w:pPr>
        <w:spacing w:after="0" w:line="480"/>
        <w:ind w:left="720"/>
      </w:pPr>
      <w:r>
        <w:rPr>
          <w:rFonts w:ascii="Times New Roman" w:cs="Times New Roman" w:eastAsia="Times New Roman" w:hAnsi="Times New Roman"/>
          <w:sz w:val="24"/>
          <w:szCs w:val="24"/>
        </w:rPr>
        <w:t xml:space="preserve">•  Thought Control: forced confession, resistance-as-pathology, "breakdown to breakthrough" ideology</w:t>
      </w:r>
    </w:p>
    <w:p>
      <w:pPr>
        <w:spacing w:after="0" w:line="480"/>
        <w:ind w:left="720"/>
      </w:pPr>
      <w:r>
        <w:rPr>
          <w:rFonts w:ascii="Times New Roman" w:cs="Times New Roman" w:eastAsia="Times New Roman" w:hAnsi="Times New Roman"/>
          <w:sz w:val="24"/>
          <w:szCs w:val="24"/>
        </w:rPr>
        <w:t xml:space="preserve">•  Emotional Control: shame, fear, love withdrawal, peer-enforced compliance, level systems</w:t>
      </w:r>
    </w:p>
    <w:p>
      <w:pPr>
        <w:spacing w:after="0" w:line="480"/>
        <w:ind w:left="720"/>
      </w:pPr>
      <w:r>
        <w:rPr>
          <w:rFonts w:ascii="Times New Roman" w:cs="Times New Roman" w:eastAsia="Times New Roman" w:hAnsi="Times New Roman"/>
          <w:sz w:val="24"/>
          <w:szCs w:val="24"/>
        </w:rPr>
        <w:t xml:space="preserve">•  The Universal BITE Proof Grid: fact → evidence source → legal claim → damages implication</w:t>
      </w:r>
    </w:p>
    <w:p>
      <w:pPr>
        <w:spacing w:after="0" w:line="480"/>
        <w:ind w:left="720"/>
      </w:pPr>
      <w:r>
        <w:rPr>
          <w:rFonts w:ascii="Times New Roman" w:cs="Times New Roman" w:eastAsia="Times New Roman" w:hAnsi="Times New Roman"/>
          <w:sz w:val="24"/>
          <w:szCs w:val="24"/>
        </w:rPr>
        <w:t xml:space="preserve">•  The critical distinction: "high-control program" vs. "cult"—framing for litigation, not labeling</w:t>
      </w:r>
    </w:p>
    <w:p>
      <w:pPr>
        <w:spacing w:after="0" w:line="480"/>
        <w:ind w:left="720"/>
      </w:pPr>
      <w:r>
        <w:rPr>
          <w:rFonts w:ascii="Times New Roman" w:cs="Times New Roman" w:eastAsia="Times New Roman" w:hAnsi="Times New Roman"/>
          <w:sz w:val="24"/>
          <w:szCs w:val="24"/>
        </w:rPr>
        <w:t xml:space="preserve">•  The grid as the backbone of complaint, discovery, deposition, and trial</w:t>
      </w:r>
    </w:p>
    <w:p>
      <w:pPr>
        <w:spacing w:after="0" w:line="480"/>
      </w:pPr>
    </w:p>
    <w:p>
      <w:pPr>
        <w:pBdr>
          <w:bottom w:val="single" w:color="999999" w:sz="4" w:space="6"/>
        </w:pBdr>
        <w:spacing w:after="120" w:before="120"/>
        <w:jc w:val="center"/>
      </w:pPr>
    </w:p>
    <w:p>
      <w:pPr>
        <w:spacing w:after="0" w:before="360" w:line="480"/>
        <w:jc w:val="center"/>
      </w:pPr>
      <w:r>
        <w:rPr>
          <w:rFonts w:ascii="Times New Roman" w:cs="Times New Roman" w:eastAsia="Times New Roman" w:hAnsi="Times New Roman"/>
          <w:b/>
          <w:bCs/>
          <w:sz w:val="26"/>
          <w:szCs w:val="26"/>
        </w:rPr>
        <w:t xml:space="preserve">PART II: FOR SURVIVORS &amp; FAMILIES</w:t>
      </w:r>
    </w:p>
    <w:p>
      <w:pPr>
        <w:spacing w:after="0" w:line="480"/>
      </w:pPr>
      <w:r>
        <w:rPr>
          <w:rFonts w:ascii="Times New Roman" w:cs="Times New Roman" w:eastAsia="Times New Roman" w:hAnsi="Times New Roman"/>
          <w:sz w:val="24"/>
          <w:szCs w:val="24"/>
        </w:rPr>
        <w:t xml:space="preserve">Understanding your rights, finding help, and what to expect</w:t>
      </w:r>
    </w:p>
    <w:p>
      <w:pPr>
        <w:spacing w:after="0" w:line="480"/>
      </w:pPr>
    </w:p>
    <w:p>
      <w:pPr>
        <w:spacing w:after="0" w:before="240" w:line="480"/>
      </w:pPr>
      <w:r>
        <w:rPr>
          <w:rFonts w:ascii="Times New Roman" w:cs="Times New Roman" w:eastAsia="Times New Roman" w:hAnsi="Times New Roman"/>
          <w:b/>
          <w:bCs/>
          <w:sz w:val="24"/>
          <w:szCs w:val="24"/>
        </w:rPr>
        <w:t xml:space="preserve">Chapter 6: What Happened to You Was Real</w:t>
      </w:r>
    </w:p>
    <w:p>
      <w:pPr>
        <w:spacing w:after="0" w:line="480"/>
        <w:ind w:firstLine="720"/>
      </w:pPr>
      <w:r>
        <w:rPr>
          <w:rFonts w:ascii="Times New Roman" w:cs="Times New Roman" w:eastAsia="Times New Roman" w:hAnsi="Times New Roman"/>
          <w:sz w:val="24"/>
          <w:szCs w:val="24"/>
        </w:rPr>
        <w:t xml:space="preserve">Written directly to TTI survivors. Validate the experience, name the harm, explain that what they went through has a legal name and a legal remedy. Address the specific emotional landscape of TTI survivors: the confusion of "was it really that bad?," the shame, the minimization, the fawning response that makes them doubt their own experience. Resources: Unsilenced, Breaking Code Silence, HEAL, survivor networks.</w:t>
      </w:r>
    </w:p>
    <w:p>
      <w:pPr>
        <w:spacing w:after="0" w:line="480"/>
        <w:ind w:left="720"/>
      </w:pPr>
      <w:r>
        <w:rPr>
          <w:rFonts w:ascii="Times New Roman" w:cs="Times New Roman" w:eastAsia="Times New Roman" w:hAnsi="Times New Roman"/>
          <w:sz w:val="24"/>
          <w:szCs w:val="24"/>
        </w:rPr>
        <w:t xml:space="preserve">•  You are not crazy, and you are not alone</w:t>
      </w:r>
    </w:p>
    <w:p>
      <w:pPr>
        <w:spacing w:after="0" w:line="480"/>
        <w:ind w:left="720"/>
      </w:pPr>
      <w:r>
        <w:rPr>
          <w:rFonts w:ascii="Times New Roman" w:cs="Times New Roman" w:eastAsia="Times New Roman" w:hAnsi="Times New Roman"/>
          <w:sz w:val="24"/>
          <w:szCs w:val="24"/>
        </w:rPr>
        <w:t xml:space="preserve">•  The difference between a program that is difficult and a program that is harmful</w:t>
      </w:r>
    </w:p>
    <w:p>
      <w:pPr>
        <w:spacing w:after="0" w:line="480"/>
        <w:ind w:left="720"/>
      </w:pPr>
      <w:r>
        <w:rPr>
          <w:rFonts w:ascii="Times New Roman" w:cs="Times New Roman" w:eastAsia="Times New Roman" w:hAnsi="Times New Roman"/>
          <w:sz w:val="24"/>
          <w:szCs w:val="24"/>
        </w:rPr>
        <w:t xml:space="preserve">•  Why you may have trouble telling your story—and why that's a symptom, not a flaw</w:t>
      </w:r>
    </w:p>
    <w:p>
      <w:pPr>
        <w:spacing w:after="0" w:line="480"/>
        <w:ind w:left="720"/>
      </w:pPr>
      <w:r>
        <w:rPr>
          <w:rFonts w:ascii="Times New Roman" w:cs="Times New Roman" w:eastAsia="Times New Roman" w:hAnsi="Times New Roman"/>
          <w:sz w:val="24"/>
          <w:szCs w:val="24"/>
        </w:rPr>
        <w:t xml:space="preserve">•  What C-PTSD looks like in daily life as a TTI survivor</w:t>
      </w:r>
    </w:p>
    <w:p>
      <w:pPr>
        <w:spacing w:after="0" w:line="480"/>
        <w:ind w:left="720"/>
      </w:pPr>
      <w:r>
        <w:rPr>
          <w:rFonts w:ascii="Times New Roman" w:cs="Times New Roman" w:eastAsia="Times New Roman" w:hAnsi="Times New Roman"/>
          <w:sz w:val="24"/>
          <w:szCs w:val="24"/>
        </w:rPr>
        <w:t xml:space="preserve">•  There is a path forward: what legal and personal recovery can look like</w:t>
      </w:r>
    </w:p>
    <w:p>
      <w:pPr>
        <w:spacing w:after="0" w:line="480"/>
        <w:ind w:left="720"/>
      </w:pPr>
      <w:r>
        <w:rPr>
          <w:rFonts w:ascii="Times New Roman" w:cs="Times New Roman" w:eastAsia="Times New Roman" w:hAnsi="Times New Roman"/>
          <w:sz w:val="24"/>
          <w:szCs w:val="24"/>
        </w:rPr>
        <w:t xml:space="preserve">•  Resources: Unsilenced, Breaking Code Silence, HEAL, NATSAP alternatives, survivor communities</w:t>
      </w:r>
    </w:p>
    <w:p>
      <w:pPr>
        <w:spacing w:after="0" w:line="480"/>
      </w:pPr>
    </w:p>
    <w:p>
      <w:pPr>
        <w:spacing w:after="0" w:before="240" w:line="480"/>
      </w:pPr>
      <w:r>
        <w:rPr>
          <w:rFonts w:ascii="Times New Roman" w:cs="Times New Roman" w:eastAsia="Times New Roman" w:hAnsi="Times New Roman"/>
          <w:b/>
          <w:bCs/>
          <w:sz w:val="24"/>
          <w:szCs w:val="24"/>
        </w:rPr>
        <w:t xml:space="preserve">Chapter 7: For Parents — What You Need to Know</w:t>
      </w:r>
    </w:p>
    <w:p>
      <w:pPr>
        <w:spacing w:after="0" w:line="480"/>
        <w:ind w:firstLine="720"/>
      </w:pPr>
      <w:r>
        <w:rPr>
          <w:rFonts w:ascii="Times New Roman" w:cs="Times New Roman" w:eastAsia="Times New Roman" w:hAnsi="Times New Roman"/>
          <w:sz w:val="24"/>
          <w:szCs w:val="24"/>
        </w:rPr>
        <w:t xml:space="preserve">Written directly to parents. Address guilt, cognitive dissonance, and the path from denial to advocacy. Explain how educational consultants, referral networks, and program marketing specifically targeted parental desperation. The "trust the process" coaching. How to become your child's advocate now. Warning signs checklist for parents with children currently enrolled. Your role in the legal process.</w:t>
      </w:r>
    </w:p>
    <w:p>
      <w:pPr>
        <w:spacing w:after="0" w:line="480"/>
        <w:ind w:left="720"/>
      </w:pPr>
      <w:r>
        <w:rPr>
          <w:rFonts w:ascii="Times New Roman" w:cs="Times New Roman" w:eastAsia="Times New Roman" w:hAnsi="Times New Roman"/>
          <w:sz w:val="24"/>
          <w:szCs w:val="24"/>
        </w:rPr>
        <w:t xml:space="preserve">•  How you were deceived: the marketing funnel from desperation to signed enrollment</w:t>
      </w:r>
    </w:p>
    <w:p>
      <w:pPr>
        <w:spacing w:after="0" w:line="480"/>
        <w:ind w:left="720"/>
      </w:pPr>
      <w:r>
        <w:rPr>
          <w:rFonts w:ascii="Times New Roman" w:cs="Times New Roman" w:eastAsia="Times New Roman" w:hAnsi="Times New Roman"/>
          <w:sz w:val="24"/>
          <w:szCs w:val="24"/>
        </w:rPr>
        <w:t xml:space="preserve">•  Educational consultants: who they work for (the programs, not you)</w:t>
      </w:r>
    </w:p>
    <w:p>
      <w:pPr>
        <w:spacing w:after="0" w:line="480"/>
        <w:ind w:left="720"/>
      </w:pPr>
      <w:r>
        <w:rPr>
          <w:rFonts w:ascii="Times New Roman" w:cs="Times New Roman" w:eastAsia="Times New Roman" w:hAnsi="Times New Roman"/>
          <w:sz w:val="24"/>
          <w:szCs w:val="24"/>
        </w:rPr>
        <w:t xml:space="preserve">•  "Trust the process": how programs coached you to dismiss your child's complaints</w:t>
      </w:r>
    </w:p>
    <w:p>
      <w:pPr>
        <w:spacing w:after="0" w:line="480"/>
        <w:ind w:left="720"/>
      </w:pPr>
      <w:r>
        <w:rPr>
          <w:rFonts w:ascii="Times New Roman" w:cs="Times New Roman" w:eastAsia="Times New Roman" w:hAnsi="Times New Roman"/>
          <w:sz w:val="24"/>
          <w:szCs w:val="24"/>
        </w:rPr>
        <w:t xml:space="preserve">•  The cognitive dissonance problem: acknowledging truth without collapsing under guilt</w:t>
      </w:r>
    </w:p>
    <w:p>
      <w:pPr>
        <w:spacing w:after="0" w:line="480"/>
        <w:ind w:left="720"/>
      </w:pPr>
      <w:r>
        <w:rPr>
          <w:rFonts w:ascii="Times New Roman" w:cs="Times New Roman" w:eastAsia="Times New Roman" w:hAnsi="Times New Roman"/>
          <w:sz w:val="24"/>
          <w:szCs w:val="24"/>
        </w:rPr>
        <w:t xml:space="preserve">•  How to become your child's advocate now</w:t>
      </w:r>
    </w:p>
    <w:p>
      <w:pPr>
        <w:spacing w:after="0" w:line="480"/>
        <w:ind w:left="720"/>
      </w:pPr>
      <w:r>
        <w:rPr>
          <w:rFonts w:ascii="Times New Roman" w:cs="Times New Roman" w:eastAsia="Times New Roman" w:hAnsi="Times New Roman"/>
          <w:sz w:val="24"/>
          <w:szCs w:val="24"/>
        </w:rPr>
        <w:t xml:space="preserve">•  Warning signs checklist: what to look for if your child is currently enrolled</w:t>
      </w:r>
    </w:p>
    <w:p>
      <w:pPr>
        <w:spacing w:after="0" w:line="480"/>
        <w:ind w:left="720"/>
      </w:pPr>
      <w:r>
        <w:rPr>
          <w:rFonts w:ascii="Times New Roman" w:cs="Times New Roman" w:eastAsia="Times New Roman" w:hAnsi="Times New Roman"/>
          <w:sz w:val="24"/>
          <w:szCs w:val="24"/>
        </w:rPr>
        <w:t xml:space="preserve">•  Your role in litigation: as witness, as support, as co-plaintiff</w:t>
      </w:r>
    </w:p>
    <w:p>
      <w:pPr>
        <w:spacing w:after="0" w:line="480"/>
      </w:pPr>
    </w:p>
    <w:p>
      <w:pPr>
        <w:spacing w:after="0" w:before="240" w:line="480"/>
      </w:pPr>
      <w:r>
        <w:rPr>
          <w:rFonts w:ascii="Times New Roman" w:cs="Times New Roman" w:eastAsia="Times New Roman" w:hAnsi="Times New Roman"/>
          <w:b/>
          <w:bCs/>
          <w:sz w:val="24"/>
          <w:szCs w:val="24"/>
        </w:rPr>
        <w:t xml:space="preserve">Chapter 8: Finding a Lawyer and What to Expect</w:t>
      </w:r>
    </w:p>
    <w:p>
      <w:pPr>
        <w:spacing w:after="0" w:line="480"/>
        <w:ind w:firstLine="720"/>
      </w:pPr>
      <w:r>
        <w:rPr>
          <w:rFonts w:ascii="Times New Roman" w:cs="Times New Roman" w:eastAsia="Times New Roman" w:hAnsi="Times New Roman"/>
          <w:sz w:val="24"/>
          <w:szCs w:val="24"/>
        </w:rPr>
        <w:t xml:space="preserve">Practical guidance combining the "finding a lawyer" and "legal process" chapters into one. What kind of lawyer you need, how to evaluate them, what the process looks like from intake through verdict, realistic timelines, SOL issues specific to TTI (childhood abuse tolling, lookback windows, recent legislative developments), and the emotional reality of litigation.</w:t>
      </w:r>
    </w:p>
    <w:p>
      <w:pPr>
        <w:spacing w:after="0" w:line="480"/>
        <w:ind w:left="720"/>
      </w:pPr>
      <w:r>
        <w:rPr>
          <w:rFonts w:ascii="Times New Roman" w:cs="Times New Roman" w:eastAsia="Times New Roman" w:hAnsi="Times New Roman"/>
          <w:sz w:val="24"/>
          <w:szCs w:val="24"/>
        </w:rPr>
        <w:t xml:space="preserve">•  What kind of lawyer you need: plaintiff PI with institutional abuse / TTI experience</w:t>
      </w:r>
    </w:p>
    <w:p>
      <w:pPr>
        <w:spacing w:after="0" w:line="480"/>
        <w:ind w:left="720"/>
      </w:pPr>
      <w:r>
        <w:rPr>
          <w:rFonts w:ascii="Times New Roman" w:cs="Times New Roman" w:eastAsia="Times New Roman" w:hAnsi="Times New Roman"/>
          <w:sz w:val="24"/>
          <w:szCs w:val="24"/>
        </w:rPr>
        <w:t xml:space="preserve">•  Green flags and red flags in attorneys</w:t>
      </w:r>
    </w:p>
    <w:p>
      <w:pPr>
        <w:spacing w:after="0" w:line="480"/>
        <w:ind w:left="720"/>
      </w:pPr>
      <w:r>
        <w:rPr>
          <w:rFonts w:ascii="Times New Roman" w:cs="Times New Roman" w:eastAsia="Times New Roman" w:hAnsi="Times New Roman"/>
          <w:sz w:val="24"/>
          <w:szCs w:val="24"/>
        </w:rPr>
        <w:t xml:space="preserve">•  Contingency fees explained; questions to ask</w:t>
      </w:r>
    </w:p>
    <w:p>
      <w:pPr>
        <w:spacing w:after="0" w:line="480"/>
        <w:ind w:left="720"/>
      </w:pPr>
      <w:r>
        <w:rPr>
          <w:rFonts w:ascii="Times New Roman" w:cs="Times New Roman" w:eastAsia="Times New Roman" w:hAnsi="Times New Roman"/>
          <w:sz w:val="24"/>
          <w:szCs w:val="24"/>
        </w:rPr>
        <w:t xml:space="preserve">•  The phases of litigation: intake → investigation → filing → discovery → mediation → trial</w:t>
      </w:r>
    </w:p>
    <w:p>
      <w:pPr>
        <w:spacing w:after="0" w:line="480"/>
        <w:ind w:left="720"/>
      </w:pPr>
      <w:r>
        <w:rPr>
          <w:rFonts w:ascii="Times New Roman" w:cs="Times New Roman" w:eastAsia="Times New Roman" w:hAnsi="Times New Roman"/>
          <w:sz w:val="24"/>
          <w:szCs w:val="24"/>
        </w:rPr>
        <w:t xml:space="preserve">•  Realistic timelines: 1–4 years</w:t>
      </w:r>
    </w:p>
    <w:p>
      <w:pPr>
        <w:spacing w:after="0" w:line="480"/>
        <w:ind w:left="720"/>
      </w:pPr>
      <w:r>
        <w:rPr>
          <w:rFonts w:ascii="Times New Roman" w:cs="Times New Roman" w:eastAsia="Times New Roman" w:hAnsi="Times New Roman"/>
          <w:sz w:val="24"/>
          <w:szCs w:val="24"/>
        </w:rPr>
        <w:t xml:space="preserve">•  Statutes of limitations: childhood abuse tolling, lookback windows, state-by-state reform</w:t>
      </w:r>
    </w:p>
    <w:p>
      <w:pPr>
        <w:spacing w:after="0" w:line="480"/>
        <w:ind w:left="720"/>
      </w:pPr>
      <w:r>
        <w:rPr>
          <w:rFonts w:ascii="Times New Roman" w:cs="Times New Roman" w:eastAsia="Times New Roman" w:hAnsi="Times New Roman"/>
          <w:sz w:val="24"/>
          <w:szCs w:val="24"/>
        </w:rPr>
        <w:t xml:space="preserve">•  The emotional reality: what your lawyer should tell you and probably won't</w:t>
      </w:r>
    </w:p>
    <w:p>
      <w:pPr>
        <w:spacing w:after="0" w:line="480"/>
      </w:pPr>
    </w:p>
    <w:p>
      <w:pPr>
        <w:spacing w:after="0" w:before="240" w:line="480"/>
      </w:pPr>
      <w:r>
        <w:rPr>
          <w:rFonts w:ascii="Times New Roman" w:cs="Times New Roman" w:eastAsia="Times New Roman" w:hAnsi="Times New Roman"/>
          <w:b/>
          <w:bCs/>
          <w:sz w:val="24"/>
          <w:szCs w:val="24"/>
        </w:rPr>
        <w:t xml:space="preserve">Chapter 9: Preserving Your Evidence</w:t>
      </w:r>
    </w:p>
    <w:p>
      <w:pPr>
        <w:spacing w:after="0" w:line="480"/>
        <w:ind w:firstLine="720"/>
      </w:pPr>
      <w:r>
        <w:rPr>
          <w:rFonts w:ascii="Times New Roman" w:cs="Times New Roman" w:eastAsia="Times New Roman" w:hAnsi="Times New Roman"/>
          <w:sz w:val="24"/>
          <w:szCs w:val="24"/>
        </w:rPr>
        <w:t xml:space="preserve">TTI-specific evidence preservation. What to save, where to find it, and how to protect it before anything disappears.</w:t>
      </w:r>
    </w:p>
    <w:p>
      <w:pPr>
        <w:spacing w:after="0" w:line="480"/>
        <w:ind w:left="720"/>
      </w:pPr>
      <w:r>
        <w:rPr>
          <w:rFonts w:ascii="Times New Roman" w:cs="Times New Roman" w:eastAsia="Times New Roman" w:hAnsi="Times New Roman"/>
          <w:sz w:val="24"/>
          <w:szCs w:val="24"/>
        </w:rPr>
        <w:t xml:space="preserve">•  Documents: enrollment agreements, program rulebooks, level system descriptions, parent handbooks</w:t>
      </w:r>
    </w:p>
    <w:p>
      <w:pPr>
        <w:spacing w:after="0" w:line="480"/>
        <w:ind w:left="720"/>
      </w:pPr>
      <w:r>
        <w:rPr>
          <w:rFonts w:ascii="Times New Roman" w:cs="Times New Roman" w:eastAsia="Times New Roman" w:hAnsi="Times New Roman"/>
          <w:sz w:val="24"/>
          <w:szCs w:val="24"/>
        </w:rPr>
        <w:t xml:space="preserve">•  Correspondence: letters (censored and uncensored), emails, transport company records</w:t>
      </w:r>
    </w:p>
    <w:p>
      <w:pPr>
        <w:spacing w:after="0" w:line="480"/>
        <w:ind w:left="720"/>
      </w:pPr>
      <w:r>
        <w:rPr>
          <w:rFonts w:ascii="Times New Roman" w:cs="Times New Roman" w:eastAsia="Times New Roman" w:hAnsi="Times New Roman"/>
          <w:sz w:val="24"/>
          <w:szCs w:val="24"/>
        </w:rPr>
        <w:t xml:space="preserve">•  Digital evidence: program website archives (Wayback Machine), social media, facility photos</w:t>
      </w:r>
    </w:p>
    <w:p>
      <w:pPr>
        <w:spacing w:after="0" w:line="480"/>
        <w:ind w:left="720"/>
      </w:pPr>
      <w:r>
        <w:rPr>
          <w:rFonts w:ascii="Times New Roman" w:cs="Times New Roman" w:eastAsia="Times New Roman" w:hAnsi="Times New Roman"/>
          <w:sz w:val="24"/>
          <w:szCs w:val="24"/>
        </w:rPr>
        <w:t xml:space="preserve">•  Personal evidence: journals, letters, artwork from during the program</w:t>
      </w:r>
    </w:p>
    <w:p>
      <w:pPr>
        <w:spacing w:after="0" w:line="480"/>
        <w:ind w:left="720"/>
      </w:pPr>
      <w:r>
        <w:rPr>
          <w:rFonts w:ascii="Times New Roman" w:cs="Times New Roman" w:eastAsia="Times New Roman" w:hAnsi="Times New Roman"/>
          <w:sz w:val="24"/>
          <w:szCs w:val="24"/>
        </w:rPr>
        <w:t xml:space="preserve">•  Witness contacts: other survivors, former staff, educational consultants, former employees</w:t>
      </w:r>
    </w:p>
    <w:p>
      <w:pPr>
        <w:spacing w:after="0" w:line="480"/>
        <w:ind w:left="720"/>
      </w:pPr>
      <w:r>
        <w:rPr>
          <w:rFonts w:ascii="Times New Roman" w:cs="Times New Roman" w:eastAsia="Times New Roman" w:hAnsi="Times New Roman"/>
          <w:sz w:val="24"/>
          <w:szCs w:val="24"/>
        </w:rPr>
        <w:t xml:space="preserve">•  Medical/school records: pre-program baseline, program-era records, post-program treatment</w:t>
      </w:r>
    </w:p>
    <w:p>
      <w:pPr>
        <w:spacing w:after="0" w:line="480"/>
        <w:ind w:left="720"/>
      </w:pPr>
      <w:r>
        <w:rPr>
          <w:rFonts w:ascii="Times New Roman" w:cs="Times New Roman" w:eastAsia="Times New Roman" w:hAnsi="Times New Roman"/>
          <w:sz w:val="24"/>
          <w:szCs w:val="24"/>
        </w:rPr>
        <w:t xml:space="preserve">•  Creating a chronology: dates, events, names, locations</w:t>
      </w:r>
    </w:p>
    <w:p>
      <w:pPr>
        <w:spacing w:after="0" w:line="480"/>
        <w:ind w:left="720"/>
      </w:pPr>
      <w:r>
        <w:rPr>
          <w:rFonts w:ascii="Times New Roman" w:cs="Times New Roman" w:eastAsia="Times New Roman" w:hAnsi="Times New Roman"/>
          <w:sz w:val="24"/>
          <w:szCs w:val="24"/>
        </w:rPr>
        <w:t xml:space="preserve">•  Evidence checklist (reproducible)</w:t>
      </w:r>
    </w:p>
    <w:p>
      <w:pPr>
        <w:spacing w:after="0" w:line="480"/>
      </w:pPr>
    </w:p>
    <w:p>
      <w:pPr>
        <w:pBdr>
          <w:bottom w:val="single" w:color="999999" w:sz="4" w:space="6"/>
        </w:pBdr>
        <w:spacing w:after="120" w:before="120"/>
        <w:jc w:val="center"/>
      </w:pPr>
    </w:p>
    <w:p>
      <w:pPr>
        <w:spacing w:after="0" w:before="360" w:line="480"/>
        <w:jc w:val="center"/>
      </w:pPr>
      <w:r>
        <w:rPr>
          <w:rFonts w:ascii="Times New Roman" w:cs="Times New Roman" w:eastAsia="Times New Roman" w:hAnsi="Times New Roman"/>
          <w:b/>
          <w:bCs/>
          <w:sz w:val="26"/>
          <w:szCs w:val="26"/>
        </w:rPr>
        <w:t xml:space="preserve">PART III: BUILDING THE CASE</w:t>
      </w:r>
    </w:p>
    <w:p>
      <w:pPr>
        <w:spacing w:after="0" w:line="480"/>
      </w:pPr>
      <w:r>
        <w:rPr>
          <w:rFonts w:ascii="Times New Roman" w:cs="Times New Roman" w:eastAsia="Times New Roman" w:hAnsi="Times New Roman"/>
          <w:sz w:val="24"/>
          <w:szCs w:val="24"/>
        </w:rPr>
        <w:t xml:space="preserve">From first interview through complaint, discovery, experts, and defense strategy</w:t>
      </w:r>
    </w:p>
    <w:p>
      <w:pPr>
        <w:spacing w:after="0" w:line="480"/>
      </w:pPr>
    </w:p>
    <w:p>
      <w:pPr>
        <w:spacing w:after="0" w:before="240" w:line="480"/>
      </w:pPr>
      <w:r>
        <w:rPr>
          <w:rFonts w:ascii="Times New Roman" w:cs="Times New Roman" w:eastAsia="Times New Roman" w:hAnsi="Times New Roman"/>
          <w:b/>
          <w:bCs/>
          <w:sz w:val="24"/>
          <w:szCs w:val="24"/>
        </w:rPr>
        <w:t xml:space="preserve">Chapter 10: The First Interview — Converting Narrative Chaos into Proof</w:t>
      </w:r>
    </w:p>
    <w:p>
      <w:pPr>
        <w:spacing w:after="0" w:line="480"/>
        <w:ind w:firstLine="720"/>
      </w:pPr>
      <w:r>
        <w:rPr>
          <w:rFonts w:ascii="Times New Roman" w:cs="Times New Roman" w:eastAsia="Times New Roman" w:hAnsi="Times New Roman"/>
          <w:sz w:val="24"/>
          <w:szCs w:val="24"/>
        </w:rPr>
        <w:t xml:space="preserve">Trauma-informed intake for TTI survivors. Why these clients present differently (fawning, compliance, fragmented memory, minimization). The five things you need from the first interview: chronology, entity map, control map, damages map, corroboration leads. Screening criteria for commercial viability. Entity mapping for TTI: parent companies, program affiliates, educational consultants, transport companies, insurance.</w:t>
      </w:r>
    </w:p>
    <w:p>
      <w:pPr>
        <w:spacing w:after="0" w:line="480"/>
        <w:ind w:left="720"/>
      </w:pPr>
      <w:r>
        <w:rPr>
          <w:rFonts w:ascii="Times New Roman" w:cs="Times New Roman" w:eastAsia="Times New Roman" w:hAnsi="Times New Roman"/>
          <w:sz w:val="24"/>
          <w:szCs w:val="24"/>
        </w:rPr>
        <w:t xml:space="preserve">•  Why TTI clients present differently: fawn response, compliance masking, fragmented narrative</w:t>
      </w:r>
    </w:p>
    <w:p>
      <w:pPr>
        <w:spacing w:after="0" w:line="480"/>
        <w:ind w:left="720"/>
      </w:pPr>
      <w:r>
        <w:rPr>
          <w:rFonts w:ascii="Times New Roman" w:cs="Times New Roman" w:eastAsia="Times New Roman" w:hAnsi="Times New Roman"/>
          <w:sz w:val="24"/>
          <w:szCs w:val="24"/>
        </w:rPr>
        <w:t xml:space="preserve">•  Trauma-informed intake: pacing, safety, control, not retraumatizing</w:t>
      </w:r>
    </w:p>
    <w:p>
      <w:pPr>
        <w:spacing w:after="0" w:line="480"/>
        <w:ind w:left="720"/>
      </w:pPr>
      <w:r>
        <w:rPr>
          <w:rFonts w:ascii="Times New Roman" w:cs="Times New Roman" w:eastAsia="Times New Roman" w:hAnsi="Times New Roman"/>
          <w:sz w:val="24"/>
          <w:szCs w:val="24"/>
        </w:rPr>
        <w:t xml:space="preserve">•  The five outputs: chronology, entity map, control map (BITE), damages map, corroboration leads</w:t>
      </w:r>
    </w:p>
    <w:p>
      <w:pPr>
        <w:spacing w:after="0" w:line="480"/>
        <w:ind w:left="720"/>
      </w:pPr>
      <w:r>
        <w:rPr>
          <w:rFonts w:ascii="Times New Roman" w:cs="Times New Roman" w:eastAsia="Times New Roman" w:hAnsi="Times New Roman"/>
          <w:sz w:val="24"/>
          <w:szCs w:val="24"/>
        </w:rPr>
        <w:t xml:space="preserve">•  Screening criteria: when is a TTI case commercially viable?</w:t>
      </w:r>
    </w:p>
    <w:p>
      <w:pPr>
        <w:spacing w:after="0" w:line="480"/>
        <w:ind w:left="720"/>
      </w:pPr>
      <w:r>
        <w:rPr>
          <w:rFonts w:ascii="Times New Roman" w:cs="Times New Roman" w:eastAsia="Times New Roman" w:hAnsi="Times New Roman"/>
          <w:sz w:val="24"/>
          <w:szCs w:val="24"/>
        </w:rPr>
        <w:t xml:space="preserve">•  Entity mapping: parent companies, affiliates, transport companies, consultants, insurance</w:t>
      </w:r>
    </w:p>
    <w:p>
      <w:pPr>
        <w:spacing w:after="0" w:line="480"/>
        <w:ind w:left="720"/>
      </w:pPr>
      <w:r>
        <w:rPr>
          <w:rFonts w:ascii="Times New Roman" w:cs="Times New Roman" w:eastAsia="Times New Roman" w:hAnsi="Times New Roman"/>
          <w:sz w:val="24"/>
          <w:szCs w:val="24"/>
        </w:rPr>
        <w:t xml:space="preserve">•  Red flags that make a case stronger: pattern evidence, multiple survivors, regulatory history</w:t>
      </w:r>
    </w:p>
    <w:p>
      <w:pPr>
        <w:spacing w:after="0" w:line="480"/>
      </w:pPr>
    </w:p>
    <w:p>
      <w:pPr>
        <w:spacing w:after="0" w:before="240" w:line="480"/>
      </w:pPr>
      <w:r>
        <w:rPr>
          <w:rFonts w:ascii="Times New Roman" w:cs="Times New Roman" w:eastAsia="Times New Roman" w:hAnsi="Times New Roman"/>
          <w:b/>
          <w:bCs/>
          <w:sz w:val="24"/>
          <w:szCs w:val="24"/>
        </w:rPr>
        <w:t xml:space="preserve">Chapter 11: The Complaint as a Weapon</w:t>
      </w:r>
    </w:p>
    <w:p>
      <w:pPr>
        <w:spacing w:after="0" w:line="480"/>
        <w:ind w:firstLine="720"/>
      </w:pPr>
      <w:r>
        <w:rPr>
          <w:rFonts w:ascii="Times New Roman" w:cs="Times New Roman" w:eastAsia="Times New Roman" w:hAnsi="Times New Roman"/>
          <w:sz w:val="24"/>
          <w:szCs w:val="24"/>
        </w:rPr>
        <w:t xml:space="preserve">Draft the complaint as the first trial exhibit. Embed specific facts, photos, and data so the complaint becomes Requests for Admissions Part 1. TTI-specific claim sets: false imprisonment, battery, fraud, human trafficking (TVPA and state equivalents), child abuse, negligent hiring/supervision/retention, consumer fraud. Structure counts around the BITE model, not generic negligence. Sample complaint structures.</w:t>
      </w:r>
    </w:p>
    <w:p>
      <w:pPr>
        <w:spacing w:after="0" w:line="480"/>
        <w:ind w:left="720"/>
      </w:pPr>
      <w:r>
        <w:rPr>
          <w:rFonts w:ascii="Times New Roman" w:cs="Times New Roman" w:eastAsia="Times New Roman" w:hAnsi="Times New Roman"/>
          <w:sz w:val="24"/>
          <w:szCs w:val="24"/>
        </w:rPr>
        <w:t xml:space="preserve">•  The complaint-as-RFA strategy: embedding specific, provable facts</w:t>
      </w:r>
    </w:p>
    <w:p>
      <w:pPr>
        <w:spacing w:after="0" w:line="480"/>
        <w:ind w:left="720"/>
      </w:pPr>
      <w:r>
        <w:rPr>
          <w:rFonts w:ascii="Times New Roman" w:cs="Times New Roman" w:eastAsia="Times New Roman" w:hAnsi="Times New Roman"/>
          <w:sz w:val="24"/>
          <w:szCs w:val="24"/>
        </w:rPr>
        <w:t xml:space="preserve">•  TTI claim sets: false imprisonment, battery, fraud, trafficking, child abuse, negligent supervision</w:t>
      </w:r>
    </w:p>
    <w:p>
      <w:pPr>
        <w:spacing w:after="0" w:line="480"/>
        <w:ind w:left="720"/>
      </w:pPr>
      <w:r>
        <w:rPr>
          <w:rFonts w:ascii="Times New Roman" w:cs="Times New Roman" w:eastAsia="Times New Roman" w:hAnsi="Times New Roman"/>
          <w:sz w:val="24"/>
          <w:szCs w:val="24"/>
        </w:rPr>
        <w:t xml:space="preserve">•  Human trafficking framing: TVPA and state equivalents applied to TTI</w:t>
      </w:r>
    </w:p>
    <w:p>
      <w:pPr>
        <w:spacing w:after="0" w:line="480"/>
        <w:ind w:left="720"/>
      </w:pPr>
      <w:r>
        <w:rPr>
          <w:rFonts w:ascii="Times New Roman" w:cs="Times New Roman" w:eastAsia="Times New Roman" w:hAnsi="Times New Roman"/>
          <w:sz w:val="24"/>
          <w:szCs w:val="24"/>
        </w:rPr>
        <w:t xml:space="preserve">•  Structuring counts around coercive-system theory, not just generic negligence</w:t>
      </w:r>
    </w:p>
    <w:p>
      <w:pPr>
        <w:spacing w:after="0" w:line="480"/>
        <w:ind w:left="720"/>
      </w:pPr>
      <w:r>
        <w:rPr>
          <w:rFonts w:ascii="Times New Roman" w:cs="Times New Roman" w:eastAsia="Times New Roman" w:hAnsi="Times New Roman"/>
          <w:sz w:val="24"/>
          <w:szCs w:val="24"/>
        </w:rPr>
        <w:t xml:space="preserve">•  Setting up future motions: summary judgment, motions in limine, sanctions</w:t>
      </w:r>
    </w:p>
    <w:p>
      <w:pPr>
        <w:spacing w:after="0" w:line="480"/>
        <w:ind w:left="720"/>
      </w:pPr>
      <w:r>
        <w:rPr>
          <w:rFonts w:ascii="Times New Roman" w:cs="Times New Roman" w:eastAsia="Times New Roman" w:hAnsi="Times New Roman"/>
          <w:sz w:val="24"/>
          <w:szCs w:val="24"/>
        </w:rPr>
        <w:t xml:space="preserve">•  Using AI for complaint drafting: prompting strategies</w:t>
      </w:r>
    </w:p>
    <w:p>
      <w:pPr>
        <w:spacing w:after="0" w:line="480"/>
      </w:pPr>
    </w:p>
    <w:p>
      <w:pPr>
        <w:spacing w:after="0" w:before="240" w:line="480"/>
      </w:pPr>
      <w:r>
        <w:rPr>
          <w:rFonts w:ascii="Times New Roman" w:cs="Times New Roman" w:eastAsia="Times New Roman" w:hAnsi="Times New Roman"/>
          <w:b/>
          <w:bCs/>
          <w:sz w:val="24"/>
          <w:szCs w:val="24"/>
        </w:rPr>
        <w:t xml:space="preserve">Chapter 12: BITE-Mapped Discovery</w:t>
      </w:r>
    </w:p>
    <w:p>
      <w:pPr>
        <w:spacing w:after="0" w:line="480"/>
        <w:ind w:firstLine="720"/>
      </w:pPr>
      <w:r>
        <w:rPr>
          <w:rFonts w:ascii="Times New Roman" w:cs="Times New Roman" w:eastAsia="Times New Roman" w:hAnsi="Times New Roman"/>
          <w:sz w:val="24"/>
          <w:szCs w:val="24"/>
        </w:rPr>
        <w:t xml:space="preserve">Discovery organized around the BITE framework with TTI-specific targets. For each control category: specific document requests, interrogatories, deposition topics. Cover the marketing-vs.-operations comparison, the program philosophy documents, staff training manuals, restraint logs, incident reports, and the critical parent-facing communications that reveal information control. Depositions by witness type: corporate rep (30(b)(6)), program director, direct-care staff, transport team, educational consultant, licensing inspector, marketing personnel.</w:t>
      </w:r>
    </w:p>
    <w:p>
      <w:pPr>
        <w:spacing w:after="0" w:line="480"/>
        <w:ind w:left="720"/>
      </w:pPr>
      <w:r>
        <w:rPr>
          <w:rFonts w:ascii="Times New Roman" w:cs="Times New Roman" w:eastAsia="Times New Roman" w:hAnsi="Times New Roman"/>
          <w:sz w:val="24"/>
          <w:szCs w:val="24"/>
        </w:rPr>
        <w:t xml:space="preserve">•  Behavior Control Discovery: policies, restraint logs, transport contracts, level systems, floor plans, staffing</w:t>
      </w:r>
    </w:p>
    <w:p>
      <w:pPr>
        <w:spacing w:after="0" w:line="480"/>
        <w:ind w:left="720"/>
      </w:pPr>
      <w:r>
        <w:rPr>
          <w:rFonts w:ascii="Times New Roman" w:cs="Times New Roman" w:eastAsia="Times New Roman" w:hAnsi="Times New Roman"/>
          <w:sz w:val="24"/>
          <w:szCs w:val="24"/>
        </w:rPr>
        <w:t xml:space="preserve">•  Information Control Discovery: parent communications, censored letter policies, marketing vs. operations</w:t>
      </w:r>
    </w:p>
    <w:p>
      <w:pPr>
        <w:spacing w:after="0" w:line="480"/>
        <w:ind w:left="720"/>
      </w:pPr>
      <w:r>
        <w:rPr>
          <w:rFonts w:ascii="Times New Roman" w:cs="Times New Roman" w:eastAsia="Times New Roman" w:hAnsi="Times New Roman"/>
          <w:sz w:val="24"/>
          <w:szCs w:val="24"/>
        </w:rPr>
        <w:t xml:space="preserve">•  Thought Control Discovery: program philosophy documents, "breakdown" methodology, staff training</w:t>
      </w:r>
    </w:p>
    <w:p>
      <w:pPr>
        <w:spacing w:after="0" w:line="480"/>
        <w:ind w:left="720"/>
      </w:pPr>
      <w:r>
        <w:rPr>
          <w:rFonts w:ascii="Times New Roman" w:cs="Times New Roman" w:eastAsia="Times New Roman" w:hAnsi="Times New Roman"/>
          <w:sz w:val="24"/>
          <w:szCs w:val="24"/>
        </w:rPr>
        <w:t xml:space="preserve">•  Emotional Control Discovery: disciplinary records, isolation logs, peer reporting systems, level criteria</w:t>
      </w:r>
    </w:p>
    <w:p>
      <w:pPr>
        <w:spacing w:after="0" w:line="480"/>
        <w:ind w:left="720"/>
      </w:pPr>
      <w:r>
        <w:rPr>
          <w:rFonts w:ascii="Times New Roman" w:cs="Times New Roman" w:eastAsia="Times New Roman" w:hAnsi="Times New Roman"/>
          <w:sz w:val="24"/>
          <w:szCs w:val="24"/>
        </w:rPr>
        <w:t xml:space="preserve">•  Depositions by witness type: 30(b)(6), director, staff, transport, consultant, inspector, marketing</w:t>
      </w:r>
    </w:p>
    <w:p>
      <w:pPr>
        <w:spacing w:after="0" w:line="480"/>
        <w:ind w:left="720"/>
      </w:pPr>
      <w:r>
        <w:rPr>
          <w:rFonts w:ascii="Times New Roman" w:cs="Times New Roman" w:eastAsia="Times New Roman" w:hAnsi="Times New Roman"/>
          <w:sz w:val="24"/>
          <w:szCs w:val="24"/>
        </w:rPr>
        <w:t xml:space="preserve">•  The marketing vs. operations deposition: what was promised vs. what was delivered</w:t>
      </w:r>
    </w:p>
    <w:p>
      <w:pPr>
        <w:spacing w:after="0" w:line="480"/>
        <w:ind w:left="720"/>
      </w:pPr>
      <w:r>
        <w:rPr>
          <w:rFonts w:ascii="Times New Roman" w:cs="Times New Roman" w:eastAsia="Times New Roman" w:hAnsi="Times New Roman"/>
          <w:sz w:val="24"/>
          <w:szCs w:val="24"/>
        </w:rPr>
        <w:t xml:space="preserve">•  Using AI to organize and cross-reference discovery across BITE categories</w:t>
      </w:r>
    </w:p>
    <w:p>
      <w:pPr>
        <w:spacing w:after="0" w:line="480"/>
      </w:pPr>
    </w:p>
    <w:p>
      <w:pPr>
        <w:spacing w:after="0" w:before="240" w:line="480"/>
      </w:pPr>
      <w:r>
        <w:rPr>
          <w:rFonts w:ascii="Times New Roman" w:cs="Times New Roman" w:eastAsia="Times New Roman" w:hAnsi="Times New Roman"/>
          <w:b/>
          <w:bCs/>
          <w:sz w:val="24"/>
          <w:szCs w:val="24"/>
        </w:rPr>
        <w:t xml:space="preserve">Chapter 13: Expert Witnesses in TTI Cases</w:t>
      </w:r>
    </w:p>
    <w:p>
      <w:pPr>
        <w:spacing w:after="0" w:line="480"/>
        <w:ind w:firstLine="720"/>
      </w:pPr>
      <w:r>
        <w:rPr>
          <w:rFonts w:ascii="Times New Roman" w:cs="Times New Roman" w:eastAsia="Times New Roman" w:hAnsi="Times New Roman"/>
          <w:sz w:val="24"/>
          <w:szCs w:val="24"/>
        </w:rPr>
        <w:t xml:space="preserve">The expert team for TTI litigation. Trauma psychologist (C-PTSD, developmental disruption, delayed disclosure), coercive control / BITE model expert, TTI industry standard-of-care expert, forensic economist (developmental theft → lost earning capacity), life care planner, and educational expert (years of schooling lost). Daubert/Frye considerations for coercive-control testimony. Coordinating expert testimony with the damages narrative.</w:t>
      </w:r>
    </w:p>
    <w:p>
      <w:pPr>
        <w:spacing w:after="0" w:line="480"/>
        <w:ind w:left="720"/>
      </w:pPr>
      <w:r>
        <w:rPr>
          <w:rFonts w:ascii="Times New Roman" w:cs="Times New Roman" w:eastAsia="Times New Roman" w:hAnsi="Times New Roman"/>
          <w:sz w:val="24"/>
          <w:szCs w:val="24"/>
        </w:rPr>
        <w:t xml:space="preserve">•  Trauma psychologist: C-PTSD, developmental disruption, delayed disclosure, causation</w:t>
      </w:r>
    </w:p>
    <w:p>
      <w:pPr>
        <w:spacing w:after="0" w:line="480"/>
        <w:ind w:left="720"/>
      </w:pPr>
      <w:r>
        <w:rPr>
          <w:rFonts w:ascii="Times New Roman" w:cs="Times New Roman" w:eastAsia="Times New Roman" w:hAnsi="Times New Roman"/>
          <w:sz w:val="24"/>
          <w:szCs w:val="24"/>
        </w:rPr>
        <w:t xml:space="preserve">•  Coercive control / BITE model expert: qualifying Hassan's framework without "cult" language</w:t>
      </w:r>
    </w:p>
    <w:p>
      <w:pPr>
        <w:spacing w:after="0" w:line="480"/>
        <w:ind w:left="720"/>
      </w:pPr>
      <w:r>
        <w:rPr>
          <w:rFonts w:ascii="Times New Roman" w:cs="Times New Roman" w:eastAsia="Times New Roman" w:hAnsi="Times New Roman"/>
          <w:sz w:val="24"/>
          <w:szCs w:val="24"/>
        </w:rPr>
        <w:t xml:space="preserve">•  Industry standard-of-care expert: what a legitimate therapeutic program looks like</w:t>
      </w:r>
    </w:p>
    <w:p>
      <w:pPr>
        <w:spacing w:after="0" w:line="480"/>
        <w:ind w:left="720"/>
      </w:pPr>
      <w:r>
        <w:rPr>
          <w:rFonts w:ascii="Times New Roman" w:cs="Times New Roman" w:eastAsia="Times New Roman" w:hAnsi="Times New Roman"/>
          <w:sz w:val="24"/>
          <w:szCs w:val="24"/>
        </w:rPr>
        <w:t xml:space="preserve">•  Forensic economist: developmental theft → educational loss → earning capacity gap</w:t>
      </w:r>
    </w:p>
    <w:p>
      <w:pPr>
        <w:spacing w:after="0" w:line="480"/>
        <w:ind w:left="720"/>
      </w:pPr>
      <w:r>
        <w:rPr>
          <w:rFonts w:ascii="Times New Roman" w:cs="Times New Roman" w:eastAsia="Times New Roman" w:hAnsi="Times New Roman"/>
          <w:sz w:val="24"/>
          <w:szCs w:val="24"/>
        </w:rPr>
        <w:t xml:space="preserve">•  Life care planner: lifetime treatment costs for C-PTSD</w:t>
      </w:r>
    </w:p>
    <w:p>
      <w:pPr>
        <w:spacing w:after="0" w:line="480"/>
        <w:ind w:left="720"/>
      </w:pPr>
      <w:r>
        <w:rPr>
          <w:rFonts w:ascii="Times New Roman" w:cs="Times New Roman" w:eastAsia="Times New Roman" w:hAnsi="Times New Roman"/>
          <w:sz w:val="24"/>
          <w:szCs w:val="24"/>
        </w:rPr>
        <w:t xml:space="preserve">•  Daubert/Frye considerations for coercive-control expert testimony</w:t>
      </w:r>
    </w:p>
    <w:p>
      <w:pPr>
        <w:spacing w:after="0" w:line="480"/>
      </w:pPr>
    </w:p>
    <w:p>
      <w:pPr>
        <w:spacing w:after="0" w:before="240" w:line="480"/>
      </w:pPr>
      <w:r>
        <w:rPr>
          <w:rFonts w:ascii="Times New Roman" w:cs="Times New Roman" w:eastAsia="Times New Roman" w:hAnsi="Times New Roman"/>
          <w:b/>
          <w:bCs/>
          <w:sz w:val="24"/>
          <w:szCs w:val="24"/>
        </w:rPr>
        <w:t xml:space="preserve">Chapter 14: Defeating the TTI Defense Playbook</w:t>
      </w:r>
    </w:p>
    <w:p>
      <w:pPr>
        <w:spacing w:after="0" w:line="480"/>
        <w:ind w:firstLine="720"/>
      </w:pPr>
      <w:r>
        <w:rPr>
          <w:rFonts w:ascii="Times New Roman" w:cs="Times New Roman" w:eastAsia="Times New Roman" w:hAnsi="Times New Roman"/>
          <w:sz w:val="24"/>
          <w:szCs w:val="24"/>
        </w:rPr>
        <w:t xml:space="preserve">TTI-specific defense strategies and how to demolish them. "Difficult child / troubled background" → the program accepted this child and assumed a duty of care. "Therapeutic discretion" → what was done is not recognized therapy; it is coercive control disguised as treatment. "Parental consent" → consent was obtained through fraud and maintained through information control. Plus the universal defenses: pre-existing condition, mitigation failure, "no one complained," stale claim, and the "number is too high" anchoring gambit.</w:t>
      </w:r>
    </w:p>
    <w:p>
      <w:pPr>
        <w:spacing w:after="0" w:line="480"/>
        <w:ind w:left="720"/>
      </w:pPr>
      <w:r>
        <w:rPr>
          <w:rFonts w:ascii="Times New Roman" w:cs="Times New Roman" w:eastAsia="Times New Roman" w:hAnsi="Times New Roman"/>
          <w:sz w:val="24"/>
          <w:szCs w:val="24"/>
        </w:rPr>
        <w:t xml:space="preserve">•  "Difficult child" → The program targeted this vulnerability and assumed a duty of care</w:t>
      </w:r>
    </w:p>
    <w:p>
      <w:pPr>
        <w:spacing w:after="0" w:line="480"/>
        <w:ind w:left="720"/>
      </w:pPr>
      <w:r>
        <w:rPr>
          <w:rFonts w:ascii="Times New Roman" w:cs="Times New Roman" w:eastAsia="Times New Roman" w:hAnsi="Times New Roman"/>
          <w:sz w:val="24"/>
          <w:szCs w:val="24"/>
        </w:rPr>
        <w:t xml:space="preserve">•  "Therapeutic discretion" → Not recognized therapy; coercive control disguised as treatment</w:t>
      </w:r>
    </w:p>
    <w:p>
      <w:pPr>
        <w:spacing w:after="0" w:line="480"/>
        <w:ind w:left="720"/>
      </w:pPr>
      <w:r>
        <w:rPr>
          <w:rFonts w:ascii="Times New Roman" w:cs="Times New Roman" w:eastAsia="Times New Roman" w:hAnsi="Times New Roman"/>
          <w:sz w:val="24"/>
          <w:szCs w:val="24"/>
        </w:rPr>
        <w:t xml:space="preserve">•  "Parental consent" → Consent obtained through fraud and maintained through information control</w:t>
      </w:r>
    </w:p>
    <w:p>
      <w:pPr>
        <w:spacing w:after="0" w:line="480"/>
        <w:ind w:left="720"/>
      </w:pPr>
      <w:r>
        <w:rPr>
          <w:rFonts w:ascii="Times New Roman" w:cs="Times New Roman" w:eastAsia="Times New Roman" w:hAnsi="Times New Roman"/>
          <w:sz w:val="24"/>
          <w:szCs w:val="24"/>
        </w:rPr>
        <w:t xml:space="preserve">•  "No one complained" → Complaint pathways were controlled (Chapter 4)</w:t>
      </w:r>
    </w:p>
    <w:p>
      <w:pPr>
        <w:spacing w:after="0" w:line="480"/>
        <w:ind w:left="720"/>
      </w:pPr>
      <w:r>
        <w:rPr>
          <w:rFonts w:ascii="Times New Roman" w:cs="Times New Roman" w:eastAsia="Times New Roman" w:hAnsi="Times New Roman"/>
          <w:sz w:val="24"/>
          <w:szCs w:val="24"/>
        </w:rPr>
        <w:t xml:space="preserve">•  "Pre-existing condition" → The program didn't inherit a condition; it targeted a vulnerability</w:t>
      </w:r>
    </w:p>
    <w:p>
      <w:pPr>
        <w:spacing w:after="0" w:line="480"/>
        <w:ind w:left="720"/>
      </w:pPr>
      <w:r>
        <w:rPr>
          <w:rFonts w:ascii="Times New Roman" w:cs="Times New Roman" w:eastAsia="Times New Roman" w:hAnsi="Times New Roman"/>
          <w:sz w:val="24"/>
          <w:szCs w:val="24"/>
        </w:rPr>
        <w:t xml:space="preserve">•  "Plaintiff isn't trying to get better" → The injuries prevent engagement with treatment</w:t>
      </w:r>
    </w:p>
    <w:p>
      <w:pPr>
        <w:spacing w:after="0" w:line="480"/>
        <w:ind w:left="720"/>
      </w:pPr>
      <w:r>
        <w:rPr>
          <w:rFonts w:ascii="Times New Roman" w:cs="Times New Roman" w:eastAsia="Times New Roman" w:hAnsi="Times New Roman"/>
          <w:sz w:val="24"/>
          <w:szCs w:val="24"/>
        </w:rPr>
        <w:t xml:space="preserve">•  "The number is too high" → Structure from voir dire + per-diem framework defeats low anchoring</w:t>
      </w:r>
    </w:p>
    <w:p>
      <w:pPr>
        <w:spacing w:after="0" w:line="480"/>
      </w:pPr>
    </w:p>
    <w:p>
      <w:pPr>
        <w:pBdr>
          <w:bottom w:val="single" w:color="999999" w:sz="4" w:space="6"/>
        </w:pBdr>
        <w:spacing w:after="120" w:before="120"/>
        <w:jc w:val="center"/>
      </w:pPr>
    </w:p>
    <w:p>
      <w:pPr>
        <w:spacing w:after="0" w:before="360" w:line="480"/>
        <w:jc w:val="center"/>
      </w:pPr>
      <w:r>
        <w:rPr>
          <w:rFonts w:ascii="Times New Roman" w:cs="Times New Roman" w:eastAsia="Times New Roman" w:hAnsi="Times New Roman"/>
          <w:b/>
          <w:bCs/>
          <w:sz w:val="26"/>
          <w:szCs w:val="26"/>
        </w:rPr>
        <w:t xml:space="preserve">PART IV: TRIAL</w:t>
      </w:r>
    </w:p>
    <w:p>
      <w:pPr>
        <w:spacing w:after="0" w:line="480"/>
      </w:pPr>
      <w:r>
        <w:rPr>
          <w:rFonts w:ascii="Times New Roman" w:cs="Times New Roman" w:eastAsia="Times New Roman" w:hAnsi="Times New Roman"/>
          <w:sz w:val="24"/>
          <w:szCs w:val="24"/>
        </w:rPr>
        <w:t xml:space="preserve">Putting the case before the people who decide it</w:t>
      </w:r>
    </w:p>
    <w:p>
      <w:pPr>
        <w:spacing w:after="0" w:line="480"/>
      </w:pPr>
    </w:p>
    <w:p>
      <w:pPr>
        <w:spacing w:after="0" w:before="240" w:line="480"/>
      </w:pPr>
      <w:r>
        <w:rPr>
          <w:rFonts w:ascii="Times New Roman" w:cs="Times New Roman" w:eastAsia="Times New Roman" w:hAnsi="Times New Roman"/>
          <w:b/>
          <w:bCs/>
          <w:sz w:val="24"/>
          <w:szCs w:val="24"/>
        </w:rPr>
        <w:t xml:space="preserve">Chapter 15: Rules of the Road and Reptile for TTI Cases</w:t>
      </w:r>
    </w:p>
    <w:p>
      <w:pPr>
        <w:spacing w:after="0" w:line="480"/>
        <w:ind w:firstLine="720"/>
      </w:pPr>
      <w:r>
        <w:rPr>
          <w:rFonts w:ascii="Times New Roman" w:cs="Times New Roman" w:eastAsia="Times New Roman" w:hAnsi="Times New Roman"/>
          <w:sz w:val="24"/>
          <w:szCs w:val="24"/>
        </w:rPr>
        <w:t xml:space="preserve">Combine Friedman/Malone's Rules of the Road and Ball/Keenan's Reptile into one chapter, adapted specifically for TTI. Rules: "Do not isolate children as punishment. Do not restrain with untrained staff. Do not conceal injuries from parents. Do not censor correspondence." Reptile: "If they can do this to one child behind closed doors, they can do it to yours." How to use both in voir dire, opening, cross, and closing. When Reptile dominates vs. when Rules carries the case.</w:t>
      </w:r>
    </w:p>
    <w:p>
      <w:pPr>
        <w:spacing w:after="0" w:line="480"/>
        <w:ind w:left="720"/>
      </w:pPr>
      <w:r>
        <w:rPr>
          <w:rFonts w:ascii="Times New Roman" w:cs="Times New Roman" w:eastAsia="Times New Roman" w:hAnsi="Times New Roman"/>
          <w:sz w:val="24"/>
          <w:szCs w:val="24"/>
        </w:rPr>
        <w:t xml:space="preserve">•  Rules of the Road for TTI: simple safety rules the program violated</w:t>
      </w:r>
    </w:p>
    <w:p>
      <w:pPr>
        <w:spacing w:after="0" w:line="480"/>
        <w:ind w:left="720"/>
      </w:pPr>
      <w:r>
        <w:rPr>
          <w:rFonts w:ascii="Times New Roman" w:cs="Times New Roman" w:eastAsia="Times New Roman" w:hAnsi="Times New Roman"/>
          <w:sz w:val="24"/>
          <w:szCs w:val="24"/>
        </w:rPr>
        <w:t xml:space="preserve">•  Sample rules: isolation, restraint, concealment, censorship, staffing, transport</w:t>
      </w:r>
    </w:p>
    <w:p>
      <w:pPr>
        <w:spacing w:after="0" w:line="480"/>
        <w:ind w:left="720"/>
      </w:pPr>
      <w:r>
        <w:rPr>
          <w:rFonts w:ascii="Times New Roman" w:cs="Times New Roman" w:eastAsia="Times New Roman" w:hAnsi="Times New Roman"/>
          <w:sz w:val="24"/>
          <w:szCs w:val="24"/>
        </w:rPr>
        <w:t xml:space="preserve">•  Reptile frame: "If they can do this to one child, they can do it to yours"</w:t>
      </w:r>
    </w:p>
    <w:p>
      <w:pPr>
        <w:spacing w:after="0" w:line="480"/>
        <w:ind w:left="720"/>
      </w:pPr>
      <w:r>
        <w:rPr>
          <w:rFonts w:ascii="Times New Roman" w:cs="Times New Roman" w:eastAsia="Times New Roman" w:hAnsi="Times New Roman"/>
          <w:sz w:val="24"/>
          <w:szCs w:val="24"/>
        </w:rPr>
        <w:t xml:space="preserve">•  Using Rules in voir dire: "Can we agree that..."</w:t>
      </w:r>
    </w:p>
    <w:p>
      <w:pPr>
        <w:spacing w:after="0" w:line="480"/>
        <w:ind w:left="720"/>
      </w:pPr>
      <w:r>
        <w:rPr>
          <w:rFonts w:ascii="Times New Roman" w:cs="Times New Roman" w:eastAsia="Times New Roman" w:hAnsi="Times New Roman"/>
          <w:sz w:val="24"/>
          <w:szCs w:val="24"/>
        </w:rPr>
        <w:t xml:space="preserve">•  Using Rules in cross: "You would agree that the rule is..."</w:t>
      </w:r>
    </w:p>
    <w:p>
      <w:pPr>
        <w:spacing w:after="0" w:line="480"/>
        <w:ind w:left="720"/>
      </w:pPr>
      <w:r>
        <w:rPr>
          <w:rFonts w:ascii="Times New Roman" w:cs="Times New Roman" w:eastAsia="Times New Roman" w:hAnsi="Times New Roman"/>
          <w:sz w:val="24"/>
          <w:szCs w:val="24"/>
        </w:rPr>
        <w:t xml:space="preserve">•  Combining Rules + Reptile for maximum impact</w:t>
      </w:r>
    </w:p>
    <w:p>
      <w:pPr>
        <w:spacing w:after="0" w:line="480"/>
      </w:pPr>
    </w:p>
    <w:p>
      <w:pPr>
        <w:spacing w:after="0" w:before="240" w:line="480"/>
      </w:pPr>
      <w:r>
        <w:rPr>
          <w:rFonts w:ascii="Times New Roman" w:cs="Times New Roman" w:eastAsia="Times New Roman" w:hAnsi="Times New Roman"/>
          <w:b/>
          <w:bCs/>
          <w:sz w:val="24"/>
          <w:szCs w:val="24"/>
        </w:rPr>
        <w:t xml:space="preserve">Chapter 16: Trial by Human — Radical Authenticity in the Courtroom</w:t>
      </w:r>
    </w:p>
    <w:p>
      <w:pPr>
        <w:spacing w:after="0" w:line="480"/>
        <w:ind w:firstLine="720"/>
      </w:pPr>
      <w:r>
        <w:rPr>
          <w:rFonts w:ascii="Times New Roman" w:cs="Times New Roman" w:eastAsia="Times New Roman" w:hAnsi="Times New Roman"/>
          <w:sz w:val="24"/>
          <w:szCs w:val="24"/>
        </w:rPr>
        <w:t xml:space="preserve">Nick Rowley's method integrated with the Villain Reveal voir dire framework. The five-movement voir dire for TTI cases (Pattern Interrupt, Permission and Mirror, World-Building, The Awakening, The Commission). Why TTI cases demand authenticity over polish: the survivor's story IS the case. The StoryBrand framework: the survivor is the hero, the lawyer is the guide, the program is the villain. Identifying the real villain: when it's the counselor, when it's the program, when it's the industry.</w:t>
      </w:r>
    </w:p>
    <w:p>
      <w:pPr>
        <w:spacing w:after="0" w:line="480"/>
        <w:ind w:left="720"/>
      </w:pPr>
      <w:r>
        <w:rPr>
          <w:rFonts w:ascii="Times New Roman" w:cs="Times New Roman" w:eastAsia="Times New Roman" w:hAnsi="Times New Roman"/>
          <w:sz w:val="24"/>
          <w:szCs w:val="24"/>
        </w:rPr>
        <w:t xml:space="preserve">•  Rowley's method: radical emotional authenticity with jurors</w:t>
      </w:r>
    </w:p>
    <w:p>
      <w:pPr>
        <w:spacing w:after="0" w:line="480"/>
        <w:ind w:left="720"/>
      </w:pPr>
      <w:r>
        <w:rPr>
          <w:rFonts w:ascii="Times New Roman" w:cs="Times New Roman" w:eastAsia="Times New Roman" w:hAnsi="Times New Roman"/>
          <w:sz w:val="24"/>
          <w:szCs w:val="24"/>
        </w:rPr>
        <w:t xml:space="preserve">•  The five-movement Villain Reveal voir dire for TTI cases</w:t>
      </w:r>
    </w:p>
    <w:p>
      <w:pPr>
        <w:spacing w:after="0" w:line="480"/>
        <w:ind w:left="720"/>
      </w:pPr>
      <w:r>
        <w:rPr>
          <w:rFonts w:ascii="Times New Roman" w:cs="Times New Roman" w:eastAsia="Times New Roman" w:hAnsi="Times New Roman"/>
          <w:sz w:val="24"/>
          <w:szCs w:val="24"/>
        </w:rPr>
        <w:t xml:space="preserve">•  StoryBrand applied: survivor = hero, lawyer = guide, program = villain</w:t>
      </w:r>
    </w:p>
    <w:p>
      <w:pPr>
        <w:spacing w:after="0" w:line="480"/>
        <w:ind w:left="720"/>
      </w:pPr>
      <w:r>
        <w:rPr>
          <w:rFonts w:ascii="Times New Roman" w:cs="Times New Roman" w:eastAsia="Times New Roman" w:hAnsi="Times New Roman"/>
          <w:sz w:val="24"/>
          <w:szCs w:val="24"/>
        </w:rPr>
        <w:t xml:space="preserve">•  Identifying the real villain: counselor vs. program vs. industry vs. educational consultant</w:t>
      </w:r>
    </w:p>
    <w:p>
      <w:pPr>
        <w:spacing w:after="0" w:line="480"/>
        <w:ind w:left="720"/>
      </w:pPr>
      <w:r>
        <w:rPr>
          <w:rFonts w:ascii="Times New Roman" w:cs="Times New Roman" w:eastAsia="Times New Roman" w:hAnsi="Times New Roman"/>
          <w:sz w:val="24"/>
          <w:szCs w:val="24"/>
        </w:rPr>
        <w:t xml:space="preserve">•  The First-Time Principle: presenting evidence as if hearing it for the first time</w:t>
      </w:r>
    </w:p>
    <w:p>
      <w:pPr>
        <w:spacing w:after="0" w:line="480"/>
        <w:ind w:left="720"/>
      </w:pPr>
      <w:r>
        <w:rPr>
          <w:rFonts w:ascii="Times New Roman" w:cs="Times New Roman" w:eastAsia="Times New Roman" w:hAnsi="Times New Roman"/>
          <w:sz w:val="24"/>
          <w:szCs w:val="24"/>
        </w:rPr>
        <w:t xml:space="preserve">•  Vulnerability as strength in TTI trial advocacy</w:t>
      </w:r>
    </w:p>
    <w:p>
      <w:pPr>
        <w:spacing w:after="0" w:line="480"/>
      </w:pPr>
    </w:p>
    <w:p>
      <w:pPr>
        <w:spacing w:after="0" w:before="240" w:line="480"/>
      </w:pPr>
      <w:r>
        <w:rPr>
          <w:rFonts w:ascii="Times New Roman" w:cs="Times New Roman" w:eastAsia="Times New Roman" w:hAnsi="Times New Roman"/>
          <w:b/>
          <w:bCs/>
          <w:sz w:val="24"/>
          <w:szCs w:val="24"/>
        </w:rPr>
        <w:t xml:space="preserve">Chapter 17: Damages — Proving the Value of What Was Taken</w:t>
      </w:r>
    </w:p>
    <w:p>
      <w:pPr>
        <w:spacing w:after="0" w:line="480"/>
        <w:ind w:firstLine="720"/>
      </w:pPr>
      <w:r>
        <w:rPr>
          <w:rFonts w:ascii="Times New Roman" w:cs="Times New Roman" w:eastAsia="Times New Roman" w:hAnsi="Times New Roman"/>
          <w:sz w:val="24"/>
          <w:szCs w:val="24"/>
        </w:rPr>
        <w:t xml:space="preserve">The Barton framework (Recovering for Psychological Injuries) as the foundation for making invisible psychological harm visible, measurable, and compensable. Ball's harms-and-losses method adapted for TTI: developmental theft, relational destruction, identity corruption, economic cascade. Brown's emotional vocabulary (shame vs. guilt, belonging, the vulnerability paradox). The presentation sequence: life before, what was taken, life after, what it costs, what it is worth. Per-diem framework. Punitive damages: the program's profit model as the mechanism of harm.</w:t>
      </w:r>
    </w:p>
    <w:p>
      <w:pPr>
        <w:spacing w:after="0" w:line="480"/>
        <w:ind w:left="720"/>
      </w:pPr>
      <w:r>
        <w:rPr>
          <w:rFonts w:ascii="Times New Roman" w:cs="Times New Roman" w:eastAsia="Times New Roman" w:hAnsi="Times New Roman"/>
          <w:sz w:val="24"/>
          <w:szCs w:val="24"/>
        </w:rPr>
        <w:t xml:space="preserve">•  Barton framework: making invisible psychological injuries visible to the jury</w:t>
      </w:r>
    </w:p>
    <w:p>
      <w:pPr>
        <w:spacing w:after="0" w:line="480"/>
        <w:ind w:left="720"/>
      </w:pPr>
      <w:r>
        <w:rPr>
          <w:rFonts w:ascii="Times New Roman" w:cs="Times New Roman" w:eastAsia="Times New Roman" w:hAnsi="Times New Roman"/>
          <w:sz w:val="24"/>
          <w:szCs w:val="24"/>
        </w:rPr>
        <w:t xml:space="preserve">•  Ball's harms-and-losses adapted for TTI developmental theft</w:t>
      </w:r>
    </w:p>
    <w:p>
      <w:pPr>
        <w:spacing w:after="0" w:line="480"/>
        <w:ind w:left="720"/>
      </w:pPr>
      <w:r>
        <w:rPr>
          <w:rFonts w:ascii="Times New Roman" w:cs="Times New Roman" w:eastAsia="Times New Roman" w:hAnsi="Times New Roman"/>
          <w:sz w:val="24"/>
          <w:szCs w:val="24"/>
        </w:rPr>
        <w:t xml:space="preserve">•  TTI-specific damages categories: developmental theft, relational destruction, identity corruption, economic cascade</w:t>
      </w:r>
    </w:p>
    <w:p>
      <w:pPr>
        <w:spacing w:after="0" w:line="480"/>
        <w:ind w:left="720"/>
      </w:pPr>
      <w:r>
        <w:rPr>
          <w:rFonts w:ascii="Times New Roman" w:cs="Times New Roman" w:eastAsia="Times New Roman" w:hAnsi="Times New Roman"/>
          <w:sz w:val="24"/>
          <w:szCs w:val="24"/>
        </w:rPr>
        <w:t xml:space="preserve">•  Brown's emotional vocabulary: shame vs. guilt, belonging, the vulnerability paradox</w:t>
      </w:r>
    </w:p>
    <w:p>
      <w:pPr>
        <w:spacing w:after="0" w:line="480"/>
        <w:ind w:left="720"/>
      </w:pPr>
      <w:r>
        <w:rPr>
          <w:rFonts w:ascii="Times New Roman" w:cs="Times New Roman" w:eastAsia="Times New Roman" w:hAnsi="Times New Roman"/>
          <w:sz w:val="24"/>
          <w:szCs w:val="24"/>
        </w:rPr>
        <w:t xml:space="preserve">•  Presentation sequence: life before → what was taken → life after → what it costs → what it's worth</w:t>
      </w:r>
    </w:p>
    <w:p>
      <w:pPr>
        <w:spacing w:after="0" w:line="480"/>
        <w:ind w:left="720"/>
      </w:pPr>
      <w:r>
        <w:rPr>
          <w:rFonts w:ascii="Times New Roman" w:cs="Times New Roman" w:eastAsia="Times New Roman" w:hAnsi="Times New Roman"/>
          <w:sz w:val="24"/>
          <w:szCs w:val="24"/>
        </w:rPr>
        <w:t xml:space="preserve">•  Per-diem framework for noneconomic damages</w:t>
      </w:r>
    </w:p>
    <w:p>
      <w:pPr>
        <w:spacing w:after="0" w:line="480"/>
        <w:ind w:left="720"/>
      </w:pPr>
      <w:r>
        <w:rPr>
          <w:rFonts w:ascii="Times New Roman" w:cs="Times New Roman" w:eastAsia="Times New Roman" w:hAnsi="Times New Roman"/>
          <w:sz w:val="24"/>
          <w:szCs w:val="24"/>
        </w:rPr>
        <w:t xml:space="preserve">•  Punitive damages: the program's profit model as the mechanism of harm</w:t>
      </w:r>
    </w:p>
    <w:p>
      <w:pPr>
        <w:spacing w:after="0" w:line="480"/>
      </w:pPr>
    </w:p>
    <w:p>
      <w:pPr>
        <w:spacing w:after="0" w:before="240" w:line="480"/>
      </w:pPr>
      <w:r>
        <w:rPr>
          <w:rFonts w:ascii="Times New Roman" w:cs="Times New Roman" w:eastAsia="Times New Roman" w:hAnsi="Times New Roman"/>
          <w:b/>
          <w:bCs/>
          <w:sz w:val="24"/>
          <w:szCs w:val="24"/>
        </w:rPr>
        <w:t xml:space="preserve">Chapter 18: Witness Strategy and Preparation</w:t>
      </w:r>
    </w:p>
    <w:p>
      <w:pPr>
        <w:spacing w:after="0" w:line="480"/>
        <w:ind w:firstLine="720"/>
      </w:pPr>
      <w:r>
        <w:rPr>
          <w:rFonts w:ascii="Times New Roman" w:cs="Times New Roman" w:eastAsia="Times New Roman" w:hAnsi="Times New Roman"/>
          <w:sz w:val="24"/>
          <w:szCs w:val="24"/>
        </w:rPr>
        <w:t xml:space="preserve">The gap between having the right evidence and presenting it through the right people in the right order. Draws on Friedman and Malone's Polarizing the Case (forcing jurors to choose rather than compromise), push-pull witness sequencing mapped to StoryBrand's narrative arc and Kahneman's dual-process cognition, Jesse Wilson's witness preparation framework adapted for trauma, Sari de la Motte's From Hostage to Hero (lawyer presence and relational dynamics with the jury), and parents as fraud witnesses (a distinct litigation strategy from the Unsilenced consultation). Leveraging the 40,000+ survivor network for witness identification and corroboration.</w:t>
      </w:r>
    </w:p>
    <w:p>
      <w:pPr>
        <w:spacing w:after="0" w:line="480"/>
        <w:ind w:left="720"/>
      </w:pPr>
      <w:r>
        <w:rPr>
          <w:rFonts w:ascii="Times New Roman" w:cs="Times New Roman" w:eastAsia="Times New Roman" w:hAnsi="Times New Roman"/>
          <w:sz w:val="24"/>
          <w:szCs w:val="24"/>
        </w:rPr>
        <w:t xml:space="preserve">•  Polarizing the Case: identifying polarizing frames and eliminating neutralizing witnesses</w:t>
      </w:r>
    </w:p>
    <w:p>
      <w:pPr>
        <w:spacing w:after="0" w:line="480"/>
        <w:ind w:left="720"/>
      </w:pPr>
      <w:r>
        <w:rPr>
          <w:rFonts w:ascii="Times New Roman" w:cs="Times New Roman" w:eastAsia="Times New Roman" w:hAnsi="Times New Roman"/>
          <w:sz w:val="24"/>
          <w:szCs w:val="24"/>
        </w:rPr>
        <w:t xml:space="preserve">•  Push-pull witness sequencing: alternating emotional and analytical registers</w:t>
      </w:r>
    </w:p>
    <w:p>
      <w:pPr>
        <w:spacing w:after="0" w:line="480"/>
        <w:ind w:left="720"/>
      </w:pPr>
      <w:r>
        <w:rPr>
          <w:rFonts w:ascii="Times New Roman" w:cs="Times New Roman" w:eastAsia="Times New Roman" w:hAnsi="Times New Roman"/>
          <w:sz w:val="24"/>
          <w:szCs w:val="24"/>
        </w:rPr>
        <w:t xml:space="preserve">•  Mapping witness order to StoryBrand arc and Kahneman System 1/2</w:t>
      </w:r>
    </w:p>
    <w:p>
      <w:pPr>
        <w:spacing w:after="0" w:line="480"/>
        <w:ind w:left="720"/>
      </w:pPr>
      <w:r>
        <w:rPr>
          <w:rFonts w:ascii="Times New Roman" w:cs="Times New Roman" w:eastAsia="Times New Roman" w:hAnsi="Times New Roman"/>
          <w:sz w:val="24"/>
          <w:szCs w:val="24"/>
        </w:rPr>
        <w:t xml:space="preserve">•  Trauma-informed witness preparation: the five principles for TTI survivors</w:t>
      </w:r>
    </w:p>
    <w:p>
      <w:pPr>
        <w:spacing w:after="0" w:line="480"/>
        <w:ind w:left="720"/>
      </w:pPr>
      <w:r>
        <w:rPr>
          <w:rFonts w:ascii="Times New Roman" w:cs="Times New Roman" w:eastAsia="Times New Roman" w:hAnsi="Times New Roman"/>
          <w:sz w:val="24"/>
          <w:szCs w:val="24"/>
        </w:rPr>
        <w:t xml:space="preserve">•  Preparing for cross-examination: the grateful-survivor narrative, memory impeachment</w:t>
      </w:r>
    </w:p>
    <w:p>
      <w:pPr>
        <w:spacing w:after="0" w:line="480"/>
        <w:ind w:left="720"/>
      </w:pPr>
      <w:r>
        <w:rPr>
          <w:rFonts w:ascii="Times New Roman" w:cs="Times New Roman" w:eastAsia="Times New Roman" w:hAnsi="Times New Roman"/>
          <w:sz w:val="24"/>
          <w:szCs w:val="24"/>
        </w:rPr>
        <w:t xml:space="preserve">•  Parents as fraud witnesses: misrepresentation claims that bypass abuse exclusions</w:t>
      </w:r>
    </w:p>
    <w:p>
      <w:pPr>
        <w:spacing w:after="0" w:line="480"/>
        <w:ind w:left="720"/>
      </w:pPr>
      <w:r>
        <w:rPr>
          <w:rFonts w:ascii="Times New Roman" w:cs="Times New Roman" w:eastAsia="Times New Roman" w:hAnsi="Times New Roman"/>
          <w:sz w:val="24"/>
          <w:szCs w:val="24"/>
        </w:rPr>
        <w:t xml:space="preserve">•  Lawyer presence: From Hostage to Hero — presence, not performance</w:t>
      </w:r>
    </w:p>
    <w:p>
      <w:pPr>
        <w:spacing w:after="0" w:line="480"/>
        <w:ind w:left="720"/>
      </w:pPr>
      <w:r>
        <w:rPr>
          <w:rFonts w:ascii="Times New Roman" w:cs="Times New Roman" w:eastAsia="Times New Roman" w:hAnsi="Times New Roman"/>
          <w:sz w:val="24"/>
          <w:szCs w:val="24"/>
        </w:rPr>
        <w:t xml:space="preserve">•  Leveraging survivor networks for witness development and corroboration</w:t>
      </w:r>
    </w:p>
    <w:p>
      <w:pPr>
        <w:spacing w:after="0" w:line="480"/>
        <w:ind w:left="720"/>
      </w:pPr>
      <w:r>
        <w:rPr>
          <w:rFonts w:ascii="Times New Roman" w:cs="Times New Roman" w:eastAsia="Times New Roman" w:hAnsi="Times New Roman"/>
          <w:sz w:val="24"/>
          <w:szCs w:val="24"/>
        </w:rPr>
        <w:t xml:space="preserve">•  Practitioner toolkit: polarization audit, push-pull worksheet, preparation protocol</w:t>
      </w:r>
    </w:p>
    <w:p>
      <w:pPr>
        <w:spacing w:after="0" w:line="480"/>
      </w:pPr>
    </w:p>
    <w:p>
      <w:pPr>
        <w:spacing w:after="0" w:before="240" w:line="480"/>
      </w:pPr>
      <w:r>
        <w:rPr>
          <w:rFonts w:ascii="Times New Roman" w:cs="Times New Roman" w:eastAsia="Times New Roman" w:hAnsi="Times New Roman"/>
          <w:b/>
          <w:bCs/>
          <w:sz w:val="24"/>
          <w:szCs w:val="24"/>
        </w:rPr>
        <w:t xml:space="preserve">Chapter 19: Opening, Cross, and Closing</w:t>
      </w:r>
    </w:p>
    <w:p>
      <w:pPr>
        <w:spacing w:after="0" w:line="480"/>
        <w:ind w:firstLine="720"/>
      </w:pPr>
      <w:r>
        <w:rPr>
          <w:rFonts w:ascii="Times New Roman" w:cs="Times New Roman" w:eastAsia="Times New Roman" w:hAnsi="Times New Roman"/>
          <w:sz w:val="24"/>
          <w:szCs w:val="24"/>
        </w:rPr>
        <w:t xml:space="preserve">Practical trial skills for TTI cases. Opening: establishing the coercive system in the first five minutes; the "two versions" opening (what the program promised vs. what it delivered). Cross-examination of the corporate representative using the program's own documents. Cross of direct-care staff: "You were trained to..." Cross of the defense expert: challenging "therapeutic discretion." Closing: tying Rules, Reptile, and StoryBrand together. The jury as the hero who finally listens.</w:t>
      </w:r>
    </w:p>
    <w:p>
      <w:pPr>
        <w:spacing w:after="0" w:line="480"/>
        <w:ind w:left="720"/>
      </w:pPr>
      <w:r>
        <w:rPr>
          <w:rFonts w:ascii="Times New Roman" w:cs="Times New Roman" w:eastAsia="Times New Roman" w:hAnsi="Times New Roman"/>
          <w:sz w:val="24"/>
          <w:szCs w:val="24"/>
        </w:rPr>
        <w:t xml:space="preserve">•  Opening: the "two versions"—what was promised vs. what was delivered</w:t>
      </w:r>
    </w:p>
    <w:p>
      <w:pPr>
        <w:spacing w:after="0" w:line="480"/>
        <w:ind w:left="720"/>
      </w:pPr>
      <w:r>
        <w:rPr>
          <w:rFonts w:ascii="Times New Roman" w:cs="Times New Roman" w:eastAsia="Times New Roman" w:hAnsi="Times New Roman"/>
          <w:sz w:val="24"/>
          <w:szCs w:val="24"/>
        </w:rPr>
        <w:t xml:space="preserve">•  Cross of 30(b)(6) corporate representative: the program's own documents</w:t>
      </w:r>
    </w:p>
    <w:p>
      <w:pPr>
        <w:spacing w:after="0" w:line="480"/>
        <w:ind w:left="720"/>
      </w:pPr>
      <w:r>
        <w:rPr>
          <w:rFonts w:ascii="Times New Roman" w:cs="Times New Roman" w:eastAsia="Times New Roman" w:hAnsi="Times New Roman"/>
          <w:sz w:val="24"/>
          <w:szCs w:val="24"/>
        </w:rPr>
        <w:t xml:space="preserve">•  Cross of direct-care staff: "You were trained to..."</w:t>
      </w:r>
    </w:p>
    <w:p>
      <w:pPr>
        <w:spacing w:after="0" w:line="480"/>
        <w:ind w:left="720"/>
      </w:pPr>
      <w:r>
        <w:rPr>
          <w:rFonts w:ascii="Times New Roman" w:cs="Times New Roman" w:eastAsia="Times New Roman" w:hAnsi="Times New Roman"/>
          <w:sz w:val="24"/>
          <w:szCs w:val="24"/>
        </w:rPr>
        <w:t xml:space="preserve">•  Cross of defense expert: dismantling "therapeutic discretion"</w:t>
      </w:r>
    </w:p>
    <w:p>
      <w:pPr>
        <w:spacing w:after="0" w:line="480"/>
        <w:ind w:left="720"/>
      </w:pPr>
      <w:r>
        <w:rPr>
          <w:rFonts w:ascii="Times New Roman" w:cs="Times New Roman" w:eastAsia="Times New Roman" w:hAnsi="Times New Roman"/>
          <w:sz w:val="24"/>
          <w:szCs w:val="24"/>
        </w:rPr>
        <w:t xml:space="preserve">•  Closing: Rules + Reptile + StoryBrand → the jury as the hero who finally acts</w:t>
      </w:r>
    </w:p>
    <w:p>
      <w:pPr>
        <w:spacing w:after="0" w:line="480"/>
        <w:ind w:left="720"/>
      </w:pPr>
      <w:r>
        <w:rPr>
          <w:rFonts w:ascii="Times New Roman" w:cs="Times New Roman" w:eastAsia="Times New Roman" w:hAnsi="Times New Roman"/>
          <w:sz w:val="24"/>
          <w:szCs w:val="24"/>
        </w:rPr>
        <w:t xml:space="preserve">•  Using audio, video, and visual exhibits in TTI cases</w:t>
      </w:r>
    </w:p>
    <w:p>
      <w:pPr>
        <w:spacing w:after="0" w:line="480"/>
      </w:pPr>
    </w:p>
    <w:p>
      <w:pPr>
        <w:spacing w:after="0" w:before="240" w:line="480"/>
      </w:pPr>
      <w:r>
        <w:rPr>
          <w:rFonts w:ascii="Times New Roman" w:cs="Times New Roman" w:eastAsia="Times New Roman" w:hAnsi="Times New Roman"/>
          <w:b/>
          <w:bCs/>
          <w:sz w:val="24"/>
          <w:szCs w:val="24"/>
        </w:rPr>
        <w:t xml:space="preserve">Chapter 20: Presenting to Every Audience</w:t>
      </w:r>
    </w:p>
    <w:p>
      <w:pPr>
        <w:spacing w:after="0" w:line="480"/>
        <w:ind w:firstLine="720"/>
      </w:pPr>
      <w:r>
        <w:rPr>
          <w:rFonts w:ascii="Times New Roman" w:cs="Times New Roman" w:eastAsia="Times New Roman" w:hAnsi="Times New Roman"/>
          <w:sz w:val="24"/>
          <w:szCs w:val="24"/>
        </w:rPr>
        <w:t xml:space="preserve">Adapting TTI case themes beyond the jury: judges (motion hearings as education), mediators (tactical empathy and narrative demand letters), other lawyers (CLE teaching, referral networks), the media (connecting individual cases to the industry pattern), families and survivors (empathy-first presentations as intake pipeline), and legislators/regulators (data, patterns, model legislation). Each audience sharpens your trial skills. Draws on Pinker, Freakonomics, Campbell, Greene, Miller/StoryBrand, Voss, and Fisher &amp; Ury.</w:t>
      </w:r>
    </w:p>
    <w:p>
      <w:pPr>
        <w:spacing w:after="0" w:line="480"/>
        <w:ind w:left="720"/>
      </w:pPr>
      <w:r>
        <w:rPr>
          <w:rFonts w:ascii="Times New Roman" w:cs="Times New Roman" w:eastAsia="Times New Roman" w:hAnsi="Times New Roman"/>
          <w:sz w:val="24"/>
          <w:szCs w:val="24"/>
        </w:rPr>
        <w:t xml:space="preserve">•  The judge: using motion hearings to educate and expand trial arguments</w:t>
      </w:r>
    </w:p>
    <w:p>
      <w:pPr>
        <w:spacing w:after="0" w:line="480"/>
        <w:ind w:left="720"/>
      </w:pPr>
      <w:r>
        <w:rPr>
          <w:rFonts w:ascii="Times New Roman" w:cs="Times New Roman" w:eastAsia="Times New Roman" w:hAnsi="Times New Roman"/>
          <w:sz w:val="24"/>
          <w:szCs w:val="24"/>
        </w:rPr>
        <w:t xml:space="preserve">•  The mediator: tactical empathy and narrative demand letters</w:t>
      </w:r>
    </w:p>
    <w:p>
      <w:pPr>
        <w:spacing w:after="0" w:line="480"/>
        <w:ind w:left="720"/>
      </w:pPr>
      <w:r>
        <w:rPr>
          <w:rFonts w:ascii="Times New Roman" w:cs="Times New Roman" w:eastAsia="Times New Roman" w:hAnsi="Times New Roman"/>
          <w:sz w:val="24"/>
          <w:szCs w:val="24"/>
        </w:rPr>
        <w:t xml:space="preserve">•  Other lawyers: CLE teaching and referral networks as movement-building</w:t>
      </w:r>
    </w:p>
    <w:p>
      <w:pPr>
        <w:spacing w:after="0" w:line="480"/>
        <w:ind w:left="720"/>
      </w:pPr>
      <w:r>
        <w:rPr>
          <w:rFonts w:ascii="Times New Roman" w:cs="Times New Roman" w:eastAsia="Times New Roman" w:hAnsi="Times New Roman"/>
          <w:sz w:val="24"/>
          <w:szCs w:val="24"/>
        </w:rPr>
        <w:t xml:space="preserve">•  The media: systemic narrative connecting individual TTI cases to industry patterns</w:t>
      </w:r>
    </w:p>
    <w:p>
      <w:pPr>
        <w:spacing w:after="0" w:line="480"/>
        <w:ind w:left="720"/>
      </w:pPr>
      <w:r>
        <w:rPr>
          <w:rFonts w:ascii="Times New Roman" w:cs="Times New Roman" w:eastAsia="Times New Roman" w:hAnsi="Times New Roman"/>
          <w:sz w:val="24"/>
          <w:szCs w:val="24"/>
        </w:rPr>
        <w:t xml:space="preserve">•  Families and survivors: empathy-first presentations as intake pipeline</w:t>
      </w:r>
    </w:p>
    <w:p>
      <w:pPr>
        <w:spacing w:after="0" w:line="480"/>
        <w:ind w:left="720"/>
      </w:pPr>
      <w:r>
        <w:rPr>
          <w:rFonts w:ascii="Times New Roman" w:cs="Times New Roman" w:eastAsia="Times New Roman" w:hAnsi="Times New Roman"/>
          <w:sz w:val="24"/>
          <w:szCs w:val="24"/>
        </w:rPr>
        <w:t xml:space="preserve">•  Legislators: data, patterns, incentive structures, and model legislation</w:t>
      </w:r>
    </w:p>
    <w:p>
      <w:pPr>
        <w:spacing w:after="0" w:line="480"/>
      </w:pPr>
    </w:p>
    <w:p>
      <w:pPr>
        <w:spacing w:after="0" w:before="240" w:line="480"/>
      </w:pPr>
      <w:r>
        <w:rPr>
          <w:rFonts w:ascii="Times New Roman" w:cs="Times New Roman" w:eastAsia="Times New Roman" w:hAnsi="Times New Roman"/>
          <w:b/>
          <w:bCs/>
          <w:sz w:val="24"/>
          <w:szCs w:val="24"/>
        </w:rPr>
        <w:t xml:space="preserve">Chapter 21: Settlement, Mediation, and Resolution</w:t>
      </w:r>
    </w:p>
    <w:p>
      <w:pPr>
        <w:spacing w:after="0" w:line="480"/>
        <w:ind w:firstLine="720"/>
      </w:pPr>
      <w:r>
        <w:rPr>
          <w:rFonts w:ascii="Times New Roman" w:cs="Times New Roman" w:eastAsia="Times New Roman" w:hAnsi="Times New Roman"/>
          <w:sz w:val="24"/>
          <w:szCs w:val="24"/>
        </w:rPr>
        <w:t xml:space="preserve">The three-way settlement dynamic in TTI cases: carrier pressure (bad-faith risk from pattern evidence), program pressure (reputational exposure, uninsured gap), and individual defendant pressure (personal punitive exposure for directors and owners). Non-monetary terms specific to TTI: program closure, policy reform, independent oversight, whistleblower protections, public acknowledgment. Confidentiality: when to accept, when to resist, and carve-outs that protect survivors and future plaintiffs.</w:t>
      </w:r>
    </w:p>
    <w:p>
      <w:pPr>
        <w:spacing w:after="0" w:line="480"/>
        <w:ind w:left="720"/>
      </w:pPr>
      <w:r>
        <w:rPr>
          <w:rFonts w:ascii="Times New Roman" w:cs="Times New Roman" w:eastAsia="Times New Roman" w:hAnsi="Times New Roman"/>
          <w:sz w:val="24"/>
          <w:szCs w:val="24"/>
        </w:rPr>
        <w:t xml:space="preserve">•  The three-way settlement dynamic: carrier, program, and individual pressure points</w:t>
      </w:r>
    </w:p>
    <w:p>
      <w:pPr>
        <w:spacing w:after="0" w:line="480"/>
        <w:ind w:left="720"/>
      </w:pPr>
      <w:r>
        <w:rPr>
          <w:rFonts w:ascii="Times New Roman" w:cs="Times New Roman" w:eastAsia="Times New Roman" w:hAnsi="Times New Roman"/>
          <w:sz w:val="24"/>
          <w:szCs w:val="24"/>
        </w:rPr>
        <w:t xml:space="preserve">•  What TTI defendants fear most: discovery, pattern evidence, publicity, precedent</w:t>
      </w:r>
    </w:p>
    <w:p>
      <w:pPr>
        <w:spacing w:after="0" w:line="480"/>
        <w:ind w:left="720"/>
      </w:pPr>
      <w:r>
        <w:rPr>
          <w:rFonts w:ascii="Times New Roman" w:cs="Times New Roman" w:eastAsia="Times New Roman" w:hAnsi="Times New Roman"/>
          <w:sz w:val="24"/>
          <w:szCs w:val="24"/>
        </w:rPr>
        <w:t xml:space="preserve">•  Non-monetary terms: program closure, reform, oversight, whistleblower protection</w:t>
      </w:r>
    </w:p>
    <w:p>
      <w:pPr>
        <w:spacing w:after="0" w:line="480"/>
        <w:ind w:left="720"/>
      </w:pPr>
      <w:r>
        <w:rPr>
          <w:rFonts w:ascii="Times New Roman" w:cs="Times New Roman" w:eastAsia="Times New Roman" w:hAnsi="Times New Roman"/>
          <w:sz w:val="24"/>
          <w:szCs w:val="24"/>
        </w:rPr>
        <w:t xml:space="preserve">•  Confidentiality: when to accept, when to resist, survivor-protective carve-outs</w:t>
      </w:r>
    </w:p>
    <w:p>
      <w:pPr>
        <w:spacing w:after="0" w:line="480"/>
        <w:ind w:left="720"/>
      </w:pPr>
      <w:r>
        <w:rPr>
          <w:rFonts w:ascii="Times New Roman" w:cs="Times New Roman" w:eastAsia="Times New Roman" w:hAnsi="Times New Roman"/>
          <w:sz w:val="24"/>
          <w:szCs w:val="24"/>
        </w:rPr>
        <w:t xml:space="preserve">•  Structured settlements for survivors with executive functioning disruption</w:t>
      </w:r>
    </w:p>
    <w:p>
      <w:pPr>
        <w:spacing w:after="0" w:line="480"/>
        <w:ind w:left="720"/>
      </w:pPr>
      <w:r>
        <w:rPr>
          <w:rFonts w:ascii="Times New Roman" w:cs="Times New Roman" w:eastAsia="Times New Roman" w:hAnsi="Times New Roman"/>
          <w:sz w:val="24"/>
          <w:szCs w:val="24"/>
        </w:rPr>
        <w:t xml:space="preserve">•  The dual-axis success metric: financial recovery + systemic change</w:t>
      </w:r>
    </w:p>
    <w:p>
      <w:pPr>
        <w:spacing w:after="0" w:line="480"/>
      </w:pPr>
    </w:p>
    <w:p>
      <w:pPr>
        <w:pBdr>
          <w:bottom w:val="single" w:color="999999" w:sz="4" w:space="6"/>
        </w:pBdr>
        <w:spacing w:after="120" w:before="120"/>
        <w:jc w:val="center"/>
      </w:pPr>
    </w:p>
    <w:p>
      <w:pPr>
        <w:spacing w:after="0" w:before="360" w:line="480"/>
        <w:jc w:val="center"/>
      </w:pPr>
      <w:r>
        <w:rPr>
          <w:rFonts w:ascii="Times New Roman" w:cs="Times New Roman" w:eastAsia="Times New Roman" w:hAnsi="Times New Roman"/>
          <w:b/>
          <w:bCs/>
          <w:sz w:val="26"/>
          <w:szCs w:val="26"/>
        </w:rPr>
        <w:t xml:space="preserve">PART V: BEYOND THE COURTROOM</w:t>
      </w:r>
    </w:p>
    <w:p>
      <w:pPr>
        <w:spacing w:after="0" w:line="480"/>
      </w:pPr>
      <w:r>
        <w:rPr>
          <w:rFonts w:ascii="Times New Roman" w:cs="Times New Roman" w:eastAsia="Times New Roman" w:hAnsi="Times New Roman"/>
          <w:sz w:val="24"/>
          <w:szCs w:val="24"/>
        </w:rPr>
        <w:t xml:space="preserve">Recovery, reform, and the road ahead</w:t>
      </w:r>
    </w:p>
    <w:p>
      <w:pPr>
        <w:spacing w:after="0" w:line="480"/>
      </w:pPr>
    </w:p>
    <w:p>
      <w:pPr>
        <w:spacing w:after="0" w:before="240" w:line="480"/>
      </w:pPr>
      <w:r>
        <w:rPr>
          <w:rFonts w:ascii="Times New Roman" w:cs="Times New Roman" w:eastAsia="Times New Roman" w:hAnsi="Times New Roman"/>
          <w:b/>
          <w:bCs/>
          <w:sz w:val="24"/>
          <w:szCs w:val="24"/>
        </w:rPr>
        <w:t xml:space="preserve">Chapter 22: After the Verdict — Recovery, Reform, and the Movement</w:t>
      </w:r>
    </w:p>
    <w:p>
      <w:pPr>
        <w:spacing w:after="0" w:line="480"/>
        <w:ind w:firstLine="720"/>
      </w:pPr>
      <w:r>
        <w:rPr>
          <w:rFonts w:ascii="Times New Roman" w:cs="Times New Roman" w:eastAsia="Times New Roman" w:hAnsi="Times New Roman"/>
          <w:sz w:val="24"/>
          <w:szCs w:val="24"/>
        </w:rPr>
        <w:t xml:space="preserve">Combine post-verdict recovery, the regulatory landscape, and movement-building into one chapter. Post-verdict emotional deflation and continuing obligations. The TTI regulatory failure: no federal oversight, state-by-state patchwork, licensing as false assurance. SOL reform: the national trend. The survivor-to-advocate pathway. Building the practitioner network. Working with Unsilenced, Breaking Code Silence, HEAL, and the survivor-led movement. The tobacco litigation analogy: shifting TTI from tolerance to unacceptability.</w:t>
      </w:r>
    </w:p>
    <w:p>
      <w:pPr>
        <w:spacing w:after="0" w:line="480"/>
        <w:ind w:left="720"/>
      </w:pPr>
      <w:r>
        <w:rPr>
          <w:rFonts w:ascii="Times New Roman" w:cs="Times New Roman" w:eastAsia="Times New Roman" w:hAnsi="Times New Roman"/>
          <w:sz w:val="24"/>
          <w:szCs w:val="24"/>
        </w:rPr>
        <w:t xml:space="preserve">•  Post-verdict: emotional deflation, trauma-informed financial planning, continuing obligations</w:t>
      </w:r>
    </w:p>
    <w:p>
      <w:pPr>
        <w:spacing w:after="0" w:line="480"/>
        <w:ind w:left="720"/>
      </w:pPr>
      <w:r>
        <w:rPr>
          <w:rFonts w:ascii="Times New Roman" w:cs="Times New Roman" w:eastAsia="Times New Roman" w:hAnsi="Times New Roman"/>
          <w:sz w:val="24"/>
          <w:szCs w:val="24"/>
        </w:rPr>
        <w:t xml:space="preserve">•  The TTI regulatory failure: no federal oversight, state licensing as false assurance</w:t>
      </w:r>
    </w:p>
    <w:p>
      <w:pPr>
        <w:spacing w:after="0" w:line="480"/>
        <w:ind w:left="720"/>
      </w:pPr>
      <w:r>
        <w:rPr>
          <w:rFonts w:ascii="Times New Roman" w:cs="Times New Roman" w:eastAsia="Times New Roman" w:hAnsi="Times New Roman"/>
          <w:sz w:val="24"/>
          <w:szCs w:val="24"/>
        </w:rPr>
        <w:t xml:space="preserve">•  SOL reform: lookback windows, legislative momentum, model statutes</w:t>
      </w:r>
    </w:p>
    <w:p>
      <w:pPr>
        <w:spacing w:after="0" w:line="480"/>
        <w:ind w:left="720"/>
      </w:pPr>
      <w:r>
        <w:rPr>
          <w:rFonts w:ascii="Times New Roman" w:cs="Times New Roman" w:eastAsia="Times New Roman" w:hAnsi="Times New Roman"/>
          <w:sz w:val="24"/>
          <w:szCs w:val="24"/>
        </w:rPr>
        <w:t xml:space="preserve">•  The survivor-to-advocate pathway: when former clients become movement leaders</w:t>
      </w:r>
    </w:p>
    <w:p>
      <w:pPr>
        <w:spacing w:after="0" w:line="480"/>
        <w:ind w:left="720"/>
      </w:pPr>
      <w:r>
        <w:rPr>
          <w:rFonts w:ascii="Times New Roman" w:cs="Times New Roman" w:eastAsia="Times New Roman" w:hAnsi="Times New Roman"/>
          <w:sz w:val="24"/>
          <w:szCs w:val="24"/>
        </w:rPr>
        <w:t xml:space="preserve">•  Building the practitioner network: attorney directories, co-counsel pipelines, certification</w:t>
      </w:r>
    </w:p>
    <w:p>
      <w:pPr>
        <w:spacing w:after="0" w:line="480"/>
        <w:ind w:left="720"/>
      </w:pPr>
      <w:r>
        <w:rPr>
          <w:rFonts w:ascii="Times New Roman" w:cs="Times New Roman" w:eastAsia="Times New Roman" w:hAnsi="Times New Roman"/>
          <w:sz w:val="24"/>
          <w:szCs w:val="24"/>
        </w:rPr>
        <w:t xml:space="preserve">•  Working with Unsilenced: 40K+ survivor network, dig teams, AI archive (100K docs, 28 states)</w:t>
      </w:r>
    </w:p>
    <w:p>
      <w:pPr>
        <w:spacing w:after="0" w:line="480"/>
        <w:ind w:left="720"/>
      </w:pPr>
      <w:r>
        <w:rPr>
          <w:rFonts w:ascii="Times New Roman" w:cs="Times New Roman" w:eastAsia="Times New Roman" w:hAnsi="Times New Roman"/>
          <w:sz w:val="24"/>
          <w:szCs w:val="24"/>
        </w:rPr>
        <w:t xml:space="preserve">•  Attorney education: monthly Zooms, CLE presentations, Trial Lawyers College/University</w:t>
      </w:r>
    </w:p>
    <w:p>
      <w:pPr>
        <w:spacing w:after="0" w:line="480"/>
        <w:ind w:left="720"/>
      </w:pPr>
      <w:r>
        <w:rPr>
          <w:rFonts w:ascii="Times New Roman" w:cs="Times New Roman" w:eastAsia="Times New Roman" w:hAnsi="Times New Roman"/>
          <w:sz w:val="24"/>
          <w:szCs w:val="24"/>
        </w:rPr>
        <w:t xml:space="preserve">•  The tobacco analogy: shifting TTI from tolerance to unacceptability</w:t>
      </w:r>
    </w:p>
    <w:p>
      <w:pPr>
        <w:spacing w:after="0" w:line="480"/>
      </w:pPr>
    </w:p>
    <w:p>
      <w:pPr>
        <w:spacing w:after="0" w:before="240" w:line="480"/>
      </w:pPr>
      <w:r>
        <w:rPr>
          <w:rFonts w:ascii="Times New Roman" w:cs="Times New Roman" w:eastAsia="Times New Roman" w:hAnsi="Times New Roman"/>
          <w:b/>
          <w:bCs/>
          <w:sz w:val="24"/>
          <w:szCs w:val="24"/>
        </w:rPr>
        <w:t xml:space="preserve">Chapter 23: The Road Ahead — A Letter to the Practitioner</w:t>
      </w:r>
    </w:p>
    <w:p>
      <w:pPr>
        <w:spacing w:after="0" w:line="480"/>
        <w:ind w:firstLine="720"/>
      </w:pPr>
      <w:r>
        <w:rPr>
          <w:rFonts w:ascii="Times New Roman" w:cs="Times New Roman" w:eastAsia="Times New Roman" w:hAnsi="Times New Roman"/>
          <w:sz w:val="24"/>
          <w:szCs w:val="24"/>
        </w:rPr>
        <w:t xml:space="preserve">The closing chapter. Written as a letter to the lawyer who will take the next TTI case. The cases that are coming. What the survivors need from you. The cost and the calling. The moral argument for dismantling an industry that profits from the coercive control of children. The moment that makes it all worthwhile: when a survivor finally believes it was not their fault. Pick up the phone. Take the case. Do the work. They are waiting for you.</w:t>
      </w:r>
    </w:p>
    <w:p>
      <w:pPr>
        <w:spacing w:after="0" w:line="480"/>
        <w:ind w:left="720"/>
      </w:pPr>
      <w:r>
        <w:rPr>
          <w:rFonts w:ascii="Times New Roman" w:cs="Times New Roman" w:eastAsia="Times New Roman" w:hAnsi="Times New Roman"/>
          <w:sz w:val="24"/>
          <w:szCs w:val="24"/>
        </w:rPr>
        <w:t xml:space="preserve">•  The book's core commitments restated</w:t>
      </w:r>
    </w:p>
    <w:p>
      <w:pPr>
        <w:spacing w:after="0" w:line="480"/>
        <w:ind w:left="720"/>
      </w:pPr>
      <w:r>
        <w:rPr>
          <w:rFonts w:ascii="Times New Roman" w:cs="Times New Roman" w:eastAsia="Times New Roman" w:hAnsi="Times New Roman"/>
          <w:sz w:val="24"/>
          <w:szCs w:val="24"/>
        </w:rPr>
        <w:t xml:space="preserve">•  The cases that are coming: how programs are adapting and why that means the work is having an effect</w:t>
      </w:r>
    </w:p>
    <w:p>
      <w:pPr>
        <w:spacing w:after="0" w:line="480"/>
        <w:ind w:left="720"/>
      </w:pPr>
      <w:r>
        <w:rPr>
          <w:rFonts w:ascii="Times New Roman" w:cs="Times New Roman" w:eastAsia="Times New Roman" w:hAnsi="Times New Roman"/>
          <w:sz w:val="24"/>
          <w:szCs w:val="24"/>
        </w:rPr>
        <w:t xml:space="preserve">•  What survivors need: honesty, transparency, belief, wholeness</w:t>
      </w:r>
    </w:p>
    <w:p>
      <w:pPr>
        <w:spacing w:after="0" w:line="480"/>
        <w:ind w:left="720"/>
      </w:pPr>
      <w:r>
        <w:rPr>
          <w:rFonts w:ascii="Times New Roman" w:cs="Times New Roman" w:eastAsia="Times New Roman" w:hAnsi="Times New Roman"/>
          <w:sz w:val="24"/>
          <w:szCs w:val="24"/>
        </w:rPr>
        <w:t xml:space="preserve">•  The cost: vicarious trauma, compassion fatigue, and sustainability</w:t>
      </w:r>
    </w:p>
    <w:p>
      <w:pPr>
        <w:spacing w:after="0" w:line="480"/>
        <w:ind w:left="720"/>
      </w:pPr>
      <w:r>
        <w:rPr>
          <w:rFonts w:ascii="Times New Roman" w:cs="Times New Roman" w:eastAsia="Times New Roman" w:hAnsi="Times New Roman"/>
          <w:sz w:val="24"/>
          <w:szCs w:val="24"/>
        </w:rPr>
        <w:t xml:space="preserve">•  The moment: when a survivor finally believes it was not their fault</w:t>
      </w:r>
    </w:p>
    <w:p>
      <w:pPr>
        <w:spacing w:after="0" w:line="480"/>
        <w:ind w:left="720"/>
      </w:pPr>
      <w:r>
        <w:rPr>
          <w:rFonts w:ascii="Times New Roman" w:cs="Times New Roman" w:eastAsia="Times New Roman" w:hAnsi="Times New Roman"/>
          <w:sz w:val="24"/>
          <w:szCs w:val="24"/>
        </w:rPr>
        <w:t xml:space="preserve">•  Pick up the phone. Take the case. Do the work. They are waiting for you.</w:t>
      </w:r>
    </w:p>
    <w:p>
      <w:pPr>
        <w:spacing w:after="0" w:line="480"/>
      </w:pPr>
    </w:p>
    <w:p>
      <w:pPr>
        <w:pBdr>
          <w:bottom w:val="single" w:color="999999" w:sz="4" w:space="6"/>
        </w:pBdr>
        <w:spacing w:after="120" w:before="120"/>
        <w:jc w:val="center"/>
      </w:pPr>
    </w:p>
    <w:p>
      <w:pPr>
        <w:spacing w:after="0" w:before="360" w:line="480"/>
        <w:jc w:val="center"/>
      </w:pPr>
      <w:r>
        <w:rPr>
          <w:rFonts w:ascii="Times New Roman" w:cs="Times New Roman" w:eastAsia="Times New Roman" w:hAnsi="Times New Roman"/>
          <w:b/>
          <w:bCs/>
          <w:sz w:val="26"/>
          <w:szCs w:val="26"/>
        </w:rPr>
        <w:t xml:space="preserve">APPENDICES</w:t>
      </w:r>
    </w:p>
    <w:p>
      <w:pPr>
        <w:spacing w:after="0" w:line="480"/>
      </w:pPr>
      <w:r>
        <w:rPr>
          <w:rFonts w:ascii="Times New Roman" w:cs="Times New Roman" w:eastAsia="Times New Roman" w:hAnsi="Times New Roman"/>
          <w:sz w:val="24"/>
          <w:szCs w:val="24"/>
        </w:rPr>
        <w:t xml:space="preserve">Reproducible Tools for TTI Practice</w:t>
      </w:r>
    </w:p>
    <w:p>
      <w:pPr>
        <w:spacing w:after="0" w:line="480"/>
      </w:pPr>
    </w:p>
    <w:p>
      <w:pPr>
        <w:spacing w:after="0" w:before="240" w:line="480"/>
      </w:pPr>
      <w:r>
        <w:rPr>
          <w:rFonts w:ascii="Times New Roman" w:cs="Times New Roman" w:eastAsia="Times New Roman" w:hAnsi="Times New Roman"/>
          <w:b/>
          <w:bCs/>
          <w:sz w:val="24"/>
          <w:szCs w:val="24"/>
        </w:rPr>
        <w:t xml:space="preserve">Appendix A: BITE Model TTI Assessment Checklist</w:t>
      </w:r>
    </w:p>
    <w:p>
      <w:pPr>
        <w:spacing w:after="0" w:line="480"/>
        <w:ind w:firstLine="720"/>
      </w:pPr>
      <w:r>
        <w:rPr>
          <w:rFonts w:ascii="Times New Roman" w:cs="Times New Roman" w:eastAsia="Times New Roman" w:hAnsi="Times New Roman"/>
          <w:sz w:val="24"/>
          <w:szCs w:val="24"/>
        </w:rPr>
        <w:t xml:space="preserve">Scoring checklist for assessing coercive control in TTI programs. Includes TTI-specific manifestations for each BITE category and a scoring rubric with litigation implications.</w:t>
      </w:r>
    </w:p>
    <w:p>
      <w:pPr>
        <w:spacing w:after="0" w:line="480"/>
      </w:pPr>
    </w:p>
    <w:p>
      <w:pPr>
        <w:spacing w:after="0" w:before="240" w:line="480"/>
      </w:pPr>
      <w:r>
        <w:rPr>
          <w:rFonts w:ascii="Times New Roman" w:cs="Times New Roman" w:eastAsia="Times New Roman" w:hAnsi="Times New Roman"/>
          <w:b/>
          <w:bCs/>
          <w:sz w:val="24"/>
          <w:szCs w:val="24"/>
        </w:rPr>
        <w:t xml:space="preserve">Appendix B: Trauma-Informed Intake Protocol for TTI Survivors</w:t>
      </w:r>
    </w:p>
    <w:p>
      <w:pPr>
        <w:spacing w:after="0" w:line="480"/>
        <w:ind w:firstLine="720"/>
      </w:pPr>
      <w:r>
        <w:rPr>
          <w:rFonts w:ascii="Times New Roman" w:cs="Times New Roman" w:eastAsia="Times New Roman" w:hAnsi="Times New Roman"/>
          <w:sz w:val="24"/>
          <w:szCs w:val="24"/>
        </w:rPr>
        <w:t xml:space="preserve">Step-by-step protocol for the initial 90-minute consultation with TTI survivors, adapted for adolescent/young adult presentation and fawn-response dynamics.</w:t>
      </w:r>
    </w:p>
    <w:p>
      <w:pPr>
        <w:spacing w:after="0" w:line="480"/>
      </w:pPr>
    </w:p>
    <w:p>
      <w:pPr>
        <w:spacing w:after="0" w:before="240" w:line="480"/>
      </w:pPr>
      <w:r>
        <w:rPr>
          <w:rFonts w:ascii="Times New Roman" w:cs="Times New Roman" w:eastAsia="Times New Roman" w:hAnsi="Times New Roman"/>
          <w:b/>
          <w:bCs/>
          <w:sz w:val="24"/>
          <w:szCs w:val="24"/>
        </w:rPr>
        <w:t xml:space="preserve">Appendix C: Harms-and-Losses Taxonomy — TTI Edition</w:t>
      </w:r>
    </w:p>
    <w:p>
      <w:pPr>
        <w:spacing w:after="0" w:line="480"/>
        <w:ind w:firstLine="720"/>
      </w:pPr>
      <w:r>
        <w:rPr>
          <w:rFonts w:ascii="Times New Roman" w:cs="Times New Roman" w:eastAsia="Times New Roman" w:hAnsi="Times New Roman"/>
          <w:sz w:val="24"/>
          <w:szCs w:val="24"/>
        </w:rPr>
        <w:t xml:space="preserve">Six-category worksheet mapping developmental theft, relational destruction, identity corruption, loss of autonomy, economic cascade, and physical/somatic harm to evidence sources, expert witnesses, and damages measures.</w:t>
      </w:r>
    </w:p>
    <w:p>
      <w:pPr>
        <w:spacing w:after="0" w:line="480"/>
      </w:pPr>
    </w:p>
    <w:p>
      <w:pPr>
        <w:spacing w:after="0" w:before="240" w:line="480"/>
      </w:pPr>
      <w:r>
        <w:rPr>
          <w:rFonts w:ascii="Times New Roman" w:cs="Times New Roman" w:eastAsia="Times New Roman" w:hAnsi="Times New Roman"/>
          <w:b/>
          <w:bCs/>
          <w:sz w:val="24"/>
          <w:szCs w:val="24"/>
        </w:rPr>
        <w:t xml:space="preserve">Appendix D: Sample Discovery Requests — TTI Cases</w:t>
      </w:r>
    </w:p>
    <w:p>
      <w:pPr>
        <w:spacing w:after="0" w:line="480"/>
        <w:ind w:firstLine="720"/>
      </w:pPr>
      <w:r>
        <w:rPr>
          <w:rFonts w:ascii="Times New Roman" w:cs="Times New Roman" w:eastAsia="Times New Roman" w:hAnsi="Times New Roman"/>
          <w:sz w:val="24"/>
          <w:szCs w:val="24"/>
        </w:rPr>
        <w:t xml:space="preserve">Template interrogatories, requests for production, and requests for admission organized by BITE category for TTI litigation.</w:t>
      </w:r>
    </w:p>
    <w:p>
      <w:pPr>
        <w:spacing w:after="0" w:line="480"/>
      </w:pPr>
    </w:p>
    <w:p>
      <w:pPr>
        <w:spacing w:after="0" w:before="240" w:line="480"/>
      </w:pPr>
      <w:r>
        <w:rPr>
          <w:rFonts w:ascii="Times New Roman" w:cs="Times New Roman" w:eastAsia="Times New Roman" w:hAnsi="Times New Roman"/>
          <w:b/>
          <w:bCs/>
          <w:sz w:val="24"/>
          <w:szCs w:val="24"/>
        </w:rPr>
        <w:t xml:space="preserve">Appendix E: Expert Witness Engagement Framework</w:t>
      </w:r>
    </w:p>
    <w:p>
      <w:pPr>
        <w:spacing w:after="0" w:line="480"/>
        <w:ind w:firstLine="720"/>
      </w:pPr>
      <w:r>
        <w:rPr>
          <w:rFonts w:ascii="Times New Roman" w:cs="Times New Roman" w:eastAsia="Times New Roman" w:hAnsi="Times New Roman"/>
          <w:sz w:val="24"/>
          <w:szCs w:val="24"/>
        </w:rPr>
        <w:t xml:space="preserve">Framework for assembling the TTI expert team with engagement protocol from outreach through report coordination.</w:t>
      </w:r>
    </w:p>
    <w:p>
      <w:pPr>
        <w:spacing w:after="0" w:line="480"/>
      </w:pPr>
    </w:p>
    <w:p>
      <w:pPr>
        <w:spacing w:after="0" w:before="240" w:line="480"/>
      </w:pPr>
      <w:r>
        <w:rPr>
          <w:rFonts w:ascii="Times New Roman" w:cs="Times New Roman" w:eastAsia="Times New Roman" w:hAnsi="Times New Roman"/>
          <w:b/>
          <w:bCs/>
          <w:sz w:val="24"/>
          <w:szCs w:val="24"/>
        </w:rPr>
        <w:t xml:space="preserve">Appendix F: AI Prompt Templates for TTI Trial Preparation</w:t>
      </w:r>
    </w:p>
    <w:p>
      <w:pPr>
        <w:spacing w:after="0" w:line="480"/>
        <w:ind w:firstLine="720"/>
      </w:pPr>
      <w:r>
        <w:rPr>
          <w:rFonts w:ascii="Times New Roman" w:cs="Times New Roman" w:eastAsia="Times New Roman" w:hAnsi="Times New Roman"/>
          <w:sz w:val="24"/>
          <w:szCs w:val="24"/>
        </w:rPr>
        <w:t xml:space="preserve">Ready-to-use prompt templates for deposition digest, expert witness outline, complaint drafting, opening/closing, and emotional buffer.</w:t>
      </w:r>
    </w:p>
    <w:p>
      <w:pPr>
        <w:spacing w:after="0" w:line="480"/>
      </w:pPr>
    </w:p>
    <w:p>
      <w:pPr>
        <w:spacing w:after="0" w:before="240" w:line="480"/>
      </w:pPr>
      <w:r>
        <w:rPr>
          <w:rFonts w:ascii="Times New Roman" w:cs="Times New Roman" w:eastAsia="Times New Roman" w:hAnsi="Times New Roman"/>
          <w:b/>
          <w:bCs/>
          <w:sz w:val="24"/>
          <w:szCs w:val="24"/>
        </w:rPr>
        <w:t xml:space="preserve">Appendix G: TTI Statute of Limitations Quick-Reference</w:t>
      </w:r>
    </w:p>
    <w:p>
      <w:pPr>
        <w:spacing w:after="0" w:line="480"/>
        <w:ind w:firstLine="720"/>
      </w:pPr>
      <w:r>
        <w:rPr>
          <w:rFonts w:ascii="Times New Roman" w:cs="Times New Roman" w:eastAsia="Times New Roman" w:hAnsi="Times New Roman"/>
          <w:sz w:val="24"/>
          <w:szCs w:val="24"/>
        </w:rPr>
        <w:t xml:space="preserve">State-by-state reference for childhood abuse SOLs, tolling doctrines, lookback windows, and recent legislative developments specific to TTI claims.</w:t>
      </w:r>
    </w:p>
    <w:p>
      <w:pPr>
        <w:spacing w:after="0" w:line="480"/>
      </w:pPr>
    </w:p>
    <w:p>
      <w:pPr>
        <w:spacing w:after="0" w:before="240" w:line="480"/>
      </w:pPr>
      <w:r>
        <w:rPr>
          <w:rFonts w:ascii="Times New Roman" w:cs="Times New Roman" w:eastAsia="Times New Roman" w:hAnsi="Times New Roman"/>
          <w:b/>
          <w:bCs/>
          <w:sz w:val="24"/>
          <w:szCs w:val="24"/>
        </w:rPr>
        <w:t xml:space="preserve">Appendix H: Settlement and Resolution Term Checklist</w:t>
      </w:r>
    </w:p>
    <w:p>
      <w:pPr>
        <w:spacing w:after="0" w:line="480"/>
        <w:ind w:firstLine="720"/>
      </w:pPr>
      <w:r>
        <w:rPr>
          <w:rFonts w:ascii="Times New Roman" w:cs="Times New Roman" w:eastAsia="Times New Roman" w:hAnsi="Times New Roman"/>
          <w:sz w:val="24"/>
          <w:szCs w:val="24"/>
        </w:rPr>
        <w:t xml:space="preserve">Comprehensive checklist covering monetary terms, non-monetary terms (program closure, reform, oversight), confidentiality provisions, and release/dismissal terms.</w:t>
      </w:r>
    </w:p>
    <w:p>
      <w:pPr>
        <w:spacing w:after="0" w:line="480"/>
      </w:pPr>
    </w:p>
    <w:p>
      <w:pPr>
        <w:pBdr>
          <w:bottom w:val="single" w:color="999999" w:sz="4" w:space="6"/>
        </w:pBdr>
        <w:spacing w:after="120" w:before="120"/>
        <w:jc w:val="center"/>
      </w:pPr>
    </w:p>
    <w:p>
      <w:pPr>
        <w:spacing w:after="0" w:line="480"/>
      </w:pPr>
    </w:p>
    <w:p>
      <w:pPr>
        <w:spacing w:after="0" w:before="360" w:line="480"/>
        <w:jc w:val="center"/>
      </w:pPr>
      <w:r>
        <w:rPr>
          <w:rFonts w:ascii="Times New Roman" w:cs="Times New Roman" w:eastAsia="Times New Roman" w:hAnsi="Times New Roman"/>
          <w:b/>
          <w:bCs/>
          <w:sz w:val="26"/>
          <w:szCs w:val="26"/>
        </w:rPr>
        <w:t xml:space="preserve">Relationship to the Full Book</w:t>
      </w:r>
    </w:p>
    <w:p>
      <w:pPr>
        <w:spacing w:after="0" w:line="480"/>
      </w:pPr>
    </w:p>
    <w:p>
      <w:pPr>
        <w:spacing w:after="0" w:line="480"/>
        <w:ind w:firstLine="720"/>
      </w:pPr>
      <w:r>
        <w:rPr>
          <w:rFonts w:ascii="Times New Roman" w:cs="Times New Roman" w:eastAsia="Times New Roman" w:hAnsi="Times New Roman"/>
          <w:i/>
          <w:iCs/>
          <w:sz w:val="24"/>
          <w:szCs w:val="24"/>
        </w:rPr>
        <w:t xml:space="preserve">Breaking the System: A Trial Lawyer's Guide to Institutional Abuse</w:t>
      </w:r>
      <w:r>
        <w:rPr>
          <w:rFonts w:ascii="Times New Roman" w:cs="Times New Roman" w:eastAsia="Times New Roman" w:hAnsi="Times New Roman"/>
          <w:sz w:val="24"/>
          <w:szCs w:val="24"/>
        </w:rPr>
        <w:t xml:space="preserve"> (36 chapters, 514 pages) remains the comprehensive reference for institutional abuse litigation across all settings. This TTI edition distills the methodology into a focused, actionable guide for the community that needs it most urgently. Lawyers who expand into other institutional abuse settings—religious organizations, elder care, schools, foster care, workplaces—should consult the full book for cross-institutional strategy, additional cause-of-action frameworks, and setting-specific defense playbooks.</w:t>
      </w:r>
    </w:p>
    <w:p>
      <w:pPr>
        <w:spacing w:after="0" w:line="480"/>
      </w:pPr>
    </w:p>
    <w:p>
      <w:pPr>
        <w:spacing w:after="0" w:line="480"/>
        <w:jc w:val="center"/>
      </w:pPr>
      <w:r>
        <w:rPr>
          <w:rFonts w:ascii="Times New Roman" w:cs="Times New Roman" w:eastAsia="Times New Roman" w:hAnsi="Times New Roman"/>
          <w:sz w:val="24"/>
          <w:szCs w:val="24"/>
        </w:rPr>
        <w:t xml:space="preserve">END OF TTI EDITION OUTLINE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sz w:val="20"/>
        <w:szCs w:val="20"/>
      </w:rPr>
      <w:t xml:space="preserve">Breaking the System: TTI Edition — Outline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2026-05-13T21:00:09.962Z</dcterms:created>
  <dcterms:modified xsi:type="dcterms:W3CDTF">2026-05-13T21:00:09.962Z</dcterms:modified>
</cp:coreProperties>
</file>

<file path=docProps/custom.xml><?xml version="1.0" encoding="utf-8"?>
<Properties xmlns="http://schemas.openxmlformats.org/officeDocument/2006/custom-properties" xmlns:vt="http://schemas.openxmlformats.org/officeDocument/2006/docPropsVTypes"/>
</file>