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18</w:t>
      </w:r>
    </w:p>
    <w:p>
      <w:pPr>
        <w:spacing w:after="0" w:line="480"/>
      </w:pPr>
    </w:p>
    <w:p>
      <w:pPr>
        <w:spacing w:after="0" w:line="480"/>
        <w:jc w:val="center"/>
      </w:pPr>
      <w:r>
        <w:rPr>
          <w:rFonts w:ascii="Times New Roman" w:cs="Times New Roman" w:eastAsia="Times New Roman" w:hAnsi="Times New Roman"/>
          <w:sz w:val="24"/>
          <w:szCs w:val="24"/>
        </w:rPr>
        <w:t xml:space="preserve">Witness Strategy and Preparation</w:t>
      </w:r>
    </w:p>
    <w:p>
      <w:pPr>
        <w:spacing w:after="0" w:line="480"/>
        <w:jc w:val="center"/>
      </w:pPr>
      <w:r>
        <w:rPr>
          <w:rFonts w:ascii="Times New Roman" w:cs="Times New Roman" w:eastAsia="Times New Roman" w:hAnsi="Times New Roman"/>
          <w:i/>
          <w:iCs/>
          <w:color w:val="888888"/>
          <w:sz w:val="18"/>
          <w:szCs w:val="18"/>
        </w:rPr>
        <w:t xml:space="preserve">Polarizing the Case, Sequencing the Story, and Preparing Survivors to Testify</w:t>
      </w:r>
    </w:p>
    <w:p>
      <w:pPr>
        <w:spacing w:after="0" w:line="480"/>
      </w:pPr>
    </w:p>
    <w:p>
      <w:pPr>
        <w:spacing w:after="0" w:line="480"/>
      </w:pPr>
      <w:r>
        <w:rPr>
          <w:rFonts w:ascii="Times New Roman" w:cs="Times New Roman" w:eastAsia="Times New Roman" w:hAnsi="Times New Roman"/>
          <w:sz w:val="24"/>
          <w:szCs w:val="24"/>
        </w:rPr>
        <w:t xml:space="preserve">Your case rises or falls on the witnesses who tell it.</w:t>
      </w:r>
    </w:p>
    <w:p>
      <w:pPr>
        <w:spacing w:after="0" w:line="480"/>
        <w:ind w:firstLine="720"/>
      </w:pPr>
      <w:r>
        <w:rPr>
          <w:rFonts w:ascii="Times New Roman" w:cs="Times New Roman" w:eastAsia="Times New Roman" w:hAnsi="Times New Roman"/>
          <w:sz w:val="24"/>
          <w:szCs w:val="24"/>
        </w:rPr>
        <w:t xml:space="preserve">You can master every legal theory in this book. You can build a flawless entity map, draft discovery requests that expose every policy failure, and construct a damages model that captures the full scope of developmental theft. But none of it matters if your witnesses cannot deliver. The survivor who freezes on the stand. The parent who dissolves into guilt instead of explaining how the program deceived them. The expert who lectures instead of teaches. The former staff member whose credibility evaporates under cross-examination. Every case you lose will be a case where the witnesses failed to connect with the jury—not because the truth was insufficient, but because the presentation of truth was inadequate.</w:t>
      </w:r>
    </w:p>
    <w:p>
      <w:pPr>
        <w:spacing w:after="0" w:line="480"/>
        <w:ind w:firstLine="720"/>
      </w:pPr>
      <w:r>
        <w:rPr>
          <w:rFonts w:ascii="Times New Roman" w:cs="Times New Roman" w:eastAsia="Times New Roman" w:hAnsi="Times New Roman"/>
          <w:sz w:val="24"/>
          <w:szCs w:val="24"/>
        </w:rPr>
        <w:t xml:space="preserve">This chapter addresses the gap between having the right evidence and presenting it through the right people in the right order. It draws on Rick Friedman and Patrick Malone's </w:t>
      </w:r>
      <w:r>
        <w:rPr>
          <w:rFonts w:ascii="Times New Roman" w:cs="Times New Roman" w:eastAsia="Times New Roman" w:hAnsi="Times New Roman"/>
          <w:i/>
          <w:iCs/>
          <w:sz w:val="24"/>
          <w:szCs w:val="24"/>
        </w:rPr>
        <w:t xml:space="preserve">Polarizing the Case</w:t>
      </w:r>
      <w:r>
        <w:rPr>
          <w:rFonts w:ascii="Times New Roman" w:cs="Times New Roman" w:eastAsia="Times New Roman" w:hAnsi="Times New Roman"/>
          <w:sz w:val="24"/>
          <w:szCs w:val="24"/>
        </w:rPr>
        <w:t xml:space="preserve"> methodology for structuring witness presentation around case-defining choices, Jesse Wilson's witness preparation framework for turning raw testimony into compelling narrative, Sari de la Motte's </w:t>
      </w:r>
      <w:r>
        <w:rPr>
          <w:rFonts w:ascii="Times New Roman" w:cs="Times New Roman" w:eastAsia="Times New Roman" w:hAnsi="Times New Roman"/>
          <w:i/>
          <w:iCs/>
          <w:sz w:val="24"/>
          <w:szCs w:val="24"/>
        </w:rPr>
        <w:t xml:space="preserve">From Hostage to Hero</w:t>
      </w:r>
      <w:r>
        <w:rPr>
          <w:rFonts w:ascii="Times New Roman" w:cs="Times New Roman" w:eastAsia="Times New Roman" w:hAnsi="Times New Roman"/>
          <w:sz w:val="24"/>
          <w:szCs w:val="24"/>
        </w:rPr>
        <w:t xml:space="preserve"> principles for the lawyer's own relational presence with the jury, and Donald Miller's StoryBrand framework for sequencing witnesses in a push-pull rhythm that keeps the jury emotionally and analytically engaged. These are not competing systems. They are layers of the same discipline: the discipline of controlling how the jury experiences the truth of your case.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Polarizing the Case in TTI Litigation</w:t>
      </w:r>
    </w:p>
    <w:p>
      <w:pPr>
        <w:spacing w:after="0" w:line="480"/>
      </w:pPr>
    </w:p>
    <w:p>
      <w:pPr>
        <w:spacing w:after="0" w:line="480"/>
      </w:pPr>
      <w:r>
        <w:rPr>
          <w:rFonts w:ascii="Times New Roman" w:cs="Times New Roman" w:eastAsia="Times New Roman" w:hAnsi="Times New Roman"/>
          <w:sz w:val="24"/>
          <w:szCs w:val="24"/>
        </w:rPr>
        <w:t xml:space="preserve">The defendant wants the middle.</w:t>
      </w:r>
    </w:p>
    <w:p>
      <w:pPr>
        <w:spacing w:after="0" w:line="480"/>
        <w:ind w:firstLine="720"/>
      </w:pPr>
      <w:r>
        <w:rPr>
          <w:rFonts w:ascii="Times New Roman" w:cs="Times New Roman" w:eastAsia="Times New Roman" w:hAnsi="Times New Roman"/>
          <w:sz w:val="24"/>
          <w:szCs w:val="24"/>
        </w:rPr>
        <w:t xml:space="preserve">Rick Friedman's central insight in </w:t>
      </w:r>
      <w:r>
        <w:rPr>
          <w:rFonts w:ascii="Times New Roman" w:cs="Times New Roman" w:eastAsia="Times New Roman" w:hAnsi="Times New Roman"/>
          <w:i/>
          <w:iCs/>
          <w:sz w:val="24"/>
          <w:szCs w:val="24"/>
        </w:rPr>
        <w:t xml:space="preserve">Polarizing the Case</w:t>
      </w:r>
      <w:r>
        <w:rPr>
          <w:rFonts w:ascii="Times New Roman" w:cs="Times New Roman" w:eastAsia="Times New Roman" w:hAnsi="Times New Roman"/>
          <w:sz w:val="24"/>
          <w:szCs w:val="24"/>
        </w:rPr>
        <w:t xml:space="preserve"> is deceptively simple: jurors who feel neutral lose cases. The defense wins whenever jurors can look at both sides and say, 'I see good and bad on both sides.' The plaintiff wins when jurors are forced to make a choice—a clear, binary, moral choice between two incompatible versions of what happened and what it means.</w:t>
      </w:r>
    </w:p>
    <w:p>
      <w:pPr>
        <w:spacing w:after="0" w:line="480"/>
        <w:ind w:firstLine="720"/>
      </w:pPr>
      <w:r>
        <w:rPr>
          <w:rFonts w:ascii="Times New Roman" w:cs="Times New Roman" w:eastAsia="Times New Roman" w:hAnsi="Times New Roman"/>
          <w:sz w:val="24"/>
          <w:szCs w:val="24"/>
        </w:rPr>
        <w:t xml:space="preserve">In TTI litigation, the defendant's entire strategy is to occupy the reasonable middle. The program will present itself as imperfect but well-intentioned. Staff were undertrained but caring. Some practices were harsh but necessary. The child was difficult, the parents were desperate, and the program was doing its best in an impossible situation. This narrative is devastatingly effective when it works because it gives jurors permission to sympathize with the plaintiff without holding the defendant accountable. The juror thinks: </w:t>
      </w:r>
      <w:r>
        <w:rPr>
          <w:rFonts w:ascii="Times New Roman" w:cs="Times New Roman" w:eastAsia="Times New Roman" w:hAnsi="Times New Roman"/>
          <w:i/>
          <w:iCs/>
          <w:sz w:val="24"/>
          <w:szCs w:val="24"/>
        </w:rPr>
        <w:t xml:space="preserve">That's terrible what happened, but I can see how it happened. These weren't bad people.</w:t>
      </w:r>
    </w:p>
    <w:p>
      <w:pPr>
        <w:spacing w:after="0" w:line="480"/>
        <w:ind w:firstLine="720"/>
      </w:pPr>
      <w:r>
        <w:rPr>
          <w:rFonts w:ascii="Times New Roman" w:cs="Times New Roman" w:eastAsia="Times New Roman" w:hAnsi="Times New Roman"/>
          <w:sz w:val="24"/>
          <w:szCs w:val="24"/>
        </w:rPr>
        <w:t xml:space="preserve">Polarization destroys the middle. Your witness strategy must force the jury to choose: either the program was operating a legitimate therapeutic environment with appropriate safeguards and genuine concern for the children in its care, or the program was operating a coercive system designed to control children for profit while marketing itself to parents as something it was not. There is no middle. The policies were either therapeutic or they were instruments of control. The isolation was either a clinically indicated intervention or it was punishment. The level system was either a structured behavioral framework or it was a mechanism for manufacturing compliance through deprivation.</w:t>
      </w:r>
    </w:p>
    <w:p>
      <w:pPr>
        <w:spacing w:after="0" w:line="480"/>
        <w:ind w:firstLine="720"/>
      </w:pPr>
      <w:r>
        <w:rPr>
          <w:rFonts w:ascii="Times New Roman" w:cs="Times New Roman" w:eastAsia="Times New Roman" w:hAnsi="Times New Roman"/>
          <w:sz w:val="24"/>
          <w:szCs w:val="24"/>
        </w:rPr>
        <w:t xml:space="preserve">Every witness you call should advance this polarization. Every witness the defense calls should be cross-examined to deepen it. The question is never whether the program made mistakes. The question is whether the program was what it claimed to be. That is the polarizing choice.</w:t>
      </w:r>
    </w:p>
    <w:p>
      <w:pPr>
        <w:spacing w:after="0" w:before="240" w:line="480"/>
      </w:pPr>
      <w:r>
        <w:rPr>
          <w:rFonts w:ascii="Times New Roman" w:cs="Times New Roman" w:eastAsia="Times New Roman" w:hAnsi="Times New Roman"/>
          <w:b/>
          <w:bCs/>
          <w:i/>
          <w:iCs/>
          <w:sz w:val="24"/>
          <w:szCs w:val="24"/>
        </w:rPr>
        <w:t xml:space="preserve">Identifying the Polarizing Frames</w:t>
      </w:r>
    </w:p>
    <w:p>
      <w:pPr>
        <w:spacing w:after="0" w:line="480"/>
        <w:ind w:firstLine="720"/>
      </w:pPr>
      <w:r>
        <w:rPr>
          <w:rFonts w:ascii="Times New Roman" w:cs="Times New Roman" w:eastAsia="Times New Roman" w:hAnsi="Times New Roman"/>
          <w:sz w:val="24"/>
          <w:szCs w:val="24"/>
        </w:rPr>
        <w:t xml:space="preserve">Before you can polarize, you must identify the specific frames around which your case will turn. In TTI litigation, the most common polarizing frames include the following. </w:t>
      </w:r>
      <w:r>
        <w:rPr>
          <w:rFonts w:ascii="Times New Roman" w:cs="Times New Roman" w:eastAsia="Times New Roman" w:hAnsi="Times New Roman"/>
          <w:i/>
          <w:iCs/>
          <w:sz w:val="24"/>
          <w:szCs w:val="24"/>
        </w:rPr>
        <w:t xml:space="preserve">Marketing versus reality</w:t>
      </w:r>
      <w:r>
        <w:rPr>
          <w:rFonts w:ascii="Times New Roman" w:cs="Times New Roman" w:eastAsia="Times New Roman" w:hAnsi="Times New Roman"/>
          <w:sz w:val="24"/>
          <w:szCs w:val="24"/>
        </w:rPr>
        <w:t xml:space="preserve">: Was the program what it told parents it was? This frame turns every piece of marketing material into a weapon—the glossy brochure, the website with smiling teenagers, the intake coordinator's assurances about clinical oversight and individualized treatment plans. Your witnesses establish the reality behind the marketing, and each discrepancy between promise and practice deepens the polarization. </w:t>
      </w:r>
      <w:r>
        <w:rPr>
          <w:rFonts w:ascii="Times New Roman" w:cs="Times New Roman" w:eastAsia="Times New Roman" w:hAnsi="Times New Roman"/>
          <w:i/>
          <w:iCs/>
          <w:sz w:val="24"/>
          <w:szCs w:val="24"/>
        </w:rPr>
        <w:t xml:space="preserve">Therapy versus control</w:t>
      </w:r>
      <w:r>
        <w:rPr>
          <w:rFonts w:ascii="Times New Roman" w:cs="Times New Roman" w:eastAsia="Times New Roman" w:hAnsi="Times New Roman"/>
          <w:sz w:val="24"/>
          <w:szCs w:val="24"/>
        </w:rPr>
        <w:t xml:space="preserve">: Were the program's practices therapeutic interventions or mechanisms of coercive control? This frame makes the BITE model the centerpiece of your case and forces the jury to evaluate every practice—isolation, restraint, level systems, communication restrictions, peer monitoring—through the lens of control rather than care. </w:t>
      </w:r>
      <w:r>
        <w:rPr>
          <w:rFonts w:ascii="Times New Roman" w:cs="Times New Roman" w:eastAsia="Times New Roman" w:hAnsi="Times New Roman"/>
          <w:i/>
          <w:iCs/>
          <w:sz w:val="24"/>
          <w:szCs w:val="24"/>
        </w:rPr>
        <w:t xml:space="preserve">Safety versus profit</w:t>
      </w:r>
      <w:r>
        <w:rPr>
          <w:rFonts w:ascii="Times New Roman" w:cs="Times New Roman" w:eastAsia="Times New Roman" w:hAnsi="Times New Roman"/>
          <w:sz w:val="24"/>
          <w:szCs w:val="24"/>
        </w:rPr>
        <w:t xml:space="preserve">: Did the program prioritize child safety or revenue? This frame is advanced by evidence of understaffing, unqualified staff, ignored incident reports, continued enrollment despite known safety failures, and the financial structure that rewarded keeping beds full over keeping children safe. </w:t>
      </w:r>
      <w:r>
        <w:rPr>
          <w:rFonts w:ascii="Times New Roman" w:cs="Times New Roman" w:eastAsia="Times New Roman" w:hAnsi="Times New Roman"/>
          <w:i/>
          <w:iCs/>
          <w:sz w:val="24"/>
          <w:szCs w:val="24"/>
        </w:rPr>
        <w:t xml:space="preserve">Knowledge versus ignorance</w:t>
      </w:r>
      <w:r>
        <w:rPr>
          <w:rFonts w:ascii="Times New Roman" w:cs="Times New Roman" w:eastAsia="Times New Roman" w:hAnsi="Times New Roman"/>
          <w:sz w:val="24"/>
          <w:szCs w:val="24"/>
        </w:rPr>
        <w:t xml:space="preserve">: Did the program know its practices were harmful, or was it operating in good faith ignorance? This frame uses the program's own records—incident reports, staff complaints, prior lawsuits, regulatory notices, accreditation findings—to demonstrate that the program had knowledge and chose not to act.</w:t>
      </w:r>
    </w:p>
    <w:p>
      <w:pPr>
        <w:spacing w:after="0" w:line="480"/>
        <w:ind w:firstLine="720"/>
      </w:pPr>
      <w:r>
        <w:rPr>
          <w:rFonts w:ascii="Times New Roman" w:cs="Times New Roman" w:eastAsia="Times New Roman" w:hAnsi="Times New Roman"/>
          <w:sz w:val="24"/>
          <w:szCs w:val="24"/>
        </w:rPr>
        <w:t xml:space="preserve">Select two or three frames that your evidence best supports. Every witness in your case should advance at least one of these frames. If a witness does not advance a polarizing frame, ask yourself why you are calling that witness.</w:t>
      </w:r>
    </w:p>
    <w:p>
      <w:pPr>
        <w:spacing w:after="0" w:before="240" w:line="480"/>
      </w:pPr>
      <w:r>
        <w:rPr>
          <w:rFonts w:ascii="Times New Roman" w:cs="Times New Roman" w:eastAsia="Times New Roman" w:hAnsi="Times New Roman"/>
          <w:b/>
          <w:bCs/>
          <w:i/>
          <w:iCs/>
          <w:sz w:val="24"/>
          <w:szCs w:val="24"/>
        </w:rPr>
        <w:t xml:space="preserve">The Polarization Witness Test</w:t>
      </w:r>
    </w:p>
    <w:p>
      <w:pPr>
        <w:spacing w:after="0" w:line="480"/>
        <w:ind w:firstLine="720"/>
      </w:pPr>
      <w:r>
        <w:rPr>
          <w:rFonts w:ascii="Times New Roman" w:cs="Times New Roman" w:eastAsia="Times New Roman" w:hAnsi="Times New Roman"/>
          <w:sz w:val="24"/>
          <w:szCs w:val="24"/>
        </w:rPr>
        <w:t xml:space="preserve">For each witness, ask Friedman's essential question: </w:t>
      </w:r>
      <w:r>
        <w:rPr>
          <w:rFonts w:ascii="Times New Roman" w:cs="Times New Roman" w:eastAsia="Times New Roman" w:hAnsi="Times New Roman"/>
          <w:i/>
          <w:iCs/>
          <w:sz w:val="24"/>
          <w:szCs w:val="24"/>
        </w:rPr>
        <w:t xml:space="preserve">Does this witness help the jury choose, or does this witness help the jury compromise?</w:t>
      </w:r>
      <w:r>
        <w:rPr>
          <w:rFonts w:ascii="Times New Roman" w:cs="Times New Roman" w:eastAsia="Times New Roman" w:hAnsi="Times New Roman"/>
          <w:sz w:val="24"/>
          <w:szCs w:val="24"/>
        </w:rPr>
        <w:t xml:space="preserve"> A witness who helps the jury choose is a polarizing witness. A parent who testifies about the specific representations the program made during enrollment and the specific reality their child experienced is a polarizing witness—the jury cannot hear that testimony without choosing between the program's version and the parent's version. A former staff member who testifies about the gap between training materials and actual practice is a polarizing witness. An expert who explains why specific practices are recognized as harmful and incompatible with any legitimate therapeutic model is a polarizing witness.</w:t>
      </w:r>
    </w:p>
    <w:p>
      <w:pPr>
        <w:spacing w:after="0" w:line="480"/>
        <w:ind w:firstLine="720"/>
      </w:pPr>
      <w:r>
        <w:rPr>
          <w:rFonts w:ascii="Times New Roman" w:cs="Times New Roman" w:eastAsia="Times New Roman" w:hAnsi="Times New Roman"/>
          <w:sz w:val="24"/>
          <w:szCs w:val="24"/>
        </w:rPr>
        <w:t xml:space="preserve">A witness who helps the jury compromise is a neutralizing witness—and you should either restructure their testimony to sharpen the polarization or seriously consider not calling them. The sympathetic but vague character witness who says the survivor is a 'good person' without advancing any polarizing frame is a neutralizing witness. The damages expert who presents numbers without connecting them to the program's choices is a neutralizing witness. The advocate who speaks in generalities about the troubled teen industry without tying the testimony to the specific defendant's specific practices is a neutralizing witness.</w:t>
      </w:r>
    </w:p>
    <w:p>
      <w:pPr>
        <w:spacing w:after="0" w:line="480"/>
        <w:ind w:firstLine="720"/>
      </w:pPr>
      <w:r>
        <w:rPr>
          <w:rFonts w:ascii="Times New Roman" w:cs="Times New Roman" w:eastAsia="Times New Roman" w:hAnsi="Times New Roman"/>
          <w:sz w:val="24"/>
          <w:szCs w:val="24"/>
        </w:rPr>
        <w:t xml:space="preserve">Eliminate neutralizing witnesses. Restructure borderline witnesses. Sharpen polarizing witnesses. This is the first layer of witness strategy.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Push-Pull Witness Sequencing</w:t>
      </w:r>
    </w:p>
    <w:p>
      <w:pPr>
        <w:spacing w:after="0" w:line="480"/>
      </w:pPr>
    </w:p>
    <w:p>
      <w:pPr>
        <w:spacing w:after="0" w:line="480"/>
      </w:pPr>
      <w:r>
        <w:rPr>
          <w:rFonts w:ascii="Times New Roman" w:cs="Times New Roman" w:eastAsia="Times New Roman" w:hAnsi="Times New Roman"/>
          <w:sz w:val="24"/>
          <w:szCs w:val="24"/>
        </w:rPr>
        <w:t xml:space="preserve">The jury cannot sustain a single emotional register for the entire trial.</w:t>
      </w:r>
    </w:p>
    <w:p>
      <w:pPr>
        <w:spacing w:after="0" w:line="480"/>
        <w:ind w:firstLine="720"/>
      </w:pPr>
      <w:r>
        <w:rPr>
          <w:rFonts w:ascii="Times New Roman" w:cs="Times New Roman" w:eastAsia="Times New Roman" w:hAnsi="Times New Roman"/>
          <w:sz w:val="24"/>
          <w:szCs w:val="24"/>
        </w:rPr>
        <w:t xml:space="preserve">If every witness delivers emotional devastation, the jury will shut down. If every witness delivers analytical precision, the jury will disengage. The solution is deliberate alternation—what we call push-pull sequencing. A </w:t>
      </w:r>
      <w:r>
        <w:rPr>
          <w:rFonts w:ascii="Times New Roman" w:cs="Times New Roman" w:eastAsia="Times New Roman" w:hAnsi="Times New Roman"/>
          <w:i/>
          <w:iCs/>
          <w:sz w:val="24"/>
          <w:szCs w:val="24"/>
        </w:rPr>
        <w:t xml:space="preserve">push</w:t>
      </w:r>
      <w:r>
        <w:rPr>
          <w:rFonts w:ascii="Times New Roman" w:cs="Times New Roman" w:eastAsia="Times New Roman" w:hAnsi="Times New Roman"/>
          <w:sz w:val="24"/>
          <w:szCs w:val="24"/>
        </w:rPr>
        <w:t xml:space="preserve"> witness drives the jury toward emotional engagement: the survivor describing isolation, the parent describing the moment they learned what happened, the former staff member describing what they witnessed and why they left. A </w:t>
      </w:r>
      <w:r>
        <w:rPr>
          <w:rFonts w:ascii="Times New Roman" w:cs="Times New Roman" w:eastAsia="Times New Roman" w:hAnsi="Times New Roman"/>
          <w:i/>
          <w:iCs/>
          <w:sz w:val="24"/>
          <w:szCs w:val="24"/>
        </w:rPr>
        <w:t xml:space="preserve">pull</w:t>
      </w:r>
      <w:r>
        <w:rPr>
          <w:rFonts w:ascii="Times New Roman" w:cs="Times New Roman" w:eastAsia="Times New Roman" w:hAnsi="Times New Roman"/>
          <w:sz w:val="24"/>
          <w:szCs w:val="24"/>
        </w:rPr>
        <w:t xml:space="preserve"> witness draws the jury toward analytical understanding: the expert explaining the BITE model, the corporate representative revealing the financial structure, the regulatory witness documenting the oversight failures.</w:t>
      </w:r>
    </w:p>
    <w:p>
      <w:pPr>
        <w:spacing w:after="0" w:line="480"/>
        <w:ind w:firstLine="720"/>
      </w:pPr>
      <w:r>
        <w:rPr>
          <w:rFonts w:ascii="Times New Roman" w:cs="Times New Roman" w:eastAsia="Times New Roman" w:hAnsi="Times New Roman"/>
          <w:sz w:val="24"/>
          <w:szCs w:val="24"/>
        </w:rPr>
        <w:t xml:space="preserve">Push-pull sequencing is not merely about preventing fatigue. It is a narrative architecture that mirrors how human beings naturally process difficult information. Daniel Kahneman's research on System 1 and System 2 thinking explains why: System 1 processes information quickly, emotionally, and intuitively. System 2 processes information slowly, analytically, and deliberately. A jury that hears only System 1 testimony—raw emotion—will feel the injustice but struggle to articulate it in deliberation. A jury that hears only System 2 testimony—expert analysis—will understand the framework but feel nothing that compels action. The push-pull rhythm engages both systems in alternation, giving the jury the emotional experience first and the analytical framework to understand it second.</w:t>
      </w:r>
    </w:p>
    <w:p>
      <w:pPr>
        <w:spacing w:after="0" w:before="240" w:line="480"/>
      </w:pPr>
      <w:r>
        <w:rPr>
          <w:rFonts w:ascii="Times New Roman" w:cs="Times New Roman" w:eastAsia="Times New Roman" w:hAnsi="Times New Roman"/>
          <w:b/>
          <w:bCs/>
          <w:i/>
          <w:iCs/>
          <w:sz w:val="24"/>
          <w:szCs w:val="24"/>
        </w:rPr>
        <w:t xml:space="preserve">Mapping Push-Pull to StoryBrand</w:t>
      </w:r>
    </w:p>
    <w:p>
      <w:pPr>
        <w:spacing w:after="0" w:line="480"/>
        <w:ind w:firstLine="720"/>
      </w:pPr>
      <w:r>
        <w:rPr>
          <w:rFonts w:ascii="Times New Roman" w:cs="Times New Roman" w:eastAsia="Times New Roman" w:hAnsi="Times New Roman"/>
          <w:sz w:val="24"/>
          <w:szCs w:val="24"/>
        </w:rPr>
        <w:t xml:space="preserve">Donald Miller's StoryBrand framework, which we introduced in Chapter 16 as the narrative architecture for your case, provides the structural logic for your push-pull sequencing. In StoryBrand, the hero (the survivor) encounters a problem, meets a guide (you, the trial lawyer), receives a plan, is called to action, and either succeeds or fails. Your witness order should track this arc while alternating between emotional and analytical registers.</w:t>
      </w:r>
    </w:p>
    <w:p>
      <w:pPr>
        <w:spacing w:after="0" w:line="480"/>
        <w:ind w:firstLine="720"/>
      </w:pPr>
      <w:r>
        <w:rPr>
          <w:rFonts w:ascii="Times New Roman" w:cs="Times New Roman" w:eastAsia="Times New Roman" w:hAnsi="Times New Roman"/>
          <w:sz w:val="24"/>
          <w:szCs w:val="24"/>
        </w:rPr>
        <w:t xml:space="preserve">The opening witnesses establish the hero and the problem. Begin with a </w:t>
      </w:r>
      <w:r>
        <w:rPr>
          <w:rFonts w:ascii="Times New Roman" w:cs="Times New Roman" w:eastAsia="Times New Roman" w:hAnsi="Times New Roman"/>
          <w:i/>
          <w:iCs/>
          <w:sz w:val="24"/>
          <w:szCs w:val="24"/>
        </w:rPr>
        <w:t xml:space="preserve">push</w:t>
      </w:r>
      <w:r>
        <w:rPr>
          <w:rFonts w:ascii="Times New Roman" w:cs="Times New Roman" w:eastAsia="Times New Roman" w:hAnsi="Times New Roman"/>
          <w:sz w:val="24"/>
          <w:szCs w:val="24"/>
        </w:rPr>
        <w:t xml:space="preserve"> witness—typically a parent or the survivor themselves—who humanizes the plaintiff and introduces the core harm. This is not the full survivor testimony; it is the prologue. The jury meets the person first, before the system. Follow immediately with a </w:t>
      </w:r>
      <w:r>
        <w:rPr>
          <w:rFonts w:ascii="Times New Roman" w:cs="Times New Roman" w:eastAsia="Times New Roman" w:hAnsi="Times New Roman"/>
          <w:i/>
          <w:iCs/>
          <w:sz w:val="24"/>
          <w:szCs w:val="24"/>
        </w:rPr>
        <w:t xml:space="preserve">pull</w:t>
      </w:r>
      <w:r>
        <w:rPr>
          <w:rFonts w:ascii="Times New Roman" w:cs="Times New Roman" w:eastAsia="Times New Roman" w:hAnsi="Times New Roman"/>
          <w:sz w:val="24"/>
          <w:szCs w:val="24"/>
        </w:rPr>
        <w:t xml:space="preserve"> witness who establishes the analytical framework: the industry expert who explains how TTI programs operate, the BITE model overview, the regulatory landscape. The jury now has the emotional hook and the intellectual framework to understand everything that follows.</w:t>
      </w:r>
    </w:p>
    <w:p>
      <w:pPr>
        <w:spacing w:after="0" w:line="480"/>
        <w:ind w:firstLine="720"/>
      </w:pPr>
      <w:r>
        <w:rPr>
          <w:rFonts w:ascii="Times New Roman" w:cs="Times New Roman" w:eastAsia="Times New Roman" w:hAnsi="Times New Roman"/>
          <w:sz w:val="24"/>
          <w:szCs w:val="24"/>
        </w:rPr>
        <w:t xml:space="preserve">The middle witnesses develop the conflict between the hero and the villain. Alternate between </w:t>
      </w:r>
      <w:r>
        <w:rPr>
          <w:rFonts w:ascii="Times New Roman" w:cs="Times New Roman" w:eastAsia="Times New Roman" w:hAnsi="Times New Roman"/>
          <w:i/>
          <w:iCs/>
          <w:sz w:val="24"/>
          <w:szCs w:val="24"/>
        </w:rPr>
        <w:t xml:space="preserve">push</w:t>
      </w:r>
      <w:r>
        <w:rPr>
          <w:rFonts w:ascii="Times New Roman" w:cs="Times New Roman" w:eastAsia="Times New Roman" w:hAnsi="Times New Roman"/>
          <w:sz w:val="24"/>
          <w:szCs w:val="24"/>
        </w:rPr>
        <w:t xml:space="preserve"> witnesses who deepen the emotional understanding of specific harms—the survivor describing isolation, a former peer describing the level system, a family member describing the changes they observed—and </w:t>
      </w:r>
      <w:r>
        <w:rPr>
          <w:rFonts w:ascii="Times New Roman" w:cs="Times New Roman" w:eastAsia="Times New Roman" w:hAnsi="Times New Roman"/>
          <w:i/>
          <w:iCs/>
          <w:sz w:val="24"/>
          <w:szCs w:val="24"/>
        </w:rPr>
        <w:t xml:space="preserve">pull</w:t>
      </w:r>
      <w:r>
        <w:rPr>
          <w:rFonts w:ascii="Times New Roman" w:cs="Times New Roman" w:eastAsia="Times New Roman" w:hAnsi="Times New Roman"/>
          <w:sz w:val="24"/>
          <w:szCs w:val="24"/>
        </w:rPr>
        <w:t xml:space="preserve"> witnesses who expose the system behind the harm—the corporate representative whose deposition reveals financial priorities, the records custodian whose documents show pattern and practice, the expert who explains why each practice was harmful and why the program knew or should have known.</w:t>
      </w:r>
    </w:p>
    <w:p>
      <w:pPr>
        <w:spacing w:after="0" w:line="480"/>
        <w:ind w:firstLine="720"/>
      </w:pPr>
      <w:r>
        <w:rPr>
          <w:rFonts w:ascii="Times New Roman" w:cs="Times New Roman" w:eastAsia="Times New Roman" w:hAnsi="Times New Roman"/>
          <w:sz w:val="24"/>
          <w:szCs w:val="24"/>
        </w:rPr>
        <w:t xml:space="preserve">The closing witnesses deliver resolution. Your damages expert (</w:t>
      </w:r>
      <w:r>
        <w:rPr>
          <w:rFonts w:ascii="Times New Roman" w:cs="Times New Roman" w:eastAsia="Times New Roman" w:hAnsi="Times New Roman"/>
          <w:i/>
          <w:iCs/>
          <w:sz w:val="24"/>
          <w:szCs w:val="24"/>
        </w:rPr>
        <w:t xml:space="preserve">pull</w:t>
      </w:r>
      <w:r>
        <w:rPr>
          <w:rFonts w:ascii="Times New Roman" w:cs="Times New Roman" w:eastAsia="Times New Roman" w:hAnsi="Times New Roman"/>
          <w:sz w:val="24"/>
          <w:szCs w:val="24"/>
        </w:rPr>
        <w:t xml:space="preserve">) quantifies the harm. Your final survivor testimony (</w:t>
      </w:r>
      <w:r>
        <w:rPr>
          <w:rFonts w:ascii="Times New Roman" w:cs="Times New Roman" w:eastAsia="Times New Roman" w:hAnsi="Times New Roman"/>
          <w:i/>
          <w:iCs/>
          <w:sz w:val="24"/>
          <w:szCs w:val="24"/>
        </w:rPr>
        <w:t xml:space="preserve">push</w:t>
      </w:r>
      <w:r>
        <w:rPr>
          <w:rFonts w:ascii="Times New Roman" w:cs="Times New Roman" w:eastAsia="Times New Roman" w:hAnsi="Times New Roman"/>
          <w:sz w:val="24"/>
          <w:szCs w:val="24"/>
        </w:rPr>
        <w:t xml:space="preserve">) connects the quantified harm to the lived experience. And your strongest polarizing witness—the one whose testimony most powerfully forces the jury to choose—should be among your last three witnesses. The jury should walk into closing argument having just heard testimony that makes the choice unavoidable.</w:t>
      </w:r>
    </w:p>
    <w:p>
      <w:pPr>
        <w:spacing w:after="0" w:before="240" w:line="480"/>
      </w:pPr>
      <w:r>
        <w:rPr>
          <w:rFonts w:ascii="Times New Roman" w:cs="Times New Roman" w:eastAsia="Times New Roman" w:hAnsi="Times New Roman"/>
          <w:b/>
          <w:bCs/>
          <w:i/>
          <w:iCs/>
          <w:sz w:val="24"/>
          <w:szCs w:val="24"/>
        </w:rPr>
        <w:t xml:space="preserve">The Sequence Template</w:t>
      </w:r>
    </w:p>
    <w:p>
      <w:pPr>
        <w:spacing w:after="0" w:line="480"/>
        <w:ind w:firstLine="720"/>
      </w:pPr>
      <w:r>
        <w:rPr>
          <w:rFonts w:ascii="Times New Roman" w:cs="Times New Roman" w:eastAsia="Times New Roman" w:hAnsi="Times New Roman"/>
          <w:sz w:val="24"/>
          <w:szCs w:val="24"/>
        </w:rPr>
        <w:t xml:space="preserve">While every case requires its own sequence, the following template provides a starting framework for TTI litigation. </w:t>
      </w:r>
      <w:r>
        <w:rPr>
          <w:rFonts w:ascii="Times New Roman" w:cs="Times New Roman" w:eastAsia="Times New Roman" w:hAnsi="Times New Roman"/>
          <w:b/>
          <w:bCs/>
          <w:sz w:val="24"/>
          <w:szCs w:val="24"/>
        </w:rPr>
        <w:t xml:space="preserve">Opening block</w:t>
      </w:r>
      <w:r>
        <w:rPr>
          <w:rFonts w:ascii="Times New Roman" w:cs="Times New Roman" w:eastAsia="Times New Roman" w:hAnsi="Times New Roman"/>
          <w:sz w:val="24"/>
          <w:szCs w:val="24"/>
        </w:rPr>
        <w:t xml:space="preserve"> (push-pull-push): Survivor or parent introduction (push), industry or BITE model expert (pull), second survivor or parent witness elaborating on specific representations and expectations (push). </w:t>
      </w:r>
      <w:r>
        <w:rPr>
          <w:rFonts w:ascii="Times New Roman" w:cs="Times New Roman" w:eastAsia="Times New Roman" w:hAnsi="Times New Roman"/>
          <w:b/>
          <w:bCs/>
          <w:sz w:val="24"/>
          <w:szCs w:val="24"/>
        </w:rPr>
        <w:t xml:space="preserve">Development block</w:t>
      </w:r>
      <w:r>
        <w:rPr>
          <w:rFonts w:ascii="Times New Roman" w:cs="Times New Roman" w:eastAsia="Times New Roman" w:hAnsi="Times New Roman"/>
          <w:sz w:val="24"/>
          <w:szCs w:val="24"/>
        </w:rPr>
        <w:t xml:space="preserve"> (pull-push-pull-push): Corporate witness or records custodian exposing program structure (pull), former staff member describing conditions (push), regulatory or standards-of-care expert (pull), peer survivor or corroborating witness (push). </w:t>
      </w:r>
      <w:r>
        <w:rPr>
          <w:rFonts w:ascii="Times New Roman" w:cs="Times New Roman" w:eastAsia="Times New Roman" w:hAnsi="Times New Roman"/>
          <w:b/>
          <w:bCs/>
          <w:sz w:val="24"/>
          <w:szCs w:val="24"/>
        </w:rPr>
        <w:t xml:space="preserve">Damages block</w:t>
      </w:r>
      <w:r>
        <w:rPr>
          <w:rFonts w:ascii="Times New Roman" w:cs="Times New Roman" w:eastAsia="Times New Roman" w:hAnsi="Times New Roman"/>
          <w:sz w:val="24"/>
          <w:szCs w:val="24"/>
        </w:rPr>
        <w:t xml:space="preserve"> (pull-push): Damages expert or treating clinician quantifying harm (pull), survivor's final testimony connecting clinical assessment to lived experience (push). </w:t>
      </w:r>
      <w:r>
        <w:rPr>
          <w:rFonts w:ascii="Times New Roman" w:cs="Times New Roman" w:eastAsia="Times New Roman" w:hAnsi="Times New Roman"/>
          <w:b/>
          <w:bCs/>
          <w:sz w:val="24"/>
          <w:szCs w:val="24"/>
        </w:rPr>
        <w:t xml:space="preserve">Closing block</w:t>
      </w:r>
      <w:r>
        <w:rPr>
          <w:rFonts w:ascii="Times New Roman" w:cs="Times New Roman" w:eastAsia="Times New Roman" w:hAnsi="Times New Roman"/>
          <w:sz w:val="24"/>
          <w:szCs w:val="24"/>
        </w:rPr>
        <w:t xml:space="preserve"> (push or pull, depending on case): Strongest polarizing witness last.</w:t>
      </w:r>
    </w:p>
    <w:p>
      <w:pPr>
        <w:spacing w:after="0" w:line="480"/>
        <w:ind w:firstLine="720"/>
      </w:pPr>
      <w:r>
        <w:rPr>
          <w:rFonts w:ascii="Times New Roman" w:cs="Times New Roman" w:eastAsia="Times New Roman" w:hAnsi="Times New Roman"/>
          <w:sz w:val="24"/>
          <w:szCs w:val="24"/>
        </w:rPr>
        <w:t xml:space="preserve">This template assumes a seven-to-twelve witness case. For shorter cases, compress the development block. For longer cases, maintain the alternating rhythm but never allow more than two consecutive witnesses of the same register.</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Preparing Survivors to Testify</w:t>
      </w:r>
    </w:p>
    <w:p>
      <w:pPr>
        <w:spacing w:after="0" w:line="480"/>
      </w:pPr>
    </w:p>
    <w:p>
      <w:pPr>
        <w:spacing w:after="0" w:line="480"/>
      </w:pPr>
      <w:r>
        <w:rPr>
          <w:rFonts w:ascii="Times New Roman" w:cs="Times New Roman" w:eastAsia="Times New Roman" w:hAnsi="Times New Roman"/>
          <w:sz w:val="24"/>
          <w:szCs w:val="24"/>
        </w:rPr>
        <w:t xml:space="preserve">Witness preparation in TTI cases is fundamentally different from witness preparation in any other practice area.</w:t>
      </w:r>
    </w:p>
    <w:p>
      <w:pPr>
        <w:spacing w:after="0" w:line="480"/>
        <w:ind w:firstLine="720"/>
      </w:pPr>
      <w:r>
        <w:rPr>
          <w:rFonts w:ascii="Times New Roman" w:cs="Times New Roman" w:eastAsia="Times New Roman" w:hAnsi="Times New Roman"/>
          <w:sz w:val="24"/>
          <w:szCs w:val="24"/>
        </w:rPr>
        <w:t xml:space="preserve">The witness you are preparing was harmed by a system that controlled their communication, punished their honesty, and taught them that their perceptions were unreliable. The very skills that a conventional witness preparation session tries to develop—confidence, directness, emotional regulation, the ability to maintain composure under hostile questioning—are skills that the TTI program systematically destroyed. When you tell a TTI survivor to 'just tell the truth,' you are asking them to do something that the program spent months or years teaching them was dangerous. When you tell them to 'stay calm under cross,' you are asking them to suppress the hypervigilance that their nervous system developed to survive. When you tell them to 'look at the jury,' you are asking them to seek connection from authority figures in a setting that resembles the very power dynamic that harmed them.</w:t>
      </w:r>
    </w:p>
    <w:p>
      <w:pPr>
        <w:spacing w:after="0" w:line="480"/>
        <w:ind w:firstLine="720"/>
      </w:pPr>
      <w:r>
        <w:rPr>
          <w:rFonts w:ascii="Times New Roman" w:cs="Times New Roman" w:eastAsia="Times New Roman" w:hAnsi="Times New Roman"/>
          <w:sz w:val="24"/>
          <w:szCs w:val="24"/>
        </w:rPr>
        <w:t xml:space="preserve">Jesse Wilson's framework in </w:t>
      </w:r>
      <w:r>
        <w:rPr>
          <w:rFonts w:ascii="Times New Roman" w:cs="Times New Roman" w:eastAsia="Times New Roman" w:hAnsi="Times New Roman"/>
          <w:i/>
          <w:iCs/>
          <w:sz w:val="24"/>
          <w:szCs w:val="24"/>
        </w:rPr>
        <w:t xml:space="preserve">Witness Preparation</w:t>
      </w:r>
      <w:r>
        <w:rPr>
          <w:rFonts w:ascii="Times New Roman" w:cs="Times New Roman" w:eastAsia="Times New Roman" w:hAnsi="Times New Roman"/>
          <w:sz w:val="24"/>
          <w:szCs w:val="24"/>
        </w:rPr>
        <w:t xml:space="preserve"> provides the foundation, but it must be adapted for the trauma context. Wilson's core insight is that preparation is not about coaching testimony—it is about helping the witness find their own story and learn to tell it in a way that is both truthful and effective. The lawyer's job is not to put words in the witness's mouth but to help the witness discover which of their own words are most powerful and how to organize them into a narrative that a jury can follow.</w:t>
      </w:r>
    </w:p>
    <w:p>
      <w:pPr>
        <w:spacing w:after="0" w:before="240" w:line="480"/>
      </w:pPr>
      <w:r>
        <w:rPr>
          <w:rFonts w:ascii="Times New Roman" w:cs="Times New Roman" w:eastAsia="Times New Roman" w:hAnsi="Times New Roman"/>
          <w:b/>
          <w:bCs/>
          <w:i/>
          <w:iCs/>
          <w:sz w:val="24"/>
          <w:szCs w:val="24"/>
        </w:rPr>
        <w:t xml:space="preserve">The Five Principles of Trauma-Informed Witness Preparation</w:t>
      </w:r>
    </w:p>
    <w:p>
      <w:pPr>
        <w:spacing w:after="0" w:line="480"/>
        <w:ind w:firstLine="720"/>
      </w:pPr>
      <w:r>
        <w:rPr>
          <w:rFonts w:ascii="Times New Roman" w:cs="Times New Roman" w:eastAsia="Times New Roman" w:hAnsi="Times New Roman"/>
          <w:b/>
          <w:bCs/>
          <w:sz w:val="24"/>
          <w:szCs w:val="24"/>
        </w:rPr>
        <w:t xml:space="preserve">First, preparation must be gradual and consensual.</w:t>
      </w:r>
      <w:r>
        <w:rPr>
          <w:rFonts w:ascii="Times New Roman" w:cs="Times New Roman" w:eastAsia="Times New Roman" w:hAnsi="Times New Roman"/>
          <w:sz w:val="24"/>
          <w:szCs w:val="24"/>
        </w:rPr>
        <w:t xml:space="preserve"> You cannot prepare a TTI survivor in a single marathon session. The process should begin weeks before trial, starting with low-pressure conversations about what they remember and how they feel about testifying. Let the survivor set the pace. If they need to stop, stop. If they need to reschedule, reschedule. Every moment of the preparation process should demonstrate the opposite of what the program taught them: that their boundaries will be respected, that their voice matters, and that they are in control of their own participation.</w:t>
      </w:r>
    </w:p>
    <w:p>
      <w:pPr>
        <w:spacing w:after="0" w:line="480"/>
        <w:ind w:firstLine="720"/>
      </w:pPr>
      <w:r>
        <w:rPr>
          <w:rFonts w:ascii="Times New Roman" w:cs="Times New Roman" w:eastAsia="Times New Roman" w:hAnsi="Times New Roman"/>
          <w:b/>
          <w:bCs/>
          <w:sz w:val="24"/>
          <w:szCs w:val="24"/>
        </w:rPr>
        <w:t xml:space="preserve">Second, teach the survivor to expect—and survive—the defense strategy.</w:t>
      </w:r>
      <w:r>
        <w:rPr>
          <w:rFonts w:ascii="Times New Roman" w:cs="Times New Roman" w:eastAsia="Times New Roman" w:hAnsi="Times New Roman"/>
          <w:sz w:val="24"/>
          <w:szCs w:val="24"/>
        </w:rPr>
        <w:t xml:space="preserve"> The most devastating moment for a TTI survivor on the stand is not a difficult question about what happened. It is the defense attorney's attempt to reactivate the program's control dynamics. The defense will question the survivor's memory ('Isn't it possible you're misremembering?'—echoing the program's gaslighting). The defense will question the survivor's motives ('You're doing this for money, aren't you?'—echoing the program's dismissal of complaints). The defense will attempt to reframe the survivor's experience ('Isn't it true that the program was trying to help you?'—echoing the program's self-justification). Prepare the survivor by naming these tactics explicitly. When the defense questions your memory, that is the same thing the program did. When the defense questions your motives, that is the same thing the program did. Recognizing the pattern gives the survivor power over it.</w:t>
      </w:r>
    </w:p>
    <w:p>
      <w:pPr>
        <w:spacing w:after="0" w:line="480"/>
        <w:ind w:firstLine="720"/>
      </w:pPr>
      <w:r>
        <w:rPr>
          <w:rFonts w:ascii="Times New Roman" w:cs="Times New Roman" w:eastAsia="Times New Roman" w:hAnsi="Times New Roman"/>
          <w:b/>
          <w:bCs/>
          <w:sz w:val="24"/>
          <w:szCs w:val="24"/>
        </w:rPr>
        <w:t xml:space="preserve">Third, work with the survivor's trauma responses, not against them.</w:t>
      </w:r>
      <w:r>
        <w:rPr>
          <w:rFonts w:ascii="Times New Roman" w:cs="Times New Roman" w:eastAsia="Times New Roman" w:hAnsi="Times New Roman"/>
          <w:sz w:val="24"/>
          <w:szCs w:val="24"/>
        </w:rPr>
        <w:t xml:space="preserve"> Some survivors will dissociate on the stand. Some will become hyper-emotional. Some will present as flat and disconnected. All of these are normal trauma responses, and all of them can be effective testimony if the jury understands what they are seeing. Prepare your expert to explain trauma responses to the jury </w:t>
      </w:r>
      <w:r>
        <w:rPr>
          <w:rFonts w:ascii="Times New Roman" w:cs="Times New Roman" w:eastAsia="Times New Roman" w:hAnsi="Times New Roman"/>
          <w:i/>
          <w:iCs/>
          <w:sz w:val="24"/>
          <w:szCs w:val="24"/>
        </w:rPr>
        <w:t xml:space="preserve">before</w:t>
      </w:r>
      <w:r>
        <w:rPr>
          <w:rFonts w:ascii="Times New Roman" w:cs="Times New Roman" w:eastAsia="Times New Roman" w:hAnsi="Times New Roman"/>
          <w:sz w:val="24"/>
          <w:szCs w:val="24"/>
        </w:rPr>
        <w:t xml:space="preserve"> the survivor testifies. When the jury understands that the survivor's flat affect is a dissociative response rather than indifference, flatness becomes evidence of harm rather than evidence of fabrication. When the jury understands that emotional flooding is a trauma response rather than drama, tears become credible rather than manipulative.</w:t>
      </w:r>
    </w:p>
    <w:p>
      <w:pPr>
        <w:spacing w:after="0" w:line="480"/>
        <w:ind w:firstLine="720"/>
      </w:pPr>
      <w:r>
        <w:rPr>
          <w:rFonts w:ascii="Times New Roman" w:cs="Times New Roman" w:eastAsia="Times New Roman" w:hAnsi="Times New Roman"/>
          <w:b/>
          <w:bCs/>
          <w:sz w:val="24"/>
          <w:szCs w:val="24"/>
        </w:rPr>
        <w:t xml:space="preserve">Fourth, anchor testimony in sensory detail rather than chronological narrative.</w:t>
      </w:r>
      <w:r>
        <w:rPr>
          <w:rFonts w:ascii="Times New Roman" w:cs="Times New Roman" w:eastAsia="Times New Roman" w:hAnsi="Times New Roman"/>
          <w:sz w:val="24"/>
          <w:szCs w:val="24"/>
        </w:rPr>
        <w:t xml:space="preserve"> Trauma memories are stored differently than ordinary memories. They are fragmentary, sensory, and nonlinear. Asking a TTI survivor to tell their story in strict chronological order often produces confusion, self-contradiction, and visible distress—all of which the defense will exploit. Instead, prepare the survivor to testify through anchored moments: the specific sensory details of specific incidents. What did the room look like? What did you hear? What did it smell like? What were you wearing? Sensory anchoring grounds the testimony in lived experience and produces the kind of concrete, visceral detail that jurors remember and believe.</w:t>
      </w:r>
    </w:p>
    <w:p>
      <w:pPr>
        <w:spacing w:after="0" w:line="480"/>
        <w:ind w:firstLine="720"/>
      </w:pPr>
      <w:r>
        <w:rPr>
          <w:rFonts w:ascii="Times New Roman" w:cs="Times New Roman" w:eastAsia="Times New Roman" w:hAnsi="Times New Roman"/>
          <w:b/>
          <w:bCs/>
          <w:sz w:val="24"/>
          <w:szCs w:val="24"/>
        </w:rPr>
        <w:t xml:space="preserve">Fifth, give the survivor agency in their own testimony.</w:t>
      </w:r>
      <w:r>
        <w:rPr>
          <w:rFonts w:ascii="Times New Roman" w:cs="Times New Roman" w:eastAsia="Times New Roman" w:hAnsi="Times New Roman"/>
          <w:sz w:val="24"/>
          <w:szCs w:val="24"/>
        </w:rPr>
        <w:t xml:space="preserve"> Let the survivor choose which incidents to emphasize. Let them know they can say 'I need a moment' on the stand. Let them know they can ask for a question to be repeated. Let them know that they do not have to be perfect—that authenticity is more powerful than polish. The goal of preparation is not a scripted performance. The goal is a survivor who walks into the courtroom knowing that they have something important to say, that they know how to say it, and that the courtroom is a place where they will finally be heard.</w:t>
      </w:r>
    </w:p>
    <w:p>
      <w:pPr>
        <w:spacing w:after="0" w:before="240" w:line="480"/>
      </w:pPr>
      <w:r>
        <w:rPr>
          <w:rFonts w:ascii="Times New Roman" w:cs="Times New Roman" w:eastAsia="Times New Roman" w:hAnsi="Times New Roman"/>
          <w:b/>
          <w:bCs/>
          <w:i/>
          <w:iCs/>
          <w:sz w:val="24"/>
          <w:szCs w:val="24"/>
        </w:rPr>
        <w:t xml:space="preserve">Preparing for Cross-Examination</w:t>
      </w:r>
    </w:p>
    <w:p>
      <w:pPr>
        <w:spacing w:after="0" w:line="480"/>
        <w:ind w:firstLine="720"/>
      </w:pPr>
      <w:r>
        <w:rPr>
          <w:rFonts w:ascii="Times New Roman" w:cs="Times New Roman" w:eastAsia="Times New Roman" w:hAnsi="Times New Roman"/>
          <w:sz w:val="24"/>
          <w:szCs w:val="24"/>
        </w:rPr>
        <w:t xml:space="preserve">Cross-examination preparation for TTI survivors requires special attention to three dynamics. First, the survivor must understand that the defense attorney is not the program. This sounds obvious, but for survivors whose nervous systems are wired to interpret authority-figure hostility as existential threat, it is not obvious at all. Role-play cross-examination extensively. Let the survivor practice receiving hostile questions in a safe environment until the questions lose their power to trigger program-conditioned responses.</w:t>
      </w:r>
    </w:p>
    <w:p>
      <w:pPr>
        <w:spacing w:after="0" w:line="480"/>
        <w:ind w:firstLine="720"/>
      </w:pPr>
      <w:r>
        <w:rPr>
          <w:rFonts w:ascii="Times New Roman" w:cs="Times New Roman" w:eastAsia="Times New Roman" w:hAnsi="Times New Roman"/>
          <w:sz w:val="24"/>
          <w:szCs w:val="24"/>
        </w:rPr>
        <w:t xml:space="preserve">Second, prepare for the 'grateful survivor' narrative. The defense will almost certainly present evidence that some participants benefited from the program, that the survivor's family was in crisis, and that the program's intentions were therapeutic. Prepare the survivor to acknowledge these realities without conceding the defense's frame. The response is not 'nothing good ever happened'—which is rarely credible. The response is: 'Some activities were fine. That does not make the isolation, the restraints, the communication restrictions, and the level system therapeutic. A prison with a nice library is still a prison.'</w:t>
      </w:r>
    </w:p>
    <w:p>
      <w:pPr>
        <w:spacing w:after="0" w:line="480"/>
        <w:ind w:firstLine="720"/>
      </w:pPr>
      <w:r>
        <w:rPr>
          <w:rFonts w:ascii="Times New Roman" w:cs="Times New Roman" w:eastAsia="Times New Roman" w:hAnsi="Times New Roman"/>
          <w:sz w:val="24"/>
          <w:szCs w:val="24"/>
        </w:rPr>
        <w:t xml:space="preserve">Third, prepare for impeachment with the survivor's own prior statements. Programs frequently require participants to write 'gratitude letters,' 'accountability essays,' or 'treatment summaries' that the defense will use to impeach the survivor's trial testimony. Prepare the survivor to explain these documents in context: 'I wrote that letter because the program required me to write it as a condition of advancing to the next level. I was told that I could not call my parents until I completed it. It does not reflect what I actually felt or experienced—it reflects what I needed to say to survive.'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Parents as Witnesses: The Fraud They Experienced</w:t>
      </w:r>
    </w:p>
    <w:p>
      <w:pPr>
        <w:spacing w:after="0" w:line="480"/>
      </w:pPr>
    </w:p>
    <w:p>
      <w:pPr>
        <w:spacing w:after="0" w:line="480"/>
      </w:pPr>
      <w:r>
        <w:rPr>
          <w:rFonts w:ascii="Times New Roman" w:cs="Times New Roman" w:eastAsia="Times New Roman" w:hAnsi="Times New Roman"/>
          <w:sz w:val="24"/>
          <w:szCs w:val="24"/>
        </w:rPr>
        <w:t xml:space="preserve">Parents are not just corroborating witnesses. They are victims of a separate fraud.</w:t>
      </w:r>
    </w:p>
    <w:p>
      <w:pPr>
        <w:spacing w:after="0" w:line="480"/>
        <w:ind w:firstLine="720"/>
      </w:pPr>
      <w:r>
        <w:rPr>
          <w:rFonts w:ascii="Times New Roman" w:cs="Times New Roman" w:eastAsia="Times New Roman" w:hAnsi="Times New Roman"/>
          <w:sz w:val="24"/>
          <w:szCs w:val="24"/>
        </w:rPr>
        <w:t xml:space="preserve">This is one of the most underutilized strategies in TTI litigation. The program did not only harm the child. The program deceived the parent. The intake coordinator made specific representations about clinical staffing, safety protocols, therapeutic modalities, family involvement, and outcomes. The marketing materials presented a specific image of the program. The parent relied on those representations in making the decision to enroll their child—a decision that the parent will carry as guilt for the rest of their life.</w:t>
      </w:r>
    </w:p>
    <w:p>
      <w:pPr>
        <w:spacing w:after="0" w:line="480"/>
        <w:ind w:firstLine="720"/>
      </w:pPr>
      <w:r>
        <w:rPr>
          <w:rFonts w:ascii="Times New Roman" w:cs="Times New Roman" w:eastAsia="Times New Roman" w:hAnsi="Times New Roman"/>
          <w:sz w:val="24"/>
          <w:szCs w:val="24"/>
        </w:rPr>
        <w:t xml:space="preserve">The parent's testimony serves three distinct functions. First, it establishes the </w:t>
      </w:r>
      <w:r>
        <w:rPr>
          <w:rFonts w:ascii="Times New Roman" w:cs="Times New Roman" w:eastAsia="Times New Roman" w:hAnsi="Times New Roman"/>
          <w:i/>
          <w:iCs/>
          <w:sz w:val="24"/>
          <w:szCs w:val="24"/>
        </w:rPr>
        <w:t xml:space="preserve">marketing-versus-reality</w:t>
      </w:r>
      <w:r>
        <w:rPr>
          <w:rFonts w:ascii="Times New Roman" w:cs="Times New Roman" w:eastAsia="Times New Roman" w:hAnsi="Times New Roman"/>
          <w:sz w:val="24"/>
          <w:szCs w:val="24"/>
        </w:rPr>
        <w:t xml:space="preserve"> polarizing frame. The parent testifies about what they were told, what they were shown, what they were promised. The survivor testifies about what actually happened. The gap between the two is the fraud—and it is devastating. Second, the parent humanizes the family. The jury sees a parent who was desperate, who sought help, who trusted a program that presented itself as the answer, and who was betrayed by that trust. This neutralizes the defense's implicit argument that the parent is to blame for sending the child to the program in the first place. Third, the parent's testimony provides an independent basis for liability. Misrepresentation, fraud, consumer protection violations, and negligent misrepresentation claims can be brought by the parent as a separate party or as part of the survivor's case.</w:t>
      </w:r>
    </w:p>
    <w:p>
      <w:pPr>
        <w:spacing w:after="0" w:line="480"/>
        <w:ind w:firstLine="720"/>
      </w:pPr>
      <w:r>
        <w:rPr>
          <w:rFonts w:ascii="Times New Roman" w:cs="Times New Roman" w:eastAsia="Times New Roman" w:hAnsi="Times New Roman"/>
          <w:sz w:val="24"/>
          <w:szCs w:val="24"/>
        </w:rPr>
        <w:t xml:space="preserve">The insurance implications are significant. Many TTI programs carry policies with exclusions for intentional abuse. If the only theory is that the program intentionally harmed the child, the abuse exclusion may eliminate coverage. But fraud on the parent—misrepresentation of the program's nature, qualifications, and safety—is a separate wrong that may fall outside the abuse exclusion. The parent was not abused; the parent was defrauded. Reframing a portion of the case as misrepresentation to the parent can trigger coverage that would otherwise be unavailable under intentional-abuse exclusions.</w:t>
      </w:r>
    </w:p>
    <w:p>
      <w:pPr>
        <w:spacing w:after="0" w:line="480"/>
        <w:ind w:firstLine="720"/>
      </w:pPr>
      <w:r>
        <w:rPr>
          <w:rFonts w:ascii="Times New Roman" w:cs="Times New Roman" w:eastAsia="Times New Roman" w:hAnsi="Times New Roman"/>
          <w:sz w:val="24"/>
          <w:szCs w:val="24"/>
        </w:rPr>
        <w:t xml:space="preserve">Prepare parents with the same trauma-informed principles you apply to survivors, but recognize that the parent's trauma is different. The parent's central wound is guilt—the knowledge that they made the decision that put their child in harm's way. Defense counsel will exploit this guilt relentlessly. Prepare the parent to testify about the representations that induced the decision without drowning in self-blame. The response to the defense's implicit accusation is: 'I trusted this program because they told me it was safe, because they told me the staff were qualified, because they showed me a facility that looked therapeutic. Every parent in that jury box would have done the same thing if they had been told what I was told.'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Lawyer in the Room: Presence, Not Performance</w:t>
      </w:r>
    </w:p>
    <w:p>
      <w:pPr>
        <w:spacing w:after="0" w:line="480"/>
      </w:pPr>
    </w:p>
    <w:p>
      <w:pPr>
        <w:spacing w:after="0" w:line="480"/>
      </w:pPr>
      <w:r>
        <w:rPr>
          <w:rFonts w:ascii="Times New Roman" w:cs="Times New Roman" w:eastAsia="Times New Roman" w:hAnsi="Times New Roman"/>
          <w:sz w:val="24"/>
          <w:szCs w:val="24"/>
        </w:rPr>
        <w:t xml:space="preserve">Before the jury decides whether to believe your witnesses, they decide whether to trust you.</w:t>
      </w:r>
    </w:p>
    <w:p>
      <w:pPr>
        <w:spacing w:after="0" w:line="480"/>
        <w:ind w:firstLine="720"/>
      </w:pPr>
      <w:r>
        <w:rPr>
          <w:rFonts w:ascii="Times New Roman" w:cs="Times New Roman" w:eastAsia="Times New Roman" w:hAnsi="Times New Roman"/>
          <w:sz w:val="24"/>
          <w:szCs w:val="24"/>
        </w:rPr>
        <w:t xml:space="preserve">Sari de la Motte's </w:t>
      </w:r>
      <w:r>
        <w:rPr>
          <w:rFonts w:ascii="Times New Roman" w:cs="Times New Roman" w:eastAsia="Times New Roman" w:hAnsi="Times New Roman"/>
          <w:i/>
          <w:iCs/>
          <w:sz w:val="24"/>
          <w:szCs w:val="24"/>
        </w:rPr>
        <w:t xml:space="preserve">From Hostage to Hero</w:t>
      </w:r>
      <w:r>
        <w:rPr>
          <w:rFonts w:ascii="Times New Roman" w:cs="Times New Roman" w:eastAsia="Times New Roman" w:hAnsi="Times New Roman"/>
          <w:sz w:val="24"/>
          <w:szCs w:val="24"/>
        </w:rPr>
        <w:t xml:space="preserve"> identifies a dynamic that most trial advocacy books ignore: the relational field between the lawyer and the jury. Most lawyers operate as hostages in the courtroom—performing for the jury's approval, seeking validation, adjusting their behavior based on perceived jury reactions. This is the same dynamic that drives a first date, a job interview, or a sales pitch. The problem is that juries can feel it. They sense the performance, and performance triggers suspicion.</w:t>
      </w:r>
    </w:p>
    <w:p>
      <w:pPr>
        <w:spacing w:after="0" w:line="480"/>
        <w:ind w:firstLine="720"/>
      </w:pPr>
      <w:r>
        <w:rPr>
          <w:rFonts w:ascii="Times New Roman" w:cs="Times New Roman" w:eastAsia="Times New Roman" w:hAnsi="Times New Roman"/>
          <w:sz w:val="24"/>
          <w:szCs w:val="24"/>
        </w:rPr>
        <w:t xml:space="preserve">The alternative is presence. De la Motte's framework asks the lawyer to shift from 'How is the jury receiving me?' to 'What does this jury need from me right now?' The hostage lawyer watches the jury for approval. The hero lawyer watches the jury for understanding. The hostage lawyer adjusts their presentation to get a reaction. The hero lawyer adjusts their presentation to serve the jury's comprehension. The distinction is subtle but transformative, and it is especially critical in TTI cases where the subject matter is inherently uncomfortable.</w:t>
      </w:r>
    </w:p>
    <w:p>
      <w:pPr>
        <w:spacing w:after="0" w:line="480"/>
        <w:ind w:firstLine="720"/>
      </w:pPr>
      <w:r>
        <w:rPr>
          <w:rFonts w:ascii="Times New Roman" w:cs="Times New Roman" w:eastAsia="Times New Roman" w:hAnsi="Times New Roman"/>
          <w:sz w:val="24"/>
          <w:szCs w:val="24"/>
        </w:rPr>
        <w:t xml:space="preserve">In TTI litigation, the jury needs three things from you. First, they need permission to feel. The subject matter—child abuse in the guise of treatment—provokes discomfort, defensiveness, and a powerful desire to look away. If the lawyer is uncomfortable, the jury will be uncomfortable. If the lawyer is present and grounded, the jury has permission to engage with material they would otherwise resist. Second, they need a guide they trust. The StoryBrand framework positions you as the guide, but the jury's trust in the guide is not established by what you say—it is established by how you hold the room. A lawyer who is visibly performing—gesturing for effect, modulating their voice for drama, telegraphing emotional reactions—signals that this is a show. A lawyer who is grounded, still, and genuinely present signals that this is real. Third, they need protection from manipulation. In cases involving child abuse, jurors are hypervigilant about being manipulated. They are watching for the lawyer who is trying to make them cry, trying to make them angry, trying to use emotion as a weapon. Presence—not performance—is the antidote to this suspicion.</w:t>
      </w:r>
    </w:p>
    <w:p>
      <w:pPr>
        <w:spacing w:after="0" w:before="240" w:line="480"/>
      </w:pPr>
      <w:r>
        <w:rPr>
          <w:rFonts w:ascii="Times New Roman" w:cs="Times New Roman" w:eastAsia="Times New Roman" w:hAnsi="Times New Roman"/>
          <w:b/>
          <w:bCs/>
          <w:i/>
          <w:iCs/>
          <w:sz w:val="24"/>
          <w:szCs w:val="24"/>
        </w:rPr>
        <w:t xml:space="preserve">Presence During Witness Examination</w:t>
      </w:r>
    </w:p>
    <w:p>
      <w:pPr>
        <w:spacing w:after="0" w:line="480"/>
        <w:ind w:firstLine="720"/>
      </w:pPr>
      <w:r>
        <w:rPr>
          <w:rFonts w:ascii="Times New Roman" w:cs="Times New Roman" w:eastAsia="Times New Roman" w:hAnsi="Times New Roman"/>
          <w:sz w:val="24"/>
          <w:szCs w:val="24"/>
        </w:rPr>
        <w:t xml:space="preserve">Your physical relationship to the witness during examination communicates more than your questions. When examining a survivor, position yourself so the jury can see both you and the witness. Your body language should communicate safety—open posture, steady eye contact with the witness, unhurried pacing. When the witness struggles, do not rush to rescue them. Hold the silence. Let the jury see the struggle. Let the witness find their way. The silence is testimony.</w:t>
      </w:r>
    </w:p>
    <w:p>
      <w:pPr>
        <w:spacing w:after="0" w:line="480"/>
        <w:ind w:firstLine="720"/>
      </w:pPr>
      <w:r>
        <w:rPr>
          <w:rFonts w:ascii="Times New Roman" w:cs="Times New Roman" w:eastAsia="Times New Roman" w:hAnsi="Times New Roman"/>
          <w:sz w:val="24"/>
          <w:szCs w:val="24"/>
        </w:rPr>
        <w:t xml:space="preserve">During cross-examination of defense witnesses, presence means controlled stillness. The hostage lawyer attacks the witness—raising their voice, pointing, displaying incredulity. This is performance, and it often generates sympathy for the witness. The present lawyer asks questions in the same steady register they used during direct examination. They do not telegraph that a damaging answer is coming. They do not react when it arrives. They simply move to the next question. The jury watches the lawyer's non-reaction and draws their own conclusion. Restraint is more powerful than theatrics.</w:t>
      </w:r>
    </w:p>
    <w:p>
      <w:pPr>
        <w:spacing w:after="0" w:line="480"/>
        <w:ind w:firstLine="720"/>
      </w:pPr>
      <w:r>
        <w:rPr>
          <w:rFonts w:ascii="Times New Roman" w:cs="Times New Roman" w:eastAsia="Times New Roman" w:hAnsi="Times New Roman"/>
          <w:sz w:val="24"/>
          <w:szCs w:val="24"/>
        </w:rPr>
        <w:t xml:space="preserve">During opposing counsel's examination of your witnesses, presence means visible support without interference. You are not performing outrage at every objectionable question. You are protecting your witness when protection is required and allowing your witness to demonstrate their credibility when it is not. The jury should see a lawyer who trusts their own witnesses—because trust is contagious.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Special Witness Categories in TTI Cases</w:t>
      </w:r>
    </w:p>
    <w:p>
      <w:pPr>
        <w:spacing w:after="0" w:line="480"/>
      </w:pPr>
    </w:p>
    <w:p>
      <w:pPr>
        <w:spacing w:after="0" w:before="240" w:line="480"/>
      </w:pPr>
      <w:r>
        <w:rPr>
          <w:rFonts w:ascii="Times New Roman" w:cs="Times New Roman" w:eastAsia="Times New Roman" w:hAnsi="Times New Roman"/>
          <w:b/>
          <w:bCs/>
          <w:i/>
          <w:iCs/>
          <w:sz w:val="24"/>
          <w:szCs w:val="24"/>
        </w:rPr>
        <w:t xml:space="preserve">Former Staff Members</w:t>
      </w:r>
    </w:p>
    <w:p>
      <w:pPr>
        <w:spacing w:after="0" w:line="480"/>
        <w:ind w:firstLine="720"/>
      </w:pPr>
      <w:r>
        <w:rPr>
          <w:rFonts w:ascii="Times New Roman" w:cs="Times New Roman" w:eastAsia="Times New Roman" w:hAnsi="Times New Roman"/>
          <w:sz w:val="24"/>
          <w:szCs w:val="24"/>
        </w:rPr>
        <w:t xml:space="preserve">Former staff members who left programs because of what they witnessed are among your most powerful witnesses, but they present unique preparation challenges. They carry their own guilt—they participated in the system, even if they eventually rejected it. They fear retaliation—the TTI industry is a small world, and speaking against a former employer can have professional consequences. And they often struggle with the moral complexity of their position—they may have genuinely believed in the program's mission while participating in practices they now recognize as harmful.</w:t>
      </w:r>
    </w:p>
    <w:p>
      <w:pPr>
        <w:spacing w:after="0" w:line="480"/>
        <w:ind w:firstLine="720"/>
      </w:pPr>
      <w:r>
        <w:rPr>
          <w:rFonts w:ascii="Times New Roman" w:cs="Times New Roman" w:eastAsia="Times New Roman" w:hAnsi="Times New Roman"/>
          <w:sz w:val="24"/>
          <w:szCs w:val="24"/>
        </w:rPr>
        <w:t xml:space="preserve">Prepare former staff by helping them articulate the gap between what they were trained to do, what they were told they were doing, and what they actually observed. The most powerful former staff testimony follows this arc: 'I was told this practice was therapeutic. I was trained to implement it this way. When I saw what it actually did to the children, I realized that what I was doing was not therapy. And when I raised concerns, I was told to stop asking questions.' This testimony is devastating because it advances the polarizing frame from inside the system—it is not an outsider's critique but an insider's confession.</w:t>
      </w:r>
    </w:p>
    <w:p>
      <w:pPr>
        <w:spacing w:after="0" w:before="240" w:line="480"/>
      </w:pPr>
      <w:r>
        <w:rPr>
          <w:rFonts w:ascii="Times New Roman" w:cs="Times New Roman" w:eastAsia="Times New Roman" w:hAnsi="Times New Roman"/>
          <w:b/>
          <w:bCs/>
          <w:i/>
          <w:iCs/>
          <w:sz w:val="24"/>
          <w:szCs w:val="24"/>
        </w:rPr>
        <w:t xml:space="preserve">The Corporate Representative</w:t>
      </w:r>
    </w:p>
    <w:p>
      <w:pPr>
        <w:spacing w:after="0" w:line="480"/>
        <w:ind w:firstLine="720"/>
      </w:pPr>
      <w:r>
        <w:rPr>
          <w:rFonts w:ascii="Times New Roman" w:cs="Times New Roman" w:eastAsia="Times New Roman" w:hAnsi="Times New Roman"/>
          <w:sz w:val="24"/>
          <w:szCs w:val="24"/>
        </w:rPr>
        <w:t xml:space="preserve">The 30(b)(6) corporate representative, whose deposition we discussed in Chapter 12, is often your strongest </w:t>
      </w:r>
      <w:r>
        <w:rPr>
          <w:rFonts w:ascii="Times New Roman" w:cs="Times New Roman" w:eastAsia="Times New Roman" w:hAnsi="Times New Roman"/>
          <w:i/>
          <w:iCs/>
          <w:sz w:val="24"/>
          <w:szCs w:val="24"/>
        </w:rPr>
        <w:t xml:space="preserve">pull</w:t>
      </w:r>
      <w:r>
        <w:rPr>
          <w:rFonts w:ascii="Times New Roman" w:cs="Times New Roman" w:eastAsia="Times New Roman" w:hAnsi="Times New Roman"/>
          <w:sz w:val="24"/>
          <w:szCs w:val="24"/>
        </w:rPr>
        <w:t xml:space="preserve"> witness. Their testimony is analytical, document-driven, and systematically devastating. The corporate representative reveals the financial structure, the staffing decisions, the policy choices, and the knowledge that the corporate entity possessed. In push-pull sequencing, the corporate representative should be placed between emotional witnesses to give the jury the analytical framework for understanding what they have just felt.</w:t>
      </w:r>
    </w:p>
    <w:p>
      <w:pPr>
        <w:spacing w:after="0" w:line="480"/>
        <w:ind w:firstLine="720"/>
      </w:pPr>
      <w:r>
        <w:rPr>
          <w:rFonts w:ascii="Times New Roman" w:cs="Times New Roman" w:eastAsia="Times New Roman" w:hAnsi="Times New Roman"/>
          <w:sz w:val="24"/>
          <w:szCs w:val="24"/>
        </w:rPr>
        <w:t xml:space="preserve">Present the corporate deposition testimony through video whenever possible. Let the jury see the corporate representative struggle to explain policies that are indefensible. Let them see the pauses, the evasions, the moments when the witness realizes that the answer they have been instructed to give does not survive contact with the documentary evidence. Video deposition testimony is inherently a </w:t>
      </w:r>
      <w:r>
        <w:rPr>
          <w:rFonts w:ascii="Times New Roman" w:cs="Times New Roman" w:eastAsia="Times New Roman" w:hAnsi="Times New Roman"/>
          <w:i/>
          <w:iCs/>
          <w:sz w:val="24"/>
          <w:szCs w:val="24"/>
        </w:rPr>
        <w:t xml:space="preserve">pull</w:t>
      </w:r>
      <w:r>
        <w:rPr>
          <w:rFonts w:ascii="Times New Roman" w:cs="Times New Roman" w:eastAsia="Times New Roman" w:hAnsi="Times New Roman"/>
          <w:sz w:val="24"/>
          <w:szCs w:val="24"/>
        </w:rPr>
        <w:t xml:space="preserve"> presentation—the jury watches and analyzes rather than feels—but it polarizes by exposing the gap between the corporation's narrative and its records.</w:t>
      </w:r>
    </w:p>
    <w:p>
      <w:pPr>
        <w:spacing w:after="0" w:before="240" w:line="480"/>
      </w:pPr>
      <w:r>
        <w:rPr>
          <w:rFonts w:ascii="Times New Roman" w:cs="Times New Roman" w:eastAsia="Times New Roman" w:hAnsi="Times New Roman"/>
          <w:b/>
          <w:bCs/>
          <w:i/>
          <w:iCs/>
          <w:sz w:val="24"/>
          <w:szCs w:val="24"/>
        </w:rPr>
        <w:t xml:space="preserve">Expert Witnesses</w:t>
      </w:r>
    </w:p>
    <w:p>
      <w:pPr>
        <w:spacing w:after="0" w:line="480"/>
        <w:ind w:firstLine="720"/>
      </w:pPr>
      <w:r>
        <w:rPr>
          <w:rFonts w:ascii="Times New Roman" w:cs="Times New Roman" w:eastAsia="Times New Roman" w:hAnsi="Times New Roman"/>
          <w:sz w:val="24"/>
          <w:szCs w:val="24"/>
        </w:rPr>
        <w:t xml:space="preserve">Expert witnesses in TTI cases serve a specific function in the push-pull sequence: they translate emotional experience into analytical framework. The BITE model expert explains why the practices the survivor described constitute coercive control. The trauma expert explains why the survivor's symptoms are consistent with the harm alleged. The damages expert quantifies what was lost. The standard-of-care expert establishes what the program should have done.</w:t>
      </w:r>
    </w:p>
    <w:p>
      <w:pPr>
        <w:spacing w:after="0" w:line="480"/>
        <w:ind w:firstLine="720"/>
      </w:pPr>
      <w:r>
        <w:rPr>
          <w:rFonts w:ascii="Times New Roman" w:cs="Times New Roman" w:eastAsia="Times New Roman" w:hAnsi="Times New Roman"/>
          <w:sz w:val="24"/>
          <w:szCs w:val="24"/>
        </w:rPr>
        <w:t xml:space="preserve">The danger with expert witnesses is over-reliance on credentialism and under-investment in narrative. An expert who lectures the jury—reciting qualifications, citing studies, displaying PowerPoint slides—is performing expertise rather than serving the jury's understanding. Prepare your experts the same way you prepare your lay witnesses: find the story within the expertise. The BITE model expert should not lecture about coercive control theory. They should tell the jury: 'What this child experienced has a name. It has a pattern. And it is not therapy.' The damages expert should not recite lifetime cost calculations. They should tell the jury: 'This is what was taken. This is what it costs to get some of it back. And this is what can never be recovered.'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Leveraging Survivor Networks for Witness Development</w:t>
      </w:r>
    </w:p>
    <w:p>
      <w:pPr>
        <w:spacing w:after="0" w:line="480"/>
      </w:pPr>
    </w:p>
    <w:p>
      <w:pPr>
        <w:spacing w:after="0" w:line="480"/>
      </w:pPr>
      <w:r>
        <w:rPr>
          <w:rFonts w:ascii="Times New Roman" w:cs="Times New Roman" w:eastAsia="Times New Roman" w:hAnsi="Times New Roman"/>
          <w:sz w:val="24"/>
          <w:szCs w:val="24"/>
        </w:rPr>
        <w:t xml:space="preserve">You are not building your witness list alone.</w:t>
      </w:r>
    </w:p>
    <w:p>
      <w:pPr>
        <w:spacing w:after="0" w:line="480"/>
        <w:ind w:firstLine="720"/>
      </w:pPr>
      <w:r>
        <w:rPr>
          <w:rFonts w:ascii="Times New Roman" w:cs="Times New Roman" w:eastAsia="Times New Roman" w:hAnsi="Times New Roman"/>
          <w:sz w:val="24"/>
          <w:szCs w:val="24"/>
        </w:rPr>
        <w:t xml:space="preserve">Organizations like Unsilenced maintain networks of over forty thousand survivors who have experienced TTI programs across the country. These networks serve as a critical resource for witness development in ways that individual practitioners cannot replicate. Through survey-driven pattern detection, survivor organizations can identify former participants of the specific program you are litigating against, locate former staff members who left the program and may be willing to testify, identify patterns across multiple programs operated by the same corporate entity, and connect you with survivors whose experiences corroborate your client's account.</w:t>
      </w:r>
    </w:p>
    <w:p>
      <w:pPr>
        <w:spacing w:after="0" w:line="480"/>
        <w:ind w:firstLine="720"/>
      </w:pPr>
      <w:r>
        <w:rPr>
          <w:rFonts w:ascii="Times New Roman" w:cs="Times New Roman" w:eastAsia="Times New Roman" w:hAnsi="Times New Roman"/>
          <w:sz w:val="24"/>
          <w:szCs w:val="24"/>
        </w:rPr>
        <w:t xml:space="preserve">The ethical framework for leveraging survivor networks is straightforward. The survivor organization identifies potential witnesses through its own outreach—surveys, support groups, public advocacy events—and provides opt-in respondents with information about how to contact attorneys. The attorney does not direct the organization's outreach, does not pay for witness identification, and does not access the organization's survey data without proper consent and ethical clearance. What the attorney does is make themselves available to the network and provide the organization with enough case-specific information to identify relevant contacts.</w:t>
      </w:r>
    </w:p>
    <w:p>
      <w:pPr>
        <w:spacing w:after="0" w:line="480"/>
        <w:ind w:firstLine="720"/>
      </w:pPr>
      <w:r>
        <w:rPr>
          <w:rFonts w:ascii="Times New Roman" w:cs="Times New Roman" w:eastAsia="Times New Roman" w:hAnsi="Times New Roman"/>
          <w:sz w:val="24"/>
          <w:szCs w:val="24"/>
        </w:rPr>
        <w:t xml:space="preserve">Volunteer dig teams—trained investigators who submit public records requests, track corporate filings, and build facility timelines—can accelerate your investigation in ways that traditional investigative methods cannot match. These teams often obtain records that law firms have been denied, because public records requests from advocacy organizations are processed differently than requests from attorneys involved in litigation. The centralized archives these teams build—mapping ownership structures, licensing histories, regulatory actions, and staff employment records across multiple states—become an infrastructure resource that benefits every attorney in the network.</w:t>
      </w:r>
    </w:p>
    <w:p>
      <w:pPr>
        <w:spacing w:after="0" w:line="480"/>
        <w:ind w:firstLine="720"/>
      </w:pPr>
      <w:r>
        <w:rPr>
          <w:rFonts w:ascii="Times New Roman" w:cs="Times New Roman" w:eastAsia="Times New Roman" w:hAnsi="Times New Roman"/>
          <w:sz w:val="24"/>
          <w:szCs w:val="24"/>
        </w:rPr>
        <w:t xml:space="preserve">Co-counsel pipelines through these organizations connect you with attorneys in other jurisdictions who are litigating against the same corporate entities, enabling coordinated discovery strategies, shared expert witnesses, and the kind of multi-front litigation pressure that forces systemic change rather than individual settlement. The attorney directory and referral workflow described in Chapter 23 provides the practical mechanism for these connections.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Practitioner's Toolkit</w:t>
      </w:r>
    </w:p>
    <w:p>
      <w:pPr>
        <w:spacing w:after="0" w:line="480"/>
      </w:pPr>
    </w:p>
    <w:p>
      <w:pPr>
        <w:spacing w:after="0" w:before="240" w:line="480"/>
      </w:pPr>
      <w:r>
        <w:rPr>
          <w:rFonts w:ascii="Times New Roman" w:cs="Times New Roman" w:eastAsia="Times New Roman" w:hAnsi="Times New Roman"/>
          <w:b/>
          <w:bCs/>
          <w:i/>
          <w:iCs/>
          <w:sz w:val="24"/>
          <w:szCs w:val="24"/>
        </w:rPr>
        <w:t xml:space="preserve">Polarization Audit Checklist</w:t>
      </w:r>
    </w:p>
    <w:p>
      <w:pPr>
        <w:spacing w:after="0" w:line="480"/>
      </w:pPr>
      <w:r>
        <w:rPr>
          <w:rFonts w:ascii="Times New Roman" w:cs="Times New Roman" w:eastAsia="Times New Roman" w:hAnsi="Times New Roman"/>
          <w:sz w:val="24"/>
          <w:szCs w:val="24"/>
        </w:rPr>
        <w:t xml:space="preserve">For each witness on your list, answer the following:</w:t>
      </w:r>
    </w:p>
    <w:p>
      <w:pPr>
        <w:spacing w:after="0" w:line="480"/>
        <w:ind w:firstLine="720"/>
      </w:pPr>
      <w:r>
        <w:rPr>
          <w:rFonts w:ascii="Times New Roman" w:cs="Times New Roman" w:eastAsia="Times New Roman" w:hAnsi="Times New Roman"/>
          <w:sz w:val="24"/>
          <w:szCs w:val="24"/>
        </w:rPr>
        <w:t xml:space="preserve">Does this witness advance at least one polarizing frame? Which frame: marketing versus reality, therapy versus control, safety versus profit, or knowledge versus ignorance? Does this witness force the jury to choose, or does this witness allow the jury to compromise? Is this witness a push witness (emotional engagement) or a pull witness (analytical understanding)? What is the single most important thing the jury should learn from this witness? What is the defense's most likely attack on this witness's credibility, and how have you prepared for it?</w:t>
      </w:r>
    </w:p>
    <w:p>
      <w:pPr>
        <w:spacing w:after="0" w:line="480"/>
        <w:ind w:firstLine="720"/>
      </w:pPr>
      <w:r>
        <w:rPr>
          <w:rFonts w:ascii="Times New Roman" w:cs="Times New Roman" w:eastAsia="Times New Roman" w:hAnsi="Times New Roman"/>
          <w:sz w:val="24"/>
          <w:szCs w:val="24"/>
        </w:rPr>
        <w:t xml:space="preserve">If you cannot answer all six questions for a witness, you are not ready to call that witness. If the answers reveal a neutralizing witness, restructure their testimony or remove them from your list.</w:t>
      </w:r>
    </w:p>
    <w:p>
      <w:pPr>
        <w:spacing w:after="0" w:before="240" w:line="480"/>
      </w:pPr>
      <w:r>
        <w:rPr>
          <w:rFonts w:ascii="Times New Roman" w:cs="Times New Roman" w:eastAsia="Times New Roman" w:hAnsi="Times New Roman"/>
          <w:b/>
          <w:bCs/>
          <w:i/>
          <w:iCs/>
          <w:sz w:val="24"/>
          <w:szCs w:val="24"/>
        </w:rPr>
        <w:t xml:space="preserve">Push-Pull Sequence Planning Worksheet</w:t>
      </w:r>
    </w:p>
    <w:p>
      <w:pPr>
        <w:spacing w:after="0" w:line="480"/>
      </w:pPr>
      <w:r>
        <w:rPr>
          <w:rFonts w:ascii="Times New Roman" w:cs="Times New Roman" w:eastAsia="Times New Roman" w:hAnsi="Times New Roman"/>
          <w:sz w:val="24"/>
          <w:szCs w:val="24"/>
        </w:rPr>
        <w:t xml:space="preserve">Map your witnesses to the following template:</w:t>
      </w:r>
    </w:p>
    <w:p>
      <w:pPr>
        <w:spacing w:after="0" w:line="480"/>
        <w:ind w:firstLine="720"/>
      </w:pPr>
      <w:r>
        <w:rPr>
          <w:rFonts w:ascii="Times New Roman" w:cs="Times New Roman" w:eastAsia="Times New Roman" w:hAnsi="Times New Roman"/>
          <w:b/>
          <w:bCs/>
          <w:sz w:val="24"/>
          <w:szCs w:val="24"/>
        </w:rPr>
        <w:t xml:space="preserve">Opening block.</w:t>
      </w:r>
      <w:r>
        <w:rPr>
          <w:rFonts w:ascii="Times New Roman" w:cs="Times New Roman" w:eastAsia="Times New Roman" w:hAnsi="Times New Roman"/>
          <w:sz w:val="24"/>
          <w:szCs w:val="24"/>
        </w:rPr>
        <w:t xml:space="preserve"> Witness 1 (push/pull): name, purpose, polarizing frame. Witness 2 (opposite register): name, purpose, polarizing frame. Witness 3 (push): name, purpose, polarizing frame. Emotional-analytical check: Does the sequence alternate? Does the opening establish both the human story and the analytical framework?</w:t>
      </w:r>
    </w:p>
    <w:p>
      <w:pPr>
        <w:spacing w:after="0" w:line="480"/>
        <w:ind w:firstLine="720"/>
      </w:pPr>
      <w:r>
        <w:rPr>
          <w:rFonts w:ascii="Times New Roman" w:cs="Times New Roman" w:eastAsia="Times New Roman" w:hAnsi="Times New Roman"/>
          <w:b/>
          <w:bCs/>
          <w:sz w:val="24"/>
          <w:szCs w:val="24"/>
        </w:rPr>
        <w:t xml:space="preserve">Development block.</w:t>
      </w:r>
      <w:r>
        <w:rPr>
          <w:rFonts w:ascii="Times New Roman" w:cs="Times New Roman" w:eastAsia="Times New Roman" w:hAnsi="Times New Roman"/>
          <w:sz w:val="24"/>
          <w:szCs w:val="24"/>
        </w:rPr>
        <w:t xml:space="preserve"> Witnesses 4 through N: For each witness, identify register (push or pull), polarizing frame advanced, relationship to preceding witness (what does this witness build on?), and relationship to following witness (what does this witness set up?). Flag any sequence of three or more consecutive witnesses in the same register—restructure to maintain alternation.</w:t>
      </w:r>
    </w:p>
    <w:p>
      <w:pPr>
        <w:spacing w:after="0" w:line="480"/>
        <w:ind w:firstLine="720"/>
      </w:pPr>
      <w:r>
        <w:rPr>
          <w:rFonts w:ascii="Times New Roman" w:cs="Times New Roman" w:eastAsia="Times New Roman" w:hAnsi="Times New Roman"/>
          <w:b/>
          <w:bCs/>
          <w:sz w:val="24"/>
          <w:szCs w:val="24"/>
        </w:rPr>
        <w:t xml:space="preserve">Closing block.</w:t>
      </w:r>
      <w:r>
        <w:rPr>
          <w:rFonts w:ascii="Times New Roman" w:cs="Times New Roman" w:eastAsia="Times New Roman" w:hAnsi="Times New Roman"/>
          <w:sz w:val="24"/>
          <w:szCs w:val="24"/>
        </w:rPr>
        <w:t xml:space="preserve"> Final two to three witnesses: Identify your strongest polarizing witness. Does this witness appear in the final three? Does the sequence end on the register you want the jury to carry into closing—emotional urgency for a damages-heavy case, analytical certainty for a liability-contested case?</w:t>
      </w:r>
    </w:p>
    <w:p>
      <w:pPr>
        <w:spacing w:after="0" w:before="240" w:line="480"/>
      </w:pPr>
      <w:r>
        <w:rPr>
          <w:rFonts w:ascii="Times New Roman" w:cs="Times New Roman" w:eastAsia="Times New Roman" w:hAnsi="Times New Roman"/>
          <w:b/>
          <w:bCs/>
          <w:i/>
          <w:iCs/>
          <w:sz w:val="24"/>
          <w:szCs w:val="24"/>
        </w:rPr>
        <w:t xml:space="preserve">Trauma-Informed Witness Preparation Protocol</w:t>
      </w:r>
    </w:p>
    <w:p>
      <w:pPr>
        <w:spacing w:after="0" w:line="480"/>
      </w:pPr>
      <w:r>
        <w:rPr>
          <w:rFonts w:ascii="Times New Roman" w:cs="Times New Roman" w:eastAsia="Times New Roman" w:hAnsi="Times New Roman"/>
          <w:sz w:val="24"/>
          <w:szCs w:val="24"/>
        </w:rPr>
        <w:t xml:space="preserve">Apply these steps for every survivor and parent witness:</w:t>
      </w:r>
    </w:p>
    <w:p>
      <w:pPr>
        <w:spacing w:after="0" w:line="480"/>
        <w:ind w:firstLine="720"/>
      </w:pPr>
      <w:r>
        <w:rPr>
          <w:rFonts w:ascii="Times New Roman" w:cs="Times New Roman" w:eastAsia="Times New Roman" w:hAnsi="Times New Roman"/>
          <w:b/>
          <w:bCs/>
          <w:sz w:val="24"/>
          <w:szCs w:val="24"/>
        </w:rPr>
        <w:t xml:space="preserve">Weeks 4-3 before trial.</w:t>
      </w:r>
      <w:r>
        <w:rPr>
          <w:rFonts w:ascii="Times New Roman" w:cs="Times New Roman" w:eastAsia="Times New Roman" w:hAnsi="Times New Roman"/>
          <w:sz w:val="24"/>
          <w:szCs w:val="24"/>
        </w:rPr>
        <w:t xml:space="preserve"> Initial meetings: low-pressure conversations about what they remember. No questions about specific testimony. Establish rapport and trust. Introduce the concept of testifying without discussing specific questions. Assess trauma responses and identify potential triggers. Coordinate with the survivor's therapist if they have one.</w:t>
      </w:r>
    </w:p>
    <w:p>
      <w:pPr>
        <w:spacing w:after="0" w:line="480"/>
        <w:ind w:firstLine="720"/>
      </w:pPr>
      <w:r>
        <w:rPr>
          <w:rFonts w:ascii="Times New Roman" w:cs="Times New Roman" w:eastAsia="Times New Roman" w:hAnsi="Times New Roman"/>
          <w:b/>
          <w:bCs/>
          <w:sz w:val="24"/>
          <w:szCs w:val="24"/>
        </w:rPr>
        <w:t xml:space="preserve">Weeks 3-2 before trial.</w:t>
      </w:r>
      <w:r>
        <w:rPr>
          <w:rFonts w:ascii="Times New Roman" w:cs="Times New Roman" w:eastAsia="Times New Roman" w:hAnsi="Times New Roman"/>
          <w:sz w:val="24"/>
          <w:szCs w:val="24"/>
        </w:rPr>
        <w:t xml:space="preserve"> Story development: help the witness identify their anchored moments—the specific sensory memories that ground their testimony. Practice telling those moments in their own words. Do not script. Listen for the language the witness naturally uses and help them recognize which phrases are most powerful. Begin discussing the courtroom environment: where they will sit, who will be in the room, what the judge's role is, what the jury expects.</w:t>
      </w:r>
    </w:p>
    <w:p>
      <w:pPr>
        <w:spacing w:after="0" w:line="480"/>
        <w:ind w:firstLine="720"/>
      </w:pPr>
      <w:r>
        <w:rPr>
          <w:rFonts w:ascii="Times New Roman" w:cs="Times New Roman" w:eastAsia="Times New Roman" w:hAnsi="Times New Roman"/>
          <w:b/>
          <w:bCs/>
          <w:sz w:val="24"/>
          <w:szCs w:val="24"/>
        </w:rPr>
        <w:t xml:space="preserve">Weeks 2-1 before trial.</w:t>
      </w:r>
      <w:r>
        <w:rPr>
          <w:rFonts w:ascii="Times New Roman" w:cs="Times New Roman" w:eastAsia="Times New Roman" w:hAnsi="Times New Roman"/>
          <w:sz w:val="24"/>
          <w:szCs w:val="24"/>
        </w:rPr>
        <w:t xml:space="preserve"> Cross-examination preparation: role-play defense questions. Name the program dynamics the defense will try to reactivate. Practice responses to the grateful-survivor narrative, memory impeachment, and prior-statement impeachment. Teach the witness that pausing before answering is not weakness—it is control. Practice the phrase 'I need a moment' until it feels natural.</w:t>
      </w:r>
    </w:p>
    <w:p>
      <w:pPr>
        <w:spacing w:after="0" w:line="480"/>
        <w:ind w:firstLine="720"/>
      </w:pPr>
      <w:r>
        <w:rPr>
          <w:rFonts w:ascii="Times New Roman" w:cs="Times New Roman" w:eastAsia="Times New Roman" w:hAnsi="Times New Roman"/>
          <w:b/>
          <w:bCs/>
          <w:sz w:val="24"/>
          <w:szCs w:val="24"/>
        </w:rPr>
        <w:t xml:space="preserve">Final week.</w:t>
      </w:r>
      <w:r>
        <w:rPr>
          <w:rFonts w:ascii="Times New Roman" w:cs="Times New Roman" w:eastAsia="Times New Roman" w:hAnsi="Times New Roman"/>
          <w:sz w:val="24"/>
          <w:szCs w:val="24"/>
        </w:rPr>
        <w:t xml:space="preserve"> Courtroom familiarization: visit the courtroom if possible. Walk through the physical space. Sit in the witness chair. Look at the jury box. Let the space become familiar before it becomes adversarial. Review the sequence of direct examination—not word by word, but the flow of topics. Confirm that the witness knows they can ask for breaks, water, or clarification. Remind them that authenticity is more powerful than perfection.</w:t>
      </w:r>
    </w:p>
    <w:p>
      <w:pPr>
        <w:spacing w:after="0" w:before="240" w:line="480"/>
      </w:pPr>
      <w:r>
        <w:rPr>
          <w:rFonts w:ascii="Times New Roman" w:cs="Times New Roman" w:eastAsia="Times New Roman" w:hAnsi="Times New Roman"/>
          <w:b/>
          <w:bCs/>
          <w:i/>
          <w:iCs/>
          <w:sz w:val="24"/>
          <w:szCs w:val="24"/>
        </w:rPr>
        <w:t xml:space="preserve">Parent Witness Preparation Addendum</w:t>
      </w:r>
    </w:p>
    <w:p>
      <w:pPr>
        <w:spacing w:after="0" w:line="480"/>
      </w:pPr>
      <w:r>
        <w:rPr>
          <w:rFonts w:ascii="Times New Roman" w:cs="Times New Roman" w:eastAsia="Times New Roman" w:hAnsi="Times New Roman"/>
          <w:sz w:val="24"/>
          <w:szCs w:val="24"/>
        </w:rPr>
        <w:t xml:space="preserve">In addition to the general protocol, address these parent-specific issues:</w:t>
      </w:r>
    </w:p>
    <w:p>
      <w:pPr>
        <w:spacing w:after="0" w:line="480"/>
        <w:ind w:firstLine="720"/>
      </w:pPr>
      <w:r>
        <w:rPr>
          <w:rFonts w:ascii="Times New Roman" w:cs="Times New Roman" w:eastAsia="Times New Roman" w:hAnsi="Times New Roman"/>
          <w:sz w:val="24"/>
          <w:szCs w:val="24"/>
        </w:rPr>
        <w:t xml:space="preserve">Identify and prepare for the guilt response. Parents will want to testify about their guilt—let them acknowledge it briefly, then redirect to the representations that induced the decision. The frame is not 'I made a terrible mistake' but 'I was deceived by people I trusted with my child's safety.' Prepare the parent to testify about specific representations: what the intake coordinator said, what the website showed, what the tour revealed, what the contract promised. These specifics transform guilt into fraud. Coordinate parent and survivor testimony to avoid contradiction and maximize the marketing-versus-reality polarization—the parent testifies about what was promised, the survivor testifies about what was delivered.</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line="480"/>
      </w:pPr>
      <w:r>
        <w:rPr>
          <w:rFonts w:ascii="Times New Roman" w:cs="Times New Roman" w:eastAsia="Times New Roman" w:hAnsi="Times New Roman"/>
          <w:sz w:val="24"/>
          <w:szCs w:val="24"/>
        </w:rPr>
        <w:t xml:space="preserve">Witness strategy is where preparation meets presentation.</w:t>
      </w:r>
    </w:p>
    <w:p>
      <w:pPr>
        <w:spacing w:after="0" w:line="480"/>
        <w:ind w:firstLine="720"/>
      </w:pPr>
      <w:r>
        <w:rPr>
          <w:rFonts w:ascii="Times New Roman" w:cs="Times New Roman" w:eastAsia="Times New Roman" w:hAnsi="Times New Roman"/>
          <w:sz w:val="24"/>
          <w:szCs w:val="24"/>
        </w:rPr>
        <w:t xml:space="preserve">Everything in this book—the legal theories, the discovery strategy, the damages framework, the trial methodology—converges in the witnesses who tell the story. Polarize the case so the jury must choose. Sequence the witnesses so the jury can process what they are hearing. Prepare the survivors so they can testify without being retraumatized. Prepare the parents so they can testify without drowning in guilt. Leverage the survivor networks so you are not building your witness list from scratch. And be present—truly present—so the jury trusts you to guide them through the most difficult material they will ever hear.</w:t>
      </w:r>
    </w:p>
    <w:p>
      <w:pPr>
        <w:spacing w:after="0" w:line="480"/>
        <w:ind w:firstLine="720"/>
      </w:pPr>
      <w:r>
        <w:rPr>
          <w:rFonts w:ascii="Times New Roman" w:cs="Times New Roman" w:eastAsia="Times New Roman" w:hAnsi="Times New Roman"/>
          <w:sz w:val="24"/>
          <w:szCs w:val="24"/>
        </w:rPr>
        <w:t xml:space="preserve">The next chapter takes this preparation into the courtroom itself—opening statements, cross-examination, and closing arguments. But remember: by the time you stand up to give your opening, the most important decisions have already been made. You have chosen your witnesses, determined their order, prepared their testimony, and structured the narrative arc that will carry the jury from the first word of trial to the last. The courtroom is where the plan meets the moment. This chapter was about the plan.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Times New Roman" w:cs="Times New Roman" w:eastAsia="Times New Roman" w:hAnsi="Times New Roman"/>
        <w:i/>
        <w:iCs/>
        <w:color w:val="888888"/>
        <w:sz w:val="18"/>
        <w:szCs w:val="18"/>
      </w:rPr>
      <w:t xml:space="preserve">Witness Strategy and Preparation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2026-05-13T20:35:44.925Z</dcterms:created>
  <dcterms:modified xsi:type="dcterms:W3CDTF">2026-05-13T20:35:44.929Z</dcterms:modified>
</cp:coreProperties>
</file>

<file path=docProps/custom.xml><?xml version="1.0" encoding="utf-8"?>
<Properties xmlns="http://schemas.openxmlformats.org/officeDocument/2006/custom-properties" xmlns:vt="http://schemas.openxmlformats.org/officeDocument/2006/docPropsVTypes"/>
</file>