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13</w:t>
      </w:r>
    </w:p>
    <w:p>
      <w:pPr>
        <w:spacing w:after="0" w:line="480"/>
      </w:pPr>
    </w:p>
    <w:p>
      <w:pPr>
        <w:spacing w:after="0" w:line="480"/>
        <w:jc w:val="center"/>
      </w:pPr>
      <w:r>
        <w:rPr>
          <w:rFonts w:ascii="Times New Roman" w:cs="Times New Roman" w:eastAsia="Times New Roman" w:hAnsi="Times New Roman"/>
          <w:sz w:val="24"/>
          <w:szCs w:val="24"/>
        </w:rPr>
        <w:t xml:space="preserve">Expert Witnesses in TTI Cases</w:t>
      </w:r>
    </w:p>
    <w:p>
      <w:pPr>
        <w:spacing w:after="0" w:line="480"/>
        <w:jc w:val="center"/>
      </w:pPr>
      <w:r>
        <w:rPr>
          <w:rFonts w:ascii="Times New Roman" w:cs="Times New Roman" w:eastAsia="Times New Roman" w:hAnsi="Times New Roman"/>
          <w:i/>
          <w:iCs/>
          <w:sz w:val="24"/>
          <w:szCs w:val="24"/>
        </w:rPr>
        <w:t xml:space="preserve">Building the Expert Team Around Coercive-System Theory</w:t>
      </w:r>
    </w:p>
    <w:p>
      <w:pPr>
        <w:spacing w:after="0" w:line="480"/>
      </w:pPr>
    </w:p>
    <w:p>
      <w:pPr>
        <w:spacing w:after="0" w:line="480"/>
      </w:pPr>
      <w:r>
        <w:rPr>
          <w:rFonts w:ascii="Times New Roman" w:cs="Times New Roman" w:eastAsia="Times New Roman" w:hAnsi="Times New Roman"/>
          <w:sz w:val="24"/>
          <w:szCs w:val="24"/>
        </w:rPr>
        <w:t xml:space="preserve">TTI cases cannot be won without experts. This is not an opinion. It is a structural reality of the litigation. The jury will not understand C-PTSD without a psychologist to explain it. The jury will not recognize the gap between what the program marketed and what it delivered without an industry standard expert to name it. The jury will not see the coercive control architecture without a behavioral science expert to map it. And the jury will not assign adequate damages without an economist and life care planner to quantify them.</w:t>
      </w:r>
    </w:p>
    <w:p>
      <w:pPr>
        <w:spacing w:after="0" w:line="480"/>
        <w:ind w:firstLine="720"/>
      </w:pPr>
      <w:r>
        <w:rPr>
          <w:rFonts w:ascii="Times New Roman" w:cs="Times New Roman" w:eastAsia="Times New Roman" w:hAnsi="Times New Roman"/>
          <w:sz w:val="24"/>
          <w:szCs w:val="24"/>
        </w:rPr>
        <w:t xml:space="preserve">The challenge is not whether to use experts but which experts to use, how to build their testimony around a unified theory, and how to survive the admissibility challenges that defense counsel will inevitably bring. This chapter describes the expert team for TTI litigation, explains what each expert testifies to and why, and provides the framework for coordinating their testimony into a single, coherent narrative that the jury carries into deliberation.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TTI Cases Require Expert Context</w:t>
      </w:r>
    </w:p>
    <w:p>
      <w:pPr>
        <w:spacing w:after="0" w:line="480"/>
      </w:pPr>
    </w:p>
    <w:p>
      <w:pPr>
        <w:spacing w:after="0" w:line="480"/>
      </w:pPr>
      <w:r>
        <w:rPr>
          <w:rFonts w:ascii="Times New Roman" w:cs="Times New Roman" w:eastAsia="Times New Roman" w:hAnsi="Times New Roman"/>
          <w:sz w:val="24"/>
          <w:szCs w:val="24"/>
        </w:rPr>
        <w:t xml:space="preserve">In a car accident case, the jury does not need an expert to understand that a collision caused a broken leg. The mechanism of harm is obvious. The causation chain is short. The damages are visible.</w:t>
      </w:r>
    </w:p>
    <w:p>
      <w:pPr>
        <w:spacing w:after="0" w:line="480"/>
        <w:ind w:firstLine="720"/>
      </w:pPr>
      <w:r>
        <w:rPr>
          <w:rFonts w:ascii="Times New Roman" w:cs="Times New Roman" w:eastAsia="Times New Roman" w:hAnsi="Times New Roman"/>
          <w:sz w:val="24"/>
          <w:szCs w:val="24"/>
        </w:rPr>
        <w:t xml:space="preserve">TTI cases have none of these advantages. The harm is psychological as often as physical. The causation chain runs through months or years of cumulative exposure to a coercive environment. The damages manifest in domains—relationships, employment, education, identity—that the jury cannot see. And the defense has a narrative that sounds plausible to anyone who has not studied coercive control: "The program was strict, but it was therapy. The child was troubled before enrollment. The parents consented. No one complained at the time."</w:t>
      </w:r>
    </w:p>
    <w:p>
      <w:pPr>
        <w:spacing w:after="0" w:line="480"/>
        <w:ind w:firstLine="720"/>
      </w:pPr>
      <w:r>
        <w:rPr>
          <w:rFonts w:ascii="Times New Roman" w:cs="Times New Roman" w:eastAsia="Times New Roman" w:hAnsi="Times New Roman"/>
          <w:sz w:val="24"/>
          <w:szCs w:val="24"/>
        </w:rPr>
        <w:t xml:space="preserve">Without expert testimony, these arguments win. With expert testimony, you can educate the jury about how coercive systems produce harm, how that harm manifests in developing adolescents, and why it persists decades after discharge. The expert does not tell the jury what to conclude. The expert gives the jury the framework to reach the right conclusion on its own.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Trauma Psychologist</w:t>
      </w:r>
    </w:p>
    <w:p>
      <w:pPr>
        <w:spacing w:after="0" w:line="480"/>
      </w:pPr>
    </w:p>
    <w:p>
      <w:pPr>
        <w:spacing w:after="0" w:line="480"/>
      </w:pPr>
      <w:r>
        <w:rPr>
          <w:rFonts w:ascii="Times New Roman" w:cs="Times New Roman" w:eastAsia="Times New Roman" w:hAnsi="Times New Roman"/>
          <w:sz w:val="24"/>
          <w:szCs w:val="24"/>
        </w:rPr>
        <w:t xml:space="preserve">This is your most important expert. The trauma psychologist provides the diagnostic framework, the causation testimony, and the explanatory bridge between the program's conduct and the client's suffering.</w:t>
      </w:r>
    </w:p>
    <w:p>
      <w:pPr>
        <w:spacing w:after="0" w:before="240" w:line="480"/>
      </w:pPr>
      <w:r>
        <w:rPr>
          <w:rFonts w:ascii="Times New Roman" w:cs="Times New Roman" w:eastAsia="Times New Roman" w:hAnsi="Times New Roman"/>
          <w:b/>
          <w:bCs/>
          <w:i/>
          <w:iCs/>
          <w:sz w:val="24"/>
          <w:szCs w:val="24"/>
        </w:rPr>
        <w:t xml:space="preserve">What They Testify To</w:t>
      </w:r>
    </w:p>
    <w:p>
      <w:pPr>
        <w:spacing w:after="0" w:line="480"/>
        <w:ind w:firstLine="720"/>
      </w:pPr>
      <w:r>
        <w:rPr>
          <w:rFonts w:ascii="Times New Roman" w:cs="Times New Roman" w:eastAsia="Times New Roman" w:hAnsi="Times New Roman"/>
          <w:sz w:val="24"/>
          <w:szCs w:val="24"/>
        </w:rPr>
        <w:t xml:space="preserve">The trauma expert evaluates the client and offers opinions in several areas. First, </w:t>
      </w:r>
      <w:r>
        <w:rPr>
          <w:rFonts w:ascii="Times New Roman" w:cs="Times New Roman" w:eastAsia="Times New Roman" w:hAnsi="Times New Roman"/>
          <w:i/>
          <w:iCs/>
          <w:sz w:val="24"/>
          <w:szCs w:val="24"/>
        </w:rPr>
        <w:t xml:space="preserve">diagnosis</w:t>
      </w:r>
      <w:r>
        <w:rPr>
          <w:rFonts w:ascii="Times New Roman" w:cs="Times New Roman" w:eastAsia="Times New Roman" w:hAnsi="Times New Roman"/>
          <w:sz w:val="24"/>
          <w:szCs w:val="24"/>
        </w:rPr>
        <w:t xml:space="preserve">: does the client meet the criteria for C-PTSD, PTSD, depression, anxiety, dissociative disorders, or other conditions consistent with prolonged exposure to a coercive environment? Second, </w:t>
      </w:r>
      <w:r>
        <w:rPr>
          <w:rFonts w:ascii="Times New Roman" w:cs="Times New Roman" w:eastAsia="Times New Roman" w:hAnsi="Times New Roman"/>
          <w:i/>
          <w:iCs/>
          <w:sz w:val="24"/>
          <w:szCs w:val="24"/>
        </w:rPr>
        <w:t xml:space="preserve">causation</w:t>
      </w:r>
      <w:r>
        <w:rPr>
          <w:rFonts w:ascii="Times New Roman" w:cs="Times New Roman" w:eastAsia="Times New Roman" w:hAnsi="Times New Roman"/>
          <w:sz w:val="24"/>
          <w:szCs w:val="24"/>
        </w:rPr>
        <w:t xml:space="preserve">: are these conditions the result of the client's experience in the program, as opposed to pre-existing conditions or subsequent events? Third, </w:t>
      </w:r>
      <w:r>
        <w:rPr>
          <w:rFonts w:ascii="Times New Roman" w:cs="Times New Roman" w:eastAsia="Times New Roman" w:hAnsi="Times New Roman"/>
          <w:i/>
          <w:iCs/>
          <w:sz w:val="24"/>
          <w:szCs w:val="24"/>
        </w:rPr>
        <w:t xml:space="preserve">mechanism of harm</w:t>
      </w:r>
      <w:r>
        <w:rPr>
          <w:rFonts w:ascii="Times New Roman" w:cs="Times New Roman" w:eastAsia="Times New Roman" w:hAnsi="Times New Roman"/>
          <w:sz w:val="24"/>
          <w:szCs w:val="24"/>
        </w:rPr>
        <w:t xml:space="preserve">: how does prolonged coercive control during adolescence produce the specific constellation of symptoms the client presents? Fourth, </w:t>
      </w:r>
      <w:r>
        <w:rPr>
          <w:rFonts w:ascii="Times New Roman" w:cs="Times New Roman" w:eastAsia="Times New Roman" w:hAnsi="Times New Roman"/>
          <w:i/>
          <w:iCs/>
          <w:sz w:val="24"/>
          <w:szCs w:val="24"/>
        </w:rPr>
        <w:t xml:space="preserve">delayed disclosure</w:t>
      </w:r>
      <w:r>
        <w:rPr>
          <w:rFonts w:ascii="Times New Roman" w:cs="Times New Roman" w:eastAsia="Times New Roman" w:hAnsi="Times New Roman"/>
          <w:sz w:val="24"/>
          <w:szCs w:val="24"/>
        </w:rPr>
        <w:t xml:space="preserve">: why did the client not report the abuse for years or decades after discharge?</w:t>
      </w:r>
    </w:p>
    <w:p>
      <w:pPr>
        <w:spacing w:after="0" w:line="480"/>
        <w:ind w:firstLine="720"/>
      </w:pPr>
      <w:r>
        <w:rPr>
          <w:rFonts w:ascii="Times New Roman" w:cs="Times New Roman" w:eastAsia="Times New Roman" w:hAnsi="Times New Roman"/>
          <w:sz w:val="24"/>
          <w:szCs w:val="24"/>
        </w:rPr>
        <w:t xml:space="preserve">The delayed disclosure testimony is critical in cases where the statute of limitations is at issue. Defense counsel will argue that the plaintiff's silence undermines credibility. Your trauma expert explains that delayed disclosure is not evidence of fabrication—it is a hallmark of institutional trauma, documented across every setting and every population. The program trained your client not to disclose. The silence is proof of the system's effectiveness, not evidence against the survivor.</w:t>
      </w:r>
    </w:p>
    <w:p>
      <w:pPr>
        <w:spacing w:after="0" w:line="480"/>
        <w:ind w:firstLine="720"/>
      </w:pPr>
      <w:r>
        <w:rPr>
          <w:rFonts w:ascii="Times New Roman" w:cs="Times New Roman" w:eastAsia="Times New Roman" w:hAnsi="Times New Roman"/>
          <w:sz w:val="24"/>
          <w:szCs w:val="24"/>
        </w:rPr>
        <w:t xml:space="preserve">For TTI cases specifically, the trauma expert should address </w:t>
      </w:r>
      <w:r>
        <w:rPr>
          <w:rFonts w:ascii="Times New Roman" w:cs="Times New Roman" w:eastAsia="Times New Roman" w:hAnsi="Times New Roman"/>
          <w:i/>
          <w:iCs/>
          <w:sz w:val="24"/>
          <w:szCs w:val="24"/>
        </w:rPr>
        <w:t xml:space="preserve">developmental disruption</w:t>
      </w:r>
      <w:r>
        <w:rPr>
          <w:rFonts w:ascii="Times New Roman" w:cs="Times New Roman" w:eastAsia="Times New Roman" w:hAnsi="Times New Roman"/>
          <w:sz w:val="24"/>
          <w:szCs w:val="24"/>
        </w:rPr>
        <w:t xml:space="preserve">—Bruce Perry's sequential processing model and the concept of developmental theft described in Chapter 3. The expert explains that institutional abuse during adolescence does not just cause injury. It interrupts the developmental processes—identity formation, autonomy, relational capacity—that were supposed to be occurring during those years. The client is not a broken adult. The client is a person who was never allowed to form.</w:t>
      </w:r>
    </w:p>
    <w:p>
      <w:pPr>
        <w:spacing w:after="0" w:before="240" w:line="480"/>
      </w:pPr>
      <w:r>
        <w:rPr>
          <w:rFonts w:ascii="Times New Roman" w:cs="Times New Roman" w:eastAsia="Times New Roman" w:hAnsi="Times New Roman"/>
          <w:b/>
          <w:bCs/>
          <w:i/>
          <w:iCs/>
          <w:sz w:val="24"/>
          <w:szCs w:val="24"/>
        </w:rPr>
        <w:t xml:space="preserve">Qualification and Selection</w:t>
      </w:r>
    </w:p>
    <w:p>
      <w:pPr>
        <w:spacing w:after="0" w:line="480"/>
        <w:ind w:firstLine="720"/>
      </w:pPr>
      <w:r>
        <w:rPr>
          <w:rFonts w:ascii="Times New Roman" w:cs="Times New Roman" w:eastAsia="Times New Roman" w:hAnsi="Times New Roman"/>
          <w:sz w:val="24"/>
          <w:szCs w:val="24"/>
        </w:rPr>
        <w:t xml:space="preserve">Select a trauma expert with clinical experience treating survivors of institutional or interpersonal coercive control—not just general trauma. The expert should be familiar with the C-PTSD literature, including Judith Herman's formulation, and should be comfortable testifying about the specific dynamics of coercive environments as distinct from single-event trauma. Prior qualification as an expert in institutional abuse or coercive control litigation is valuable but not essential if the clinical and academic credentials are strong.</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Coercive Control Expert</w:t>
      </w:r>
    </w:p>
    <w:p>
      <w:pPr>
        <w:spacing w:after="0" w:line="480"/>
      </w:pPr>
    </w:p>
    <w:p>
      <w:pPr>
        <w:spacing w:after="0" w:line="480"/>
      </w:pPr>
      <w:r>
        <w:rPr>
          <w:rFonts w:ascii="Times New Roman" w:cs="Times New Roman" w:eastAsia="Times New Roman" w:hAnsi="Times New Roman"/>
          <w:sz w:val="24"/>
          <w:szCs w:val="24"/>
        </w:rPr>
        <w:t xml:space="preserve">This is the expert who names the system. While the trauma expert explains what the program did to the client's mind, the coercive control expert explains how the program was designed to do it.</w:t>
      </w:r>
    </w:p>
    <w:p>
      <w:pPr>
        <w:spacing w:after="0" w:before="240" w:line="480"/>
      </w:pPr>
      <w:r>
        <w:rPr>
          <w:rFonts w:ascii="Times New Roman" w:cs="Times New Roman" w:eastAsia="Times New Roman" w:hAnsi="Times New Roman"/>
          <w:b/>
          <w:bCs/>
          <w:i/>
          <w:iCs/>
          <w:sz w:val="24"/>
          <w:szCs w:val="24"/>
        </w:rPr>
        <w:t xml:space="preserve">The BITE Framework Without the Word Cult</w:t>
      </w:r>
    </w:p>
    <w:p>
      <w:pPr>
        <w:spacing w:after="0" w:line="480"/>
        <w:ind w:firstLine="720"/>
      </w:pPr>
      <w:r>
        <w:rPr>
          <w:rFonts w:ascii="Times New Roman" w:cs="Times New Roman" w:eastAsia="Times New Roman" w:hAnsi="Times New Roman"/>
          <w:sz w:val="24"/>
          <w:szCs w:val="24"/>
        </w:rPr>
        <w:t xml:space="preserve">Steven Hassan's BITE model—Behavior, Information, Thought, and Emotional control—is the organizing framework of this book and, if you follow this method, of your case. But calling a program a cult in a courtroom is a strategic error. The word is inflammatory, imprecise, and guaranteed to provoke an objection, a limiting instruction, and a prejudice argument from defense counsel. It may also alienate jurors who associate the word cult with extreme fringe groups and cannot see the connection to a program that markets itself as therapeutic.</w:t>
      </w:r>
    </w:p>
    <w:p>
      <w:pPr>
        <w:spacing w:after="0" w:line="480"/>
        <w:ind w:firstLine="720"/>
      </w:pPr>
      <w:r>
        <w:rPr>
          <w:rFonts w:ascii="Times New Roman" w:cs="Times New Roman" w:eastAsia="Times New Roman" w:hAnsi="Times New Roman"/>
          <w:sz w:val="24"/>
          <w:szCs w:val="24"/>
        </w:rPr>
        <w:t xml:space="preserve">The solution is to present the BITE framework as a model of coercive organizational behavior without using the word cult at all. Your expert testifies about the research on undue influence, coercive persuasion, and high-demand organizations. They explain that certain organizational structures—regardless of whether they call themselves therapeutic, educational, or religious—use specific, identifiable control mechanisms that suppress autonomy and produce compliance through coercion rather than consent. Then they apply the framework to the specific facts of your case.</w:t>
      </w:r>
    </w:p>
    <w:p>
      <w:pPr>
        <w:spacing w:after="0" w:line="480"/>
        <w:ind w:firstLine="720"/>
      </w:pPr>
      <w:r>
        <w:rPr>
          <w:rFonts w:ascii="Times New Roman" w:cs="Times New Roman" w:eastAsia="Times New Roman" w:hAnsi="Times New Roman"/>
          <w:sz w:val="24"/>
          <w:szCs w:val="24"/>
        </w:rPr>
        <w:t xml:space="preserve">This framing is both more accurate and more effective. It avoids the baggage of the word cult. It grounds the testimony in peer-reviewed research on social influence and organizational psychology. And it makes the testimony about what the program </w:t>
      </w:r>
      <w:r>
        <w:rPr>
          <w:rFonts w:ascii="Times New Roman" w:cs="Times New Roman" w:eastAsia="Times New Roman" w:hAnsi="Times New Roman"/>
          <w:i/>
          <w:iCs/>
          <w:sz w:val="24"/>
          <w:szCs w:val="24"/>
        </w:rPr>
        <w:t xml:space="preserve">did</w:t>
      </w:r>
      <w:r>
        <w:rPr>
          <w:rFonts w:ascii="Times New Roman" w:cs="Times New Roman" w:eastAsia="Times New Roman" w:hAnsi="Times New Roman"/>
          <w:sz w:val="24"/>
          <w:szCs w:val="24"/>
        </w:rPr>
        <w:t xml:space="preserve">, not what it </w:t>
      </w:r>
      <w:r>
        <w:rPr>
          <w:rFonts w:ascii="Times New Roman" w:cs="Times New Roman" w:eastAsia="Times New Roman" w:hAnsi="Times New Roman"/>
          <w:i/>
          <w:iCs/>
          <w:sz w:val="24"/>
          <w:szCs w:val="24"/>
        </w:rPr>
        <w:t xml:space="preserve">is</w:t>
      </w:r>
      <w:r>
        <w:rPr>
          <w:rFonts w:ascii="Times New Roman" w:cs="Times New Roman" w:eastAsia="Times New Roman" w:hAnsi="Times New Roman"/>
          <w:sz w:val="24"/>
          <w:szCs w:val="24"/>
        </w:rPr>
        <w:t xml:space="preserve">.</w:t>
      </w:r>
    </w:p>
    <w:p>
      <w:pPr>
        <w:spacing w:after="0" w:before="240" w:line="480"/>
      </w:pPr>
      <w:r>
        <w:rPr>
          <w:rFonts w:ascii="Times New Roman" w:cs="Times New Roman" w:eastAsia="Times New Roman" w:hAnsi="Times New Roman"/>
          <w:b/>
          <w:bCs/>
          <w:i/>
          <w:iCs/>
          <w:sz w:val="24"/>
          <w:szCs w:val="24"/>
        </w:rPr>
        <w:t xml:space="preserve">Daubert and Frye Considerations</w:t>
      </w:r>
    </w:p>
    <w:p>
      <w:pPr>
        <w:spacing w:after="0" w:line="480"/>
        <w:ind w:firstLine="720"/>
      </w:pPr>
      <w:r>
        <w:rPr>
          <w:rFonts w:ascii="Times New Roman" w:cs="Times New Roman" w:eastAsia="Times New Roman" w:hAnsi="Times New Roman"/>
          <w:sz w:val="24"/>
          <w:szCs w:val="24"/>
        </w:rPr>
        <w:t xml:space="preserve">The admissibility of coercive control testimony is the most likely evidentiary battle in your case. Defense counsel will argue that the BITE model is not generally accepted in the scientific community, that it lacks empirical validation, or that it is merely a framework for describing religious or political extremism and cannot be applied to a therapeutic program.</w:t>
      </w:r>
    </w:p>
    <w:p>
      <w:pPr>
        <w:spacing w:after="0" w:line="480"/>
        <w:ind w:firstLine="720"/>
      </w:pPr>
      <w:r>
        <w:rPr>
          <w:rFonts w:ascii="Times New Roman" w:cs="Times New Roman" w:eastAsia="Times New Roman" w:hAnsi="Times New Roman"/>
          <w:sz w:val="24"/>
          <w:szCs w:val="24"/>
        </w:rPr>
        <w:t xml:space="preserve">Your response should proceed on several fronts. First, ground the testimony in established psychological research—Cialdini's principles of influence, Milgram's obedience studies, Zimbardo's situational psychology, Evan Stark's coercive control framework in the domestic violence context. The BITE model synthesizes these established principles into an applied analytical framework, and the underlying research is uncontroversial. Second, demonstrate reliable methodology: the expert reviewed specific documents, conducted interviews, applied a recognized analytical framework to the facts, and reached opinions consistent with established research. Third, distinguish from cult labeling. Prepare the expert to explain that they are not offering an opinion on whether the program is a cult. They are applying a recognized model of organizational behavior to specific facts and offering opinions about the effects of those behaviors on the individuals subjected to them.</w:t>
      </w:r>
    </w:p>
    <w:p>
      <w:pPr>
        <w:spacing w:after="0" w:line="480"/>
        <w:ind w:firstLine="720"/>
      </w:pPr>
      <w:r>
        <w:rPr>
          <w:rFonts w:ascii="Times New Roman" w:cs="Times New Roman" w:eastAsia="Times New Roman" w:hAnsi="Times New Roman"/>
          <w:sz w:val="24"/>
          <w:szCs w:val="24"/>
        </w:rPr>
        <w:t xml:space="preserve">Prepare your Daubert brief before the motion is filed so your response can go in quickly. Include case law from jurisdictions where coercive control testimony has been admitted in civil cases. Request an evidentiary hearing rather than a ruling on the papers—your expert's live testimony is more persuasive than a written report.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TTI Industry Standard Expert</w:t>
      </w:r>
    </w:p>
    <w:p>
      <w:pPr>
        <w:spacing w:after="0" w:line="480"/>
      </w:pPr>
    </w:p>
    <w:p>
      <w:pPr>
        <w:spacing w:after="0" w:line="480"/>
      </w:pPr>
      <w:r>
        <w:rPr>
          <w:rFonts w:ascii="Times New Roman" w:cs="Times New Roman" w:eastAsia="Times New Roman" w:hAnsi="Times New Roman"/>
          <w:sz w:val="24"/>
          <w:szCs w:val="24"/>
        </w:rPr>
        <w:t xml:space="preserve">Every TTI case requires an expert who can testify about what a properly operated therapeutic program for adolescents looks like. This expert draws the contrast between the standard of care and the defendant's conduct, transforming the case from "this program did bad things" to "this program fell below every recognized standard in the field."</w:t>
      </w:r>
    </w:p>
    <w:p>
      <w:pPr>
        <w:spacing w:after="0" w:line="480"/>
        <w:ind w:firstLine="720"/>
      </w:pPr>
      <w:r>
        <w:rPr>
          <w:rFonts w:ascii="Times New Roman" w:cs="Times New Roman" w:eastAsia="Times New Roman" w:hAnsi="Times New Roman"/>
          <w:sz w:val="24"/>
          <w:szCs w:val="24"/>
        </w:rPr>
        <w:t xml:space="preserve">For TTI cases, this expert is typically a licensed clinician or program administrator with experience operating or overseeing legitimate residential treatment facilities for adolescents. They testify about accepted practices for therapeutic intervention, staffing ratios, staff qualification requirements, use-of-force policies, communication with families, complaint handling, and discharge planning. Then they compare those standards to what the defendant actually did.</w:t>
      </w:r>
    </w:p>
    <w:p>
      <w:pPr>
        <w:spacing w:after="0" w:line="480"/>
        <w:ind w:firstLine="720"/>
      </w:pPr>
      <w:r>
        <w:rPr>
          <w:rFonts w:ascii="Times New Roman" w:cs="Times New Roman" w:eastAsia="Times New Roman" w:hAnsi="Times New Roman"/>
          <w:sz w:val="24"/>
          <w:szCs w:val="24"/>
        </w:rPr>
        <w:t xml:space="preserve">The industry standard expert is particularly devastating in TTI cases because the gap between the standard of care and the defendant's conduct is usually enormous. A standard-of-care program does not use isolation as punishment. It does not censor family communication. It does not employ untrained staff to conduct physical restraints. It does not operate a level system that conditions basic human needs on behavioral compliance. The expert does not need to exaggerate. The facts speak for themselves once the standard is established.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Forensic Economist and Vocational Expert</w:t>
      </w:r>
    </w:p>
    <w:p>
      <w:pPr>
        <w:spacing w:after="0" w:line="480"/>
      </w:pPr>
    </w:p>
    <w:p>
      <w:pPr>
        <w:spacing w:after="0" w:line="480"/>
      </w:pPr>
      <w:r>
        <w:rPr>
          <w:rFonts w:ascii="Times New Roman" w:cs="Times New Roman" w:eastAsia="Times New Roman" w:hAnsi="Times New Roman"/>
          <w:sz w:val="24"/>
          <w:szCs w:val="24"/>
        </w:rPr>
        <w:t xml:space="preserve">Institutional abuse during adolescence disrupts life trajectories in ways that standard damages models do not capture. The client who was sent to a program at fifteen and emerged at seventeen with no high school diploma, no social skills, and untreated C-PTSD did not just lose two years. She lost the earning capacity, educational attainment, and relational development that those two years were supposed to produce.</w:t>
      </w:r>
    </w:p>
    <w:p>
      <w:pPr>
        <w:spacing w:after="0" w:line="480"/>
        <w:ind w:firstLine="720"/>
      </w:pPr>
      <w:r>
        <w:rPr>
          <w:rFonts w:ascii="Times New Roman" w:cs="Times New Roman" w:eastAsia="Times New Roman" w:hAnsi="Times New Roman"/>
          <w:sz w:val="24"/>
          <w:szCs w:val="24"/>
        </w:rPr>
        <w:t xml:space="preserve">The vocational expert evaluates what the client's career trajectory would have looked like absent the program, compares it to the client's actual trajectory, and calculates the difference. This analysis accounts for lost earnings, reduced earning capacity, interrupted education, delayed career entry, and the diminished occupational ceiling that follows developmental disruption. The concept of </w:t>
      </w:r>
      <w:r>
        <w:rPr>
          <w:rFonts w:ascii="Times New Roman" w:cs="Times New Roman" w:eastAsia="Times New Roman" w:hAnsi="Times New Roman"/>
          <w:i/>
          <w:iCs/>
          <w:sz w:val="24"/>
          <w:szCs w:val="24"/>
        </w:rPr>
        <w:t xml:space="preserve">developmental theft</w:t>
      </w:r>
      <w:r>
        <w:rPr>
          <w:rFonts w:ascii="Times New Roman" w:cs="Times New Roman" w:eastAsia="Times New Roman" w:hAnsi="Times New Roman"/>
          <w:sz w:val="24"/>
          <w:szCs w:val="24"/>
        </w:rPr>
        <w:t xml:space="preserve"> from Chapter 3 provides the framework: the expert is not measuring damage to a formed adult but measuring the development that was stolen during the years when it should have occurred.</w:t>
      </w:r>
    </w:p>
    <w:p>
      <w:pPr>
        <w:spacing w:after="0" w:line="480"/>
        <w:ind w:firstLine="720"/>
      </w:pPr>
      <w:r>
        <w:rPr>
          <w:rFonts w:ascii="Times New Roman" w:cs="Times New Roman" w:eastAsia="Times New Roman" w:hAnsi="Times New Roman"/>
          <w:sz w:val="24"/>
          <w:szCs w:val="24"/>
        </w:rPr>
        <w:t xml:space="preserve">The economist translates these findings into present-value dollar figures, applying discount rates, inflation adjustments, and life expectancy calculations. These figures are essential for anchoring the jury's damages assessment. Without economic testimony, the jury is left to guess at a number. With economic testimony, the jury has a specific, defensible calculation that reflects the actual lifetime cost of what was done.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Life Care Planner</w:t>
      </w:r>
    </w:p>
    <w:p>
      <w:pPr>
        <w:spacing w:after="0" w:line="480"/>
      </w:pPr>
    </w:p>
    <w:p>
      <w:pPr>
        <w:spacing w:after="0" w:line="480"/>
      </w:pPr>
      <w:r>
        <w:rPr>
          <w:rFonts w:ascii="Times New Roman" w:cs="Times New Roman" w:eastAsia="Times New Roman" w:hAnsi="Times New Roman"/>
          <w:sz w:val="24"/>
          <w:szCs w:val="24"/>
        </w:rPr>
        <w:t xml:space="preserve">C-PTSD does not resolve on its own. Survivors of TTI abuse often require decades of treatment—therapy, medication management, psychiatric care, and sometimes intensive outpatient treatment during crisis periods. The life care planner translates this clinical reality into a specific, itemized cost projection that the jury can use.</w:t>
      </w:r>
    </w:p>
    <w:p>
      <w:pPr>
        <w:spacing w:after="0" w:line="480"/>
        <w:ind w:firstLine="720"/>
      </w:pPr>
      <w:r>
        <w:rPr>
          <w:rFonts w:ascii="Times New Roman" w:cs="Times New Roman" w:eastAsia="Times New Roman" w:hAnsi="Times New Roman"/>
          <w:sz w:val="24"/>
          <w:szCs w:val="24"/>
        </w:rPr>
        <w:t xml:space="preserve">A thorough life care plan for a TTI survivor includes individual therapy (typically trauma-focused modalities like EMDR or prolonged exposure), psychiatric medication management, periodic intensive treatment during anticipated crisis periods, and support services for the functional domains affected by the abuse—educational remediation, vocational rehabilitation, relational counseling. Each item is specified in frequency, duration, and cost, projected across the client's expected lifespan.</w:t>
      </w:r>
    </w:p>
    <w:p>
      <w:pPr>
        <w:spacing w:after="0" w:line="480"/>
        <w:ind w:firstLine="720"/>
      </w:pPr>
      <w:r>
        <w:rPr>
          <w:rFonts w:ascii="Times New Roman" w:cs="Times New Roman" w:eastAsia="Times New Roman" w:hAnsi="Times New Roman"/>
          <w:sz w:val="24"/>
          <w:szCs w:val="24"/>
        </w:rPr>
        <w:t xml:space="preserve">The life care plan serves an additional strategic purpose: it makes the invisible visible. Jurors who might struggle to assign a dollar value to emotional suffering can readily understand that a specific person needs a specific number of therapy sessions at a specific cost per session for a specific number of years. The plan converts abstract psychological injury into concrete, quantifiable need.</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Coordinating the Expert Team</w:t>
      </w:r>
    </w:p>
    <w:p>
      <w:pPr>
        <w:spacing w:after="0" w:line="480"/>
      </w:pPr>
    </w:p>
    <w:p>
      <w:pPr>
        <w:spacing w:after="0" w:line="480"/>
      </w:pPr>
      <w:r>
        <w:rPr>
          <w:rFonts w:ascii="Times New Roman" w:cs="Times New Roman" w:eastAsia="Times New Roman" w:hAnsi="Times New Roman"/>
          <w:sz w:val="24"/>
          <w:szCs w:val="24"/>
        </w:rPr>
        <w:t xml:space="preserve">The most common mistake in TTI litigation is treating each expert as an independent witness. They are not. They are a team, and their testimony must be coordinated around a unified theory of the case.</w:t>
      </w:r>
    </w:p>
    <w:p>
      <w:pPr>
        <w:spacing w:after="0" w:line="480"/>
        <w:ind w:firstLine="720"/>
      </w:pPr>
      <w:r>
        <w:rPr>
          <w:rFonts w:ascii="Times New Roman" w:cs="Times New Roman" w:eastAsia="Times New Roman" w:hAnsi="Times New Roman"/>
          <w:sz w:val="24"/>
          <w:szCs w:val="24"/>
        </w:rPr>
        <w:t xml:space="preserve">The coercive control expert explains how the program operated as a system of control. The industry standard expert explains how that system deviated from every recognized standard. The trauma expert explains how the system damaged this specific client. The economist and life care planner explain what that damage will cost for the rest of the client's life. Each expert builds on the foundation laid by the one before.</w:t>
      </w:r>
    </w:p>
    <w:p>
      <w:pPr>
        <w:spacing w:after="0" w:line="480"/>
        <w:ind w:firstLine="720"/>
      </w:pPr>
      <w:r>
        <w:rPr>
          <w:rFonts w:ascii="Times New Roman" w:cs="Times New Roman" w:eastAsia="Times New Roman" w:hAnsi="Times New Roman"/>
          <w:sz w:val="24"/>
          <w:szCs w:val="24"/>
        </w:rPr>
        <w:t xml:space="preserve">Coordination means several things in practice. First, share materials—each expert should have access to the reports and opinions of the other experts. Second, avoid contradictions. If your trauma expert says the client's symptoms began during the program, your economist cannot use a damages model that assumes the client was already impaired. Third, sequence the testimony strategically. The recommended order at trial: coercive control expert first (to establish the system), industry standard expert second (to establish the deviation), trauma expert third (to establish the injury), and economist and life care planner last (to establish the cost).</w:t>
      </w:r>
    </w:p>
    <w:p>
      <w:pPr>
        <w:spacing w:after="0" w:line="480"/>
        <w:ind w:firstLine="720"/>
      </w:pPr>
      <w:r>
        <w:rPr>
          <w:rFonts w:ascii="Times New Roman" w:cs="Times New Roman" w:eastAsia="Times New Roman" w:hAnsi="Times New Roman"/>
          <w:sz w:val="24"/>
          <w:szCs w:val="24"/>
        </w:rPr>
        <w:t xml:space="preserve">This sequence tells a story: this is how the program worked, this is what it should have done instead, this is what it did to this child, and this is what it will cost. By the time the last expert finishes, the jury has a complete framework for understanding harm, causation, deviation, and damages—not as isolated concepts but as a single, unified narrative.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Expert Narrative Arc: Closing Argument Blueprint</w:t>
      </w:r>
    </w:p>
    <w:p>
      <w:pPr>
        <w:spacing w:after="0" w:line="480"/>
      </w:pPr>
    </w:p>
    <w:p>
      <w:pPr>
        <w:spacing w:after="0" w:line="480"/>
      </w:pPr>
      <w:r>
        <w:rPr>
          <w:rFonts w:ascii="Times New Roman" w:cs="Times New Roman" w:eastAsia="Times New Roman" w:hAnsi="Times New Roman"/>
          <w:sz w:val="24"/>
          <w:szCs w:val="24"/>
        </w:rPr>
        <w:t xml:space="preserve">Use this structure to weave expert testimony into a cohesive closing argument.</w:t>
      </w:r>
    </w:p>
    <w:p>
      <w:pPr>
        <w:spacing w:after="0" w:line="480"/>
        <w:ind w:firstLine="720"/>
      </w:pPr>
      <w:r>
        <w:rPr>
          <w:rFonts w:ascii="Times New Roman" w:cs="Times New Roman" w:eastAsia="Times New Roman" w:hAnsi="Times New Roman"/>
          <w:i/>
          <w:iCs/>
          <w:sz w:val="24"/>
          <w:szCs w:val="24"/>
        </w:rPr>
        <w:t xml:space="preserve">The system:</w:t>
      </w:r>
      <w:r>
        <w:rPr>
          <w:rFonts w:ascii="Times New Roman" w:cs="Times New Roman" w:eastAsia="Times New Roman" w:hAnsi="Times New Roman"/>
          <w:sz w:val="24"/>
          <w:szCs w:val="24"/>
        </w:rPr>
        <w:t xml:space="preserve"> "Dr. [coercive control expert] explained how this program was designed. Not as a place of care. As a system of control. Behavioral control. Information control. Thought control. Emotional control. Every element designed to produce compliance and suppress complaint. And every element documented in the program's own records."</w:t>
      </w:r>
    </w:p>
    <w:p>
      <w:pPr>
        <w:spacing w:after="0" w:line="480"/>
        <w:ind w:firstLine="720"/>
      </w:pPr>
      <w:r>
        <w:rPr>
          <w:rFonts w:ascii="Times New Roman" w:cs="Times New Roman" w:eastAsia="Times New Roman" w:hAnsi="Times New Roman"/>
          <w:i/>
          <w:iCs/>
          <w:sz w:val="24"/>
          <w:szCs w:val="24"/>
        </w:rPr>
        <w:t xml:space="preserve">The deviation:</w:t>
      </w:r>
      <w:r>
        <w:rPr>
          <w:rFonts w:ascii="Times New Roman" w:cs="Times New Roman" w:eastAsia="Times New Roman" w:hAnsi="Times New Roman"/>
          <w:sz w:val="24"/>
          <w:szCs w:val="24"/>
        </w:rPr>
        <w:t xml:space="preserve"> "[Industry standard expert] told you what a properly run therapeutic program looks like. And then they told you how far this defendant fell from that standard. This was not a close call. This was a chasm."</w:t>
      </w:r>
    </w:p>
    <w:p>
      <w:pPr>
        <w:spacing w:after="0" w:line="480"/>
        <w:ind w:firstLine="720"/>
      </w:pPr>
      <w:r>
        <w:rPr>
          <w:rFonts w:ascii="Times New Roman" w:cs="Times New Roman" w:eastAsia="Times New Roman" w:hAnsi="Times New Roman"/>
          <w:i/>
          <w:iCs/>
          <w:sz w:val="24"/>
          <w:szCs w:val="24"/>
        </w:rPr>
        <w:t xml:space="preserve">The injury:</w:t>
      </w:r>
      <w:r>
        <w:rPr>
          <w:rFonts w:ascii="Times New Roman" w:cs="Times New Roman" w:eastAsia="Times New Roman" w:hAnsi="Times New Roman"/>
          <w:sz w:val="24"/>
          <w:szCs w:val="24"/>
        </w:rPr>
        <w:t xml:space="preserve"> "Dr. [trauma expert] evaluated [client]. They told you what this system did to [client's] mind. C-PTSD. Not from a single event. From years of systematic control during the years when [client's] identity, autonomy, and capacity for trust were supposed to be forming. What was stolen cannot be given back. But it can be accounted for."</w:t>
      </w:r>
    </w:p>
    <w:p>
      <w:pPr>
        <w:spacing w:after="0" w:line="480"/>
        <w:ind w:firstLine="720"/>
      </w:pPr>
      <w:r>
        <w:rPr>
          <w:rFonts w:ascii="Times New Roman" w:cs="Times New Roman" w:eastAsia="Times New Roman" w:hAnsi="Times New Roman"/>
          <w:i/>
          <w:iCs/>
          <w:sz w:val="24"/>
          <w:szCs w:val="24"/>
        </w:rPr>
        <w:t xml:space="preserve">The cost:</w:t>
      </w:r>
      <w:r>
        <w:rPr>
          <w:rFonts w:ascii="Times New Roman" w:cs="Times New Roman" w:eastAsia="Times New Roman" w:hAnsi="Times New Roman"/>
          <w:sz w:val="24"/>
          <w:szCs w:val="24"/>
        </w:rPr>
        <w:t xml:space="preserve"> "[Economist] and [life care planner] told you what this will cost. Not what it has cost—what it </w:t>
      </w:r>
      <w:r>
        <w:rPr>
          <w:rFonts w:ascii="Times New Roman" w:cs="Times New Roman" w:eastAsia="Times New Roman" w:hAnsi="Times New Roman"/>
          <w:i/>
          <w:iCs/>
          <w:sz w:val="24"/>
          <w:szCs w:val="24"/>
        </w:rPr>
        <w:t xml:space="preserve">will</w:t>
      </w:r>
      <w:r>
        <w:rPr>
          <w:rFonts w:ascii="Times New Roman" w:cs="Times New Roman" w:eastAsia="Times New Roman" w:hAnsi="Times New Roman"/>
          <w:sz w:val="24"/>
          <w:szCs w:val="24"/>
        </w:rPr>
        <w:t xml:space="preserve"> cost. Decades of therapy. Lost wages. A career that was derailed before it began. A life that was interrupted during the years that matter most."</w:t>
      </w:r>
    </w:p>
    <w:p>
      <w:pPr>
        <w:spacing w:after="0" w:line="480"/>
        <w:ind w:firstLine="720"/>
      </w:pPr>
      <w:r>
        <w:rPr>
          <w:rFonts w:ascii="Times New Roman" w:cs="Times New Roman" w:eastAsia="Times New Roman" w:hAnsi="Times New Roman"/>
          <w:i/>
          <w:iCs/>
          <w:sz w:val="24"/>
          <w:szCs w:val="24"/>
        </w:rPr>
        <w:t xml:space="preserve">The close:</w:t>
      </w:r>
      <w:r>
        <w:rPr>
          <w:rFonts w:ascii="Times New Roman" w:cs="Times New Roman" w:eastAsia="Times New Roman" w:hAnsi="Times New Roman"/>
          <w:sz w:val="24"/>
          <w:szCs w:val="24"/>
        </w:rPr>
        <w:t xml:space="preserve"> "Each expert showed you one piece. Together, they showed you the whole picture. A system designed to control. A deviation from every standard. A mind damaged during development. And a cost that will follow [client] for the rest of [their] life. Your verdict must account for all of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Deposing the Defense Experts</w:t>
      </w:r>
    </w:p>
    <w:p>
      <w:pPr>
        <w:spacing w:after="0" w:line="480"/>
      </w:pPr>
    </w:p>
    <w:p>
      <w:pPr>
        <w:spacing w:after="0" w:line="480"/>
      </w:pPr>
      <w:r>
        <w:rPr>
          <w:rFonts w:ascii="Times New Roman" w:cs="Times New Roman" w:eastAsia="Times New Roman" w:hAnsi="Times New Roman"/>
          <w:sz w:val="24"/>
          <w:szCs w:val="24"/>
        </w:rPr>
        <w:t xml:space="preserve">The defense will retain its own experts. Anticipate them and prepare deposition question lines designed to expose the weaknesses in their opinions.</w:t>
      </w:r>
    </w:p>
    <w:p>
      <w:pPr>
        <w:spacing w:after="0" w:before="240" w:line="480"/>
      </w:pPr>
      <w:r>
        <w:rPr>
          <w:rFonts w:ascii="Times New Roman" w:cs="Times New Roman" w:eastAsia="Times New Roman" w:hAnsi="Times New Roman"/>
          <w:b/>
          <w:bCs/>
          <w:i/>
          <w:iCs/>
          <w:sz w:val="24"/>
          <w:szCs w:val="24"/>
        </w:rPr>
        <w:t xml:space="preserve">The Defense Trauma Expert</w:t>
      </w:r>
    </w:p>
    <w:p>
      <w:pPr>
        <w:spacing w:after="0" w:line="480"/>
        <w:ind w:firstLine="720"/>
      </w:pPr>
      <w:r>
        <w:rPr>
          <w:rFonts w:ascii="Times New Roman" w:cs="Times New Roman" w:eastAsia="Times New Roman" w:hAnsi="Times New Roman"/>
          <w:sz w:val="24"/>
          <w:szCs w:val="24"/>
        </w:rPr>
        <w:t xml:space="preserve">The defense trauma expert will typically argue that the client's symptoms predate the program, that the client's recall is unreliable, or that the client's condition is attributable to factors other than institutional coercive control. Your deposition should target these opinions systematically.</w:t>
      </w:r>
    </w:p>
    <w:p>
      <w:pPr>
        <w:spacing w:after="0" w:line="480"/>
        <w:ind w:firstLine="720"/>
      </w:pPr>
      <w:r>
        <w:rPr>
          <w:rFonts w:ascii="Times New Roman" w:cs="Times New Roman" w:eastAsia="Times New Roman" w:hAnsi="Times New Roman"/>
          <w:sz w:val="24"/>
          <w:szCs w:val="24"/>
        </w:rPr>
        <w:t xml:space="preserve">"Have you reviewed the literature on complex trauma and coercive control? Can you identify the leading publications in the field?" "In your evaluation, did you assess whether Plaintiff's symptoms are consistent with C-PTSD as distinct from single-event PTSD?" "Did you evaluate the role of institutional coercive control in producing delayed disclosure? If not, why not?" "You opine that Plaintiff's condition is attributable to pre-existing factors. Can you identify the specific pre-existing condition that produces the full constellation of symptoms you observed?"</w:t>
      </w:r>
    </w:p>
    <w:p>
      <w:pPr>
        <w:spacing w:after="0" w:line="480"/>
        <w:ind w:firstLine="720"/>
      </w:pPr>
      <w:r>
        <w:rPr>
          <w:rFonts w:ascii="Times New Roman" w:cs="Times New Roman" w:eastAsia="Times New Roman" w:hAnsi="Times New Roman"/>
          <w:sz w:val="24"/>
          <w:szCs w:val="24"/>
        </w:rPr>
        <w:t xml:space="preserve">The key vulnerability of the defense trauma expert is alternative causation. If the expert attributes the client's symptoms to pre-existing conditions, demand specificity: which pre-existing condition produces this exact symptom cluster? If the expert cannot identify one, the alternative causation theory collapses.</w:t>
      </w:r>
    </w:p>
    <w:p>
      <w:pPr>
        <w:spacing w:after="0" w:before="240" w:line="480"/>
      </w:pPr>
      <w:r>
        <w:rPr>
          <w:rFonts w:ascii="Times New Roman" w:cs="Times New Roman" w:eastAsia="Times New Roman" w:hAnsi="Times New Roman"/>
          <w:b/>
          <w:bCs/>
          <w:i/>
          <w:iCs/>
          <w:sz w:val="24"/>
          <w:szCs w:val="24"/>
        </w:rPr>
        <w:t xml:space="preserve">The Defense Industry Standard Expert</w:t>
      </w:r>
    </w:p>
    <w:p>
      <w:pPr>
        <w:spacing w:after="0" w:line="480"/>
        <w:ind w:firstLine="720"/>
      </w:pPr>
      <w:r>
        <w:rPr>
          <w:rFonts w:ascii="Times New Roman" w:cs="Times New Roman" w:eastAsia="Times New Roman" w:hAnsi="Times New Roman"/>
          <w:sz w:val="24"/>
          <w:szCs w:val="24"/>
        </w:rPr>
        <w:t xml:space="preserve">The defense industry standard expert will argue that the program's practices fell within an acceptable range, that therapeutic discretion justified the use of confrontational methods, or that the standard of care for residential treatment programs is broader than the plaintiff suggests.</w:t>
      </w:r>
    </w:p>
    <w:p>
      <w:pPr>
        <w:spacing w:after="0" w:line="480"/>
        <w:ind w:firstLine="720"/>
      </w:pPr>
      <w:r>
        <w:rPr>
          <w:rFonts w:ascii="Times New Roman" w:cs="Times New Roman" w:eastAsia="Times New Roman" w:hAnsi="Times New Roman"/>
          <w:sz w:val="24"/>
          <w:szCs w:val="24"/>
        </w:rPr>
        <w:t xml:space="preserve">"Have you personally operated a residential treatment program for adolescents? For how long? During what period?" "Are you familiar with the specific regulations governing residential treatment in [state] during the Relevant Period?" "In your experience, is it standard practice to use physical restraint for non-compliance? To restrict family communication? To use peer surveillance as a behavioral management tool?" "Have you reviewed the Defendant's marketing materials? Do the representations in those materials reflect the standard of care?" "If the Defendant marketed services it did not provide, does that fall within the standard of care?"</w:t>
      </w:r>
    </w:p>
    <w:p>
      <w:pPr>
        <w:spacing w:after="0" w:line="480"/>
        <w:ind w:firstLine="720"/>
      </w:pPr>
      <w:r>
        <w:rPr>
          <w:rFonts w:ascii="Times New Roman" w:cs="Times New Roman" w:eastAsia="Times New Roman" w:hAnsi="Times New Roman"/>
          <w:sz w:val="24"/>
          <w:szCs w:val="24"/>
        </w:rPr>
        <w:t xml:space="preserve">The key vulnerability of the defense industry standard expert is the marketing-operations gap. No credible expert can testify that marketing licensed therapy while delivering untrained behavioral control is consistent with the standard of care. Pin the expert to the marketing representations, then confront them with the operational reality.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TTI Expert Team Checklist</w:t>
      </w:r>
    </w:p>
    <w:p>
      <w:pPr>
        <w:spacing w:after="0" w:line="480"/>
      </w:pPr>
    </w:p>
    <w:p>
      <w:pPr>
        <w:spacing w:after="0" w:line="480"/>
      </w:pPr>
      <w:r>
        <w:rPr>
          <w:rFonts w:ascii="Times New Roman" w:cs="Times New Roman" w:eastAsia="Times New Roman" w:hAnsi="Times New Roman"/>
          <w:sz w:val="24"/>
          <w:szCs w:val="24"/>
        </w:rPr>
        <w:t xml:space="preserve">Use this checklist to identify which experts your case requires. Not every case needs every expert, but every case needs at least a trauma expert and an industry standard expert.</w:t>
      </w:r>
    </w:p>
    <w:p>
      <w:pPr>
        <w:spacing w:after="0" w:line="480"/>
        <w:ind w:firstLine="720"/>
      </w:pPr>
      <w:r>
        <w:rPr>
          <w:rFonts w:ascii="Times New Roman" w:cs="Times New Roman" w:eastAsia="Times New Roman" w:hAnsi="Times New Roman"/>
          <w:i/>
          <w:iCs/>
          <w:sz w:val="24"/>
          <w:szCs w:val="24"/>
        </w:rPr>
        <w:t xml:space="preserve">Required in every TTI case:</w:t>
      </w:r>
      <w:r>
        <w:rPr>
          <w:rFonts w:ascii="Times New Roman" w:cs="Times New Roman" w:eastAsia="Times New Roman" w:hAnsi="Times New Roman"/>
          <w:sz w:val="24"/>
          <w:szCs w:val="24"/>
        </w:rPr>
        <w:t xml:space="preserve"> Trauma psychologist (C-PTSD, causation, delayed disclosure, developmental disruption). Industry standard expert (standard of care for therapeutic programs, deviation analysis).</w:t>
      </w:r>
    </w:p>
    <w:p>
      <w:pPr>
        <w:spacing w:after="0" w:line="480"/>
        <w:ind w:firstLine="720"/>
      </w:pPr>
      <w:r>
        <w:rPr>
          <w:rFonts w:ascii="Times New Roman" w:cs="Times New Roman" w:eastAsia="Times New Roman" w:hAnsi="Times New Roman"/>
          <w:i/>
          <w:iCs/>
          <w:sz w:val="24"/>
          <w:szCs w:val="24"/>
        </w:rPr>
        <w:t xml:space="preserve">Strongly recommended:</w:t>
      </w:r>
      <w:r>
        <w:rPr>
          <w:rFonts w:ascii="Times New Roman" w:cs="Times New Roman" w:eastAsia="Times New Roman" w:hAnsi="Times New Roman"/>
          <w:sz w:val="24"/>
          <w:szCs w:val="24"/>
        </w:rPr>
        <w:t xml:space="preserve"> Coercive control expert (BITE framework application, organizational dynamics, undue influence). Forensic economist and vocational expert (lost earnings, educational loss, earning capacity gap). Life care planner (lifetime treatment cost projection).</w:t>
      </w:r>
    </w:p>
    <w:p>
      <w:pPr>
        <w:spacing w:after="0" w:line="480"/>
        <w:ind w:firstLine="720"/>
      </w:pPr>
      <w:r>
        <w:rPr>
          <w:rFonts w:ascii="Times New Roman" w:cs="Times New Roman" w:eastAsia="Times New Roman" w:hAnsi="Times New Roman"/>
          <w:i/>
          <w:iCs/>
          <w:sz w:val="24"/>
          <w:szCs w:val="24"/>
        </w:rPr>
        <w:t xml:space="preserve">Case-specific:</w:t>
      </w:r>
      <w:r>
        <w:rPr>
          <w:rFonts w:ascii="Times New Roman" w:cs="Times New Roman" w:eastAsia="Times New Roman" w:hAnsi="Times New Roman"/>
          <w:sz w:val="24"/>
          <w:szCs w:val="24"/>
        </w:rPr>
        <w:t xml:space="preserve"> Child development expert (developmental interruption during adolescence, Perry's sequential processing). Educational expert (academic impact, credential loss, educational remediation needs). Human trafficking expert (if forced labor claims under TVPA). Medical expert (somatic symptoms, autoimmune consequences, neurological changes from chronic stress).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TTI cases require a coordinated expert team, not a collection of independent witnesses. Each expert builds on the one before to construct a unified narrative of system, deviation, injury, and cost.</w:t>
      </w:r>
    </w:p>
    <w:p>
      <w:pPr>
        <w:spacing w:after="0" w:line="480"/>
        <w:ind w:firstLine="720"/>
      </w:pPr>
      <w:r>
        <w:rPr>
          <w:rFonts w:ascii="Times New Roman" w:cs="Times New Roman" w:eastAsia="Times New Roman" w:hAnsi="Times New Roman"/>
          <w:sz w:val="24"/>
          <w:szCs w:val="24"/>
        </w:rPr>
        <w:t xml:space="preserve">The trauma psychologist provides diagnosis (C-PTSD), causation, mechanism of harm, developmental disruption, and delayed disclosure explanation. Select an expert with clinical experience in institutional coercive control, not just general trauma.</w:t>
      </w:r>
    </w:p>
    <w:p>
      <w:pPr>
        <w:spacing w:after="0" w:line="480"/>
        <w:ind w:firstLine="720"/>
      </w:pPr>
      <w:r>
        <w:rPr>
          <w:rFonts w:ascii="Times New Roman" w:cs="Times New Roman" w:eastAsia="Times New Roman" w:hAnsi="Times New Roman"/>
          <w:sz w:val="24"/>
          <w:szCs w:val="24"/>
        </w:rPr>
        <w:t xml:space="preserve">The coercive control expert names the system using the BITE framework—without using the word cult. Ground the testimony in Cialdini, Milgram, Zimbardo, and Stark. Prepare the Daubert brief before the defense files its motion.</w:t>
      </w:r>
    </w:p>
    <w:p>
      <w:pPr>
        <w:spacing w:after="0" w:line="480"/>
        <w:ind w:firstLine="720"/>
      </w:pPr>
      <w:r>
        <w:rPr>
          <w:rFonts w:ascii="Times New Roman" w:cs="Times New Roman" w:eastAsia="Times New Roman" w:hAnsi="Times New Roman"/>
          <w:sz w:val="24"/>
          <w:szCs w:val="24"/>
        </w:rPr>
        <w:t xml:space="preserve">The industry standard expert establishes what a legitimate therapeutic program looks like, then shows the jury how far the defendant fell from that standard. In TTI cases, the gap is usually enormous.</w:t>
      </w:r>
    </w:p>
    <w:p>
      <w:pPr>
        <w:spacing w:after="0" w:line="480"/>
        <w:ind w:firstLine="720"/>
      </w:pPr>
      <w:r>
        <w:rPr>
          <w:rFonts w:ascii="Times New Roman" w:cs="Times New Roman" w:eastAsia="Times New Roman" w:hAnsi="Times New Roman"/>
          <w:sz w:val="24"/>
          <w:szCs w:val="24"/>
        </w:rPr>
        <w:t xml:space="preserve">The forensic economist and vocational expert quantify the developmental theft: lost earning capacity, interrupted education, and the diminished occupational ceiling that follows adolescent institutional abuse.</w:t>
      </w:r>
    </w:p>
    <w:p>
      <w:pPr>
        <w:spacing w:after="0" w:line="480"/>
        <w:ind w:firstLine="720"/>
      </w:pPr>
      <w:r>
        <w:rPr>
          <w:rFonts w:ascii="Times New Roman" w:cs="Times New Roman" w:eastAsia="Times New Roman" w:hAnsi="Times New Roman"/>
          <w:sz w:val="24"/>
          <w:szCs w:val="24"/>
        </w:rPr>
        <w:t xml:space="preserve">The life care planner projects lifetime treatment costs, converting abstract psychological injury into concrete, quantifiable need that the jury can use to calculate damages.</w:t>
      </w:r>
    </w:p>
    <w:p>
      <w:pPr>
        <w:spacing w:after="0" w:line="480"/>
        <w:ind w:firstLine="720"/>
      </w:pPr>
      <w:r>
        <w:rPr>
          <w:rFonts w:ascii="Times New Roman" w:cs="Times New Roman" w:eastAsia="Times New Roman" w:hAnsi="Times New Roman"/>
          <w:sz w:val="24"/>
          <w:szCs w:val="24"/>
        </w:rPr>
        <w:t xml:space="preserve">Coordinate the team: share materials, avoid contradictions, and sequence testimony strategically—coercive control, industry standard, trauma, then economics. The sequence tells the story the jury carries into deliberation.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Expert Witnesses in TTI Cases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2026-05-08T05:36:36.775Z</dcterms:created>
  <dcterms:modified xsi:type="dcterms:W3CDTF">2026-05-08T05:36:36.776Z</dcterms:modified>
</cp:coreProperties>
</file>

<file path=docProps/custom.xml><?xml version="1.0" encoding="utf-8"?>
<Properties xmlns="http://schemas.openxmlformats.org/officeDocument/2006/custom-properties" xmlns:vt="http://schemas.openxmlformats.org/officeDocument/2006/docPropsVTypes"/>
</file>