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b/>
          <w:bCs/>
          <w:sz w:val="36"/>
          <w:szCs w:val="36"/>
        </w:rPr>
        <w:t xml:space="preserve">BREAKING THE SYSTEM</w:t>
      </w:r>
    </w:p>
    <w:p>
      <w:pPr>
        <w:spacing w:after="0" w:line="480"/>
      </w:pPr>
    </w:p>
    <w:p>
      <w:pPr>
        <w:spacing w:after="0" w:line="480"/>
      </w:pPr>
    </w:p>
    <w:p>
      <w:pPr>
        <w:spacing w:after="0" w:line="480"/>
        <w:jc w:val="center"/>
      </w:pPr>
      <w:r>
        <w:rPr>
          <w:rFonts w:ascii="Times New Roman" w:cs="Times New Roman" w:eastAsia="Times New Roman" w:hAnsi="Times New Roman"/>
          <w:i/>
          <w:iCs/>
          <w:sz w:val="26"/>
          <w:szCs w:val="26"/>
        </w:rPr>
        <w:t xml:space="preserve">A Trial Lawyer’s Guide to the</w:t>
      </w:r>
    </w:p>
    <w:p>
      <w:pPr>
        <w:spacing w:after="0" w:line="480"/>
        <w:jc w:val="center"/>
      </w:pPr>
      <w:r>
        <w:rPr>
          <w:rFonts w:ascii="Times New Roman" w:cs="Times New Roman" w:eastAsia="Times New Roman" w:hAnsi="Times New Roman"/>
          <w:i/>
          <w:iCs/>
          <w:sz w:val="26"/>
          <w:szCs w:val="26"/>
        </w:rPr>
        <w:t xml:space="preserve">Troubled Teen Industry</w:t>
      </w: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pageBreakBefore/>
        <w:spacing w:after="0" w:line="480"/>
      </w:pPr>
    </w:p>
    <w:p>
      <w:pPr>
        <w:spacing w:after="0" w:line="480"/>
      </w:pP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b/>
          <w:bCs/>
          <w:sz w:val="36"/>
          <w:szCs w:val="36"/>
        </w:rPr>
        <w:t xml:space="preserve">BREAKING THE SYSTEM</w:t>
      </w:r>
    </w:p>
    <w:p>
      <w:pPr>
        <w:spacing w:after="0" w:line="480"/>
      </w:pPr>
    </w:p>
    <w:p>
      <w:pPr>
        <w:spacing w:after="0" w:line="480"/>
        <w:jc w:val="center"/>
      </w:pPr>
      <w:r>
        <w:rPr>
          <w:rFonts w:ascii="Times New Roman" w:cs="Times New Roman" w:eastAsia="Times New Roman" w:hAnsi="Times New Roman"/>
          <w:sz w:val="26"/>
          <w:szCs w:val="26"/>
        </w:rPr>
        <w:t xml:space="preserve">A Trial Lawyer’s Guide to the</w:t>
      </w:r>
    </w:p>
    <w:p>
      <w:pPr>
        <w:spacing w:after="0" w:line="480"/>
        <w:jc w:val="center"/>
      </w:pPr>
      <w:r>
        <w:rPr>
          <w:rFonts w:ascii="Times New Roman" w:cs="Times New Roman" w:eastAsia="Times New Roman" w:hAnsi="Times New Roman"/>
          <w:sz w:val="26"/>
          <w:szCs w:val="26"/>
        </w:rPr>
        <w:t xml:space="preserve">Troubled Teen Industry</w:t>
      </w:r>
    </w:p>
    <w:p>
      <w:pPr>
        <w:spacing w:after="0" w:line="480"/>
      </w:pP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b/>
          <w:bCs/>
          <w:sz w:val="24"/>
          <w:szCs w:val="24"/>
        </w:rPr>
        <w:t xml:space="preserve">Frank Stucki, Esq., MBA</w:t>
      </w: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sz w:val="24"/>
          <w:szCs w:val="24"/>
        </w:rPr>
        <w:t xml:space="preserve">In partnership with</w:t>
      </w:r>
    </w:p>
    <w:p>
      <w:pPr>
        <w:spacing w:after="0" w:line="480"/>
        <w:jc w:val="center"/>
      </w:pPr>
      <w:r>
        <w:rPr>
          <w:rFonts w:ascii="Times New Roman" w:cs="Times New Roman" w:eastAsia="Times New Roman" w:hAnsi="Times New Roman"/>
          <w:b/>
          <w:bCs/>
          <w:sz w:val="24"/>
          <w:szCs w:val="24"/>
        </w:rPr>
        <w:t xml:space="preserve">UNSILENCED</w:t>
      </w:r>
    </w:p>
    <w:p>
      <w:pPr>
        <w:spacing w:after="0" w:line="480"/>
        <w:jc w:val="center"/>
      </w:pPr>
      <w:r>
        <w:rPr>
          <w:rFonts w:ascii="Times New Roman" w:cs="Times New Roman" w:eastAsia="Times New Roman" w:hAnsi="Times New Roman"/>
          <w:i/>
          <w:iCs/>
          <w:sz w:val="24"/>
          <w:szCs w:val="24"/>
        </w:rPr>
        <w:t xml:space="preserve">Stand for them. Speak for them. Never be silenced.</w:t>
      </w:r>
    </w:p>
    <w:p>
      <w:pPr>
        <w:pageBreakBefore/>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r>
        <w:rPr>
          <w:rFonts w:ascii="Times New Roman" w:cs="Times New Roman" w:eastAsia="Times New Roman" w:hAnsi="Times New Roman"/>
          <w:sz w:val="24"/>
          <w:szCs w:val="24"/>
        </w:rPr>
        <w:t xml:space="preserve">Copyright © 2026 by Frank Stucki</w:t>
      </w:r>
    </w:p>
    <w:p>
      <w:pPr>
        <w:spacing w:after="0" w:line="480"/>
      </w:pPr>
    </w:p>
    <w:p>
      <w:pPr>
        <w:spacing w:after="0" w:line="480"/>
      </w:pPr>
      <w:r>
        <w:rPr>
          <w:rFonts w:ascii="Times New Roman" w:cs="Times New Roman" w:eastAsia="Times New Roman" w:hAnsi="Times New Roman"/>
          <w:sz w:val="24"/>
          <w:szCs w:val="24"/>
        </w:rPr>
        <w:t xml:space="preserve">All rights reserved. No part of this publication may be reproduced, stored in a retrieval system, or transmitted in any form or by any means, electronic, mechanical, photocopying, recording, or otherwise, without the prior written permission of the author.</w:t>
      </w:r>
    </w:p>
    <w:p>
      <w:pPr>
        <w:spacing w:after="0" w:line="480"/>
      </w:pPr>
    </w:p>
    <w:p>
      <w:pPr>
        <w:spacing w:after="0" w:line="480"/>
      </w:pPr>
      <w:r>
        <w:rPr>
          <w:rFonts w:ascii="Times New Roman" w:cs="Times New Roman" w:eastAsia="Times New Roman" w:hAnsi="Times New Roman"/>
          <w:sz w:val="24"/>
          <w:szCs w:val="24"/>
        </w:rPr>
        <w:t xml:space="preserve">Published in partnership with Unsilenced</w:t>
      </w:r>
    </w:p>
    <w:p>
      <w:pPr>
        <w:spacing w:after="0" w:line="480"/>
      </w:pPr>
      <w:r>
        <w:rPr>
          <w:rFonts w:ascii="Times New Roman" w:cs="Times New Roman" w:eastAsia="Times New Roman" w:hAnsi="Times New Roman"/>
          <w:sz w:val="24"/>
          <w:szCs w:val="24"/>
        </w:rPr>
        <w:t xml:space="preserve">30767 Gateway Place, Suite 131</w:t>
      </w:r>
    </w:p>
    <w:p>
      <w:pPr>
        <w:spacing w:after="0" w:line="480"/>
      </w:pPr>
      <w:r>
        <w:rPr>
          <w:rFonts w:ascii="Times New Roman" w:cs="Times New Roman" w:eastAsia="Times New Roman" w:hAnsi="Times New Roman"/>
          <w:sz w:val="24"/>
          <w:szCs w:val="24"/>
        </w:rPr>
        <w:t xml:space="preserve">Rancho Mission Viejo, CA 92694</w:t>
      </w:r>
    </w:p>
    <w:p>
      <w:pPr>
        <w:spacing w:after="0" w:line="480"/>
      </w:pPr>
      <w:r>
        <w:rPr>
          <w:rFonts w:ascii="Times New Roman" w:cs="Times New Roman" w:eastAsia="Times New Roman" w:hAnsi="Times New Roman"/>
          <w:sz w:val="24"/>
          <w:szCs w:val="24"/>
        </w:rPr>
        <w:t xml:space="preserve">www.unsilenced.org</w:t>
      </w:r>
    </w:p>
    <w:p>
      <w:pPr>
        <w:spacing w:after="0" w:line="480"/>
      </w:pPr>
    </w:p>
    <w:p>
      <w:pPr>
        <w:spacing w:after="0" w:line="480"/>
      </w:pPr>
      <w:r>
        <w:rPr>
          <w:rFonts w:ascii="Times New Roman" w:cs="Times New Roman" w:eastAsia="Times New Roman" w:hAnsi="Times New Roman"/>
          <w:sz w:val="24"/>
          <w:szCs w:val="24"/>
        </w:rPr>
        <w:t xml:space="preserve">Cover design: [TBD]</w:t>
      </w:r>
    </w:p>
    <w:p>
      <w:pPr>
        <w:spacing w:after="0" w:line="480"/>
      </w:pPr>
      <w:r>
        <w:rPr>
          <w:rFonts w:ascii="Times New Roman" w:cs="Times New Roman" w:eastAsia="Times New Roman" w:hAnsi="Times New Roman"/>
          <w:sz w:val="24"/>
          <w:szCs w:val="24"/>
        </w:rPr>
        <w:t xml:space="preserve">Interior design: [TBD]</w:t>
      </w:r>
    </w:p>
    <w:p>
      <w:pPr>
        <w:spacing w:after="0" w:line="480"/>
      </w:pPr>
    </w:p>
    <w:p>
      <w:pPr>
        <w:spacing w:after="0" w:line="480"/>
      </w:pPr>
      <w:r>
        <w:rPr>
          <w:rFonts w:ascii="Times New Roman" w:cs="Times New Roman" w:eastAsia="Times New Roman" w:hAnsi="Times New Roman"/>
          <w:sz w:val="24"/>
          <w:szCs w:val="24"/>
        </w:rPr>
        <w:t xml:space="preserve">Printed in the United States of America</w:t>
      </w:r>
    </w:p>
    <w:p>
      <w:pPr>
        <w:spacing w:after="0" w:line="480"/>
      </w:pPr>
    </w:p>
    <w:p>
      <w:pPr>
        <w:spacing w:after="0" w:line="480"/>
      </w:pPr>
      <w:r>
        <w:rPr>
          <w:rFonts w:ascii="Times New Roman" w:cs="Times New Roman" w:eastAsia="Times New Roman" w:hAnsi="Times New Roman"/>
          <w:sz w:val="24"/>
          <w:szCs w:val="24"/>
        </w:rPr>
        <w:t xml:space="preserve">ISBN: [TBD]</w:t>
      </w:r>
    </w:p>
    <w:p>
      <w:pPr>
        <w:pageBreakBefore/>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i/>
          <w:iCs/>
          <w:sz w:val="24"/>
          <w:szCs w:val="24"/>
        </w:rPr>
        <w:t xml:space="preserve">For the ones they took.</w:t>
      </w:r>
    </w:p>
    <w:p>
      <w:pPr>
        <w:spacing w:after="0" w:line="480"/>
      </w:pPr>
    </w:p>
    <w:p>
      <w:pPr>
        <w:spacing w:after="0" w:line="480"/>
        <w:jc w:val="center"/>
      </w:pPr>
      <w:r>
        <w:rPr>
          <w:rFonts w:ascii="Times New Roman" w:cs="Times New Roman" w:eastAsia="Times New Roman" w:hAnsi="Times New Roman"/>
          <w:i/>
          <w:iCs/>
          <w:sz w:val="24"/>
          <w:szCs w:val="24"/>
        </w:rPr>
        <w:t xml:space="preserve">For the parents who didn’t know.</w:t>
      </w:r>
    </w:p>
    <w:p>
      <w:pPr>
        <w:spacing w:after="0" w:line="480"/>
        <w:jc w:val="center"/>
      </w:pPr>
      <w:r>
        <w:rPr>
          <w:rFonts w:ascii="Times New Roman" w:cs="Times New Roman" w:eastAsia="Times New Roman" w:hAnsi="Times New Roman"/>
          <w:i/>
          <w:iCs/>
          <w:sz w:val="24"/>
          <w:szCs w:val="24"/>
        </w:rPr>
        <w:t xml:space="preserve">For the ones who knew and chose to act.</w:t>
      </w:r>
    </w:p>
    <w:p>
      <w:pPr>
        <w:spacing w:after="0" w:line="480"/>
      </w:pPr>
    </w:p>
    <w:p>
      <w:pPr>
        <w:spacing w:after="0" w:line="480"/>
      </w:pPr>
    </w:p>
    <w:p>
      <w:pPr>
        <w:spacing w:after="0" w:line="480"/>
        <w:jc w:val="center"/>
      </w:pPr>
      <w:r>
        <w:rPr>
          <w:rFonts w:ascii="Times New Roman" w:cs="Times New Roman" w:eastAsia="Times New Roman" w:hAnsi="Times New Roman"/>
          <w:i/>
          <w:iCs/>
          <w:sz w:val="24"/>
          <w:szCs w:val="24"/>
        </w:rPr>
        <w:t xml:space="preserve">It was not your fault.</w:t>
      </w:r>
    </w:p>
    <w:p>
      <w:pPr>
        <w:spacing w:after="0" w:line="480"/>
      </w:pPr>
    </w:p>
    <w:p>
      <w:pPr>
        <w:spacing w:after="0" w:line="480"/>
        <w:jc w:val="center"/>
      </w:pPr>
      <w:r>
        <w:rPr>
          <w:rFonts w:ascii="Times New Roman" w:cs="Times New Roman" w:eastAsia="Times New Roman" w:hAnsi="Times New Roman"/>
          <w:i/>
          <w:iCs/>
          <w:sz w:val="24"/>
          <w:szCs w:val="24"/>
        </w:rPr>
        <w:t xml:space="preserve">They were just kids.</w:t>
      </w:r>
    </w:p>
    <w:p>
      <w:pPr>
        <w:pageBreakBefore/>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sz w:val="24"/>
          <w:szCs w:val="24"/>
        </w:rPr>
        <w:t xml:space="preserve">“The conflict between the will to deny horrible events</w:t>
      </w:r>
    </w:p>
    <w:p>
      <w:pPr>
        <w:spacing w:after="0" w:line="480"/>
        <w:jc w:val="center"/>
      </w:pPr>
      <w:r>
        <w:rPr>
          <w:rFonts w:ascii="Times New Roman" w:cs="Times New Roman" w:eastAsia="Times New Roman" w:hAnsi="Times New Roman"/>
          <w:sz w:val="24"/>
          <w:szCs w:val="24"/>
        </w:rPr>
        <w:t xml:space="preserve">and the will to proclaim them aloud is the central</w:t>
      </w:r>
    </w:p>
    <w:p>
      <w:pPr>
        <w:spacing w:after="0" w:line="480"/>
        <w:jc w:val="center"/>
      </w:pPr>
      <w:r>
        <w:rPr>
          <w:rFonts w:ascii="Times New Roman" w:cs="Times New Roman" w:eastAsia="Times New Roman" w:hAnsi="Times New Roman"/>
          <w:sz w:val="24"/>
          <w:szCs w:val="24"/>
        </w:rPr>
        <w:t xml:space="preserve">dialectic of psychological trauma.”</w:t>
      </w:r>
    </w:p>
    <w:p>
      <w:pPr>
        <w:spacing w:after="0" w:line="480"/>
        <w:jc w:val="center"/>
      </w:pPr>
      <w:r>
        <w:rPr>
          <w:rFonts w:ascii="Times New Roman" w:cs="Times New Roman" w:eastAsia="Times New Roman" w:hAnsi="Times New Roman"/>
          <w:sz w:val="24"/>
          <w:szCs w:val="24"/>
        </w:rPr>
        <w:t xml:space="preserve">— Judith Herman, </w:t>
      </w:r>
      <w:r>
        <w:rPr>
          <w:rFonts w:ascii="Times New Roman" w:cs="Times New Roman" w:eastAsia="Times New Roman" w:hAnsi="Times New Roman"/>
          <w:i/>
          <w:iCs/>
          <w:sz w:val="24"/>
          <w:szCs w:val="24"/>
        </w:rPr>
        <w:t xml:space="preserve">Trauma and Recovery</w:t>
      </w: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sz w:val="24"/>
          <w:szCs w:val="24"/>
        </w:rPr>
        <w:t xml:space="preserve">“No one is coming to save you.</w:t>
      </w:r>
    </w:p>
    <w:p>
      <w:pPr>
        <w:spacing w:after="0" w:line="480"/>
        <w:jc w:val="center"/>
      </w:pPr>
      <w:r>
        <w:rPr>
          <w:rFonts w:ascii="Times New Roman" w:cs="Times New Roman" w:eastAsia="Times New Roman" w:hAnsi="Times New Roman"/>
          <w:sz w:val="24"/>
          <w:szCs w:val="24"/>
        </w:rPr>
        <w:t xml:space="preserve">That is the first lesson of the program.</w:t>
      </w:r>
    </w:p>
    <w:p>
      <w:pPr>
        <w:spacing w:after="0" w:line="480"/>
        <w:jc w:val="center"/>
      </w:pPr>
      <w:r>
        <w:rPr>
          <w:rFonts w:ascii="Times New Roman" w:cs="Times New Roman" w:eastAsia="Times New Roman" w:hAnsi="Times New Roman"/>
          <w:sz w:val="24"/>
          <w:szCs w:val="24"/>
        </w:rPr>
        <w:t xml:space="preserve">The second lesson is that the first lesson was a lie—</w:t>
      </w:r>
    </w:p>
    <w:p>
      <w:pPr>
        <w:spacing w:after="0" w:line="480"/>
        <w:jc w:val="center"/>
      </w:pPr>
      <w:r>
        <w:rPr>
          <w:rFonts w:ascii="Times New Roman" w:cs="Times New Roman" w:eastAsia="Times New Roman" w:hAnsi="Times New Roman"/>
          <w:sz w:val="24"/>
          <w:szCs w:val="24"/>
        </w:rPr>
        <w:t xml:space="preserve">someone was always supposed to come.”</w:t>
      </w:r>
    </w:p>
    <w:p>
      <w:pPr>
        <w:spacing w:after="0" w:line="480"/>
        <w:jc w:val="center"/>
      </w:pPr>
      <w:r>
        <w:rPr>
          <w:rFonts w:ascii="Times New Roman" w:cs="Times New Roman" w:eastAsia="Times New Roman" w:hAnsi="Times New Roman"/>
          <w:sz w:val="24"/>
          <w:szCs w:val="24"/>
        </w:rPr>
        <w:t xml:space="preserve">— A survivor</w:t>
      </w:r>
    </w:p>
    <w:p>
      <w:pPr>
        <w:pageBreakBefore/>
        <w:spacing w:after="0" w:line="480"/>
      </w:pPr>
    </w:p>
    <w:p>
      <w:pPr>
        <w:spacing w:after="0" w:line="480"/>
      </w:pPr>
    </w:p>
    <w:p>
      <w:pPr>
        <w:spacing w:after="0" w:line="480"/>
        <w:jc w:val="center"/>
      </w:pPr>
      <w:r>
        <w:rPr>
          <w:rFonts w:ascii="Times New Roman" w:cs="Times New Roman" w:eastAsia="Times New Roman" w:hAnsi="Times New Roman"/>
          <w:b/>
          <w:bCs/>
          <w:sz w:val="28"/>
          <w:szCs w:val="28"/>
        </w:rPr>
        <w:t xml:space="preserve">CONTENTS</w:t>
      </w:r>
    </w:p>
    <w:p>
      <w:pPr>
        <w:spacing w:after="0" w:line="480"/>
      </w:pPr>
    </w:p>
    <w:p>
      <w:pPr>
        <w:spacing w:after="0" w:line="360"/>
        <w:ind w:left="360"/>
      </w:pPr>
      <w:r>
        <w:rPr>
          <w:rFonts w:ascii="Times New Roman" w:cs="Times New Roman" w:eastAsia="Times New Roman" w:hAnsi="Times New Roman"/>
          <w:sz w:val="22"/>
          <w:szCs w:val="22"/>
        </w:rPr>
        <w:t xml:space="preserve">Dedication</w:t>
      </w:r>
    </w:p>
    <w:p>
      <w:pPr>
        <w:spacing w:after="0" w:line="360"/>
        <w:ind w:left="360"/>
      </w:pPr>
      <w:r>
        <w:rPr>
          <w:rFonts w:ascii="Times New Roman" w:cs="Times New Roman" w:eastAsia="Times New Roman" w:hAnsi="Times New Roman"/>
          <w:sz w:val="22"/>
          <w:szCs w:val="22"/>
        </w:rPr>
        <w:t xml:space="preserve">Author’s Note</w:t>
      </w:r>
    </w:p>
    <w:p>
      <w:pPr>
        <w:spacing w:after="0" w:line="360"/>
        <w:ind w:left="360"/>
      </w:pPr>
      <w:r>
        <w:rPr>
          <w:rFonts w:ascii="Times New Roman" w:cs="Times New Roman" w:eastAsia="Times New Roman" w:hAnsi="Times New Roman"/>
          <w:sz w:val="22"/>
          <w:szCs w:val="22"/>
        </w:rPr>
        <w:t xml:space="preserve">Introduction</w:t>
      </w:r>
    </w:p>
    <w:p>
      <w:pPr>
        <w:spacing w:after="0" w:line="480"/>
      </w:pPr>
    </w:p>
    <w:p>
      <w:pPr>
        <w:spacing w:after="0" w:before="120" w:line="360"/>
      </w:pPr>
      <w:r>
        <w:rPr>
          <w:rFonts w:ascii="Times New Roman" w:cs="Times New Roman" w:eastAsia="Times New Roman" w:hAnsi="Times New Roman"/>
          <w:b/>
          <w:bCs/>
          <w:sz w:val="22"/>
          <w:szCs w:val="22"/>
        </w:rPr>
        <w:t xml:space="preserve">Part I: The Industry</w:t>
      </w:r>
    </w:p>
    <w:p>
      <w:pPr>
        <w:spacing w:after="0" w:line="360"/>
        <w:ind w:left="360"/>
      </w:pPr>
      <w:r>
        <w:rPr>
          <w:rFonts w:ascii="Times New Roman" w:cs="Times New Roman" w:eastAsia="Times New Roman" w:hAnsi="Times New Roman"/>
          <w:sz w:val="22"/>
          <w:szCs w:val="22"/>
        </w:rPr>
        <w:t xml:space="preserve">Chapter 1: The Quiet War on Children</w:t>
      </w:r>
    </w:p>
    <w:p>
      <w:pPr>
        <w:spacing w:after="0" w:line="360"/>
        <w:ind w:left="360"/>
      </w:pPr>
      <w:r>
        <w:rPr>
          <w:rFonts w:ascii="Times New Roman" w:cs="Times New Roman" w:eastAsia="Times New Roman" w:hAnsi="Times New Roman"/>
          <w:sz w:val="22"/>
          <w:szCs w:val="22"/>
        </w:rPr>
        <w:t xml:space="preserve">Chapter 2: The Program as System, Not Backdrop</w:t>
      </w:r>
    </w:p>
    <w:p>
      <w:pPr>
        <w:spacing w:after="0" w:line="360"/>
        <w:ind w:left="360"/>
      </w:pPr>
      <w:r>
        <w:rPr>
          <w:rFonts w:ascii="Times New Roman" w:cs="Times New Roman" w:eastAsia="Times New Roman" w:hAnsi="Times New Roman"/>
          <w:sz w:val="22"/>
          <w:szCs w:val="22"/>
        </w:rPr>
        <w:t xml:space="preserve">Chapter 3: What It Does to Children — Complex Trauma and Developmental Theft</w:t>
      </w:r>
    </w:p>
    <w:p>
      <w:pPr>
        <w:spacing w:after="0" w:line="360"/>
        <w:ind w:left="360"/>
      </w:pPr>
      <w:r>
        <w:rPr>
          <w:rFonts w:ascii="Times New Roman" w:cs="Times New Roman" w:eastAsia="Times New Roman" w:hAnsi="Times New Roman"/>
          <w:sz w:val="22"/>
          <w:szCs w:val="22"/>
        </w:rPr>
        <w:t xml:space="preserve">Chapter 4: The Architecture of Silence — Why No One Complained</w:t>
      </w:r>
    </w:p>
    <w:p>
      <w:pPr>
        <w:spacing w:after="0" w:line="360"/>
        <w:ind w:left="360"/>
      </w:pPr>
      <w:r>
        <w:rPr>
          <w:rFonts w:ascii="Times New Roman" w:cs="Times New Roman" w:eastAsia="Times New Roman" w:hAnsi="Times New Roman"/>
          <w:sz w:val="22"/>
          <w:szCs w:val="22"/>
        </w:rPr>
        <w:t xml:space="preserve">Chapter 5: Mind Control Is Not Mystical — The BITE Model as Proof Architecture</w:t>
      </w:r>
    </w:p>
    <w:p>
      <w:pPr>
        <w:spacing w:after="0" w:before="120" w:line="360"/>
      </w:pPr>
      <w:r>
        <w:rPr>
          <w:rFonts w:ascii="Times New Roman" w:cs="Times New Roman" w:eastAsia="Times New Roman" w:hAnsi="Times New Roman"/>
          <w:b/>
          <w:bCs/>
          <w:sz w:val="22"/>
          <w:szCs w:val="22"/>
        </w:rPr>
        <w:t xml:space="preserve">Part II: For Survivors &amp; Families</w:t>
      </w:r>
    </w:p>
    <w:p>
      <w:pPr>
        <w:spacing w:after="0" w:line="360"/>
        <w:ind w:left="360"/>
      </w:pPr>
      <w:r>
        <w:rPr>
          <w:rFonts w:ascii="Times New Roman" w:cs="Times New Roman" w:eastAsia="Times New Roman" w:hAnsi="Times New Roman"/>
          <w:sz w:val="22"/>
          <w:szCs w:val="22"/>
        </w:rPr>
        <w:t xml:space="preserve">Chapter 6: What Happened to You Was Real</w:t>
      </w:r>
    </w:p>
    <w:p>
      <w:pPr>
        <w:spacing w:after="0" w:line="360"/>
        <w:ind w:left="360"/>
      </w:pPr>
      <w:r>
        <w:rPr>
          <w:rFonts w:ascii="Times New Roman" w:cs="Times New Roman" w:eastAsia="Times New Roman" w:hAnsi="Times New Roman"/>
          <w:sz w:val="22"/>
          <w:szCs w:val="22"/>
        </w:rPr>
        <w:t xml:space="preserve">Chapter 7: For Parents — What You Need to Know</w:t>
      </w:r>
    </w:p>
    <w:p>
      <w:pPr>
        <w:spacing w:after="0" w:line="360"/>
        <w:ind w:left="360"/>
      </w:pPr>
      <w:r>
        <w:rPr>
          <w:rFonts w:ascii="Times New Roman" w:cs="Times New Roman" w:eastAsia="Times New Roman" w:hAnsi="Times New Roman"/>
          <w:sz w:val="22"/>
          <w:szCs w:val="22"/>
        </w:rPr>
        <w:t xml:space="preserve">Chapter 8: Finding a Lawyer and What to Expect</w:t>
      </w:r>
    </w:p>
    <w:p>
      <w:pPr>
        <w:spacing w:after="0" w:line="360"/>
        <w:ind w:left="360"/>
      </w:pPr>
      <w:r>
        <w:rPr>
          <w:rFonts w:ascii="Times New Roman" w:cs="Times New Roman" w:eastAsia="Times New Roman" w:hAnsi="Times New Roman"/>
          <w:sz w:val="22"/>
          <w:szCs w:val="22"/>
        </w:rPr>
        <w:t xml:space="preserve">Chapter 9: Preserving Your Evidence</w:t>
      </w:r>
    </w:p>
    <w:p>
      <w:pPr>
        <w:spacing w:after="0" w:before="120" w:line="360"/>
      </w:pPr>
      <w:r>
        <w:rPr>
          <w:rFonts w:ascii="Times New Roman" w:cs="Times New Roman" w:eastAsia="Times New Roman" w:hAnsi="Times New Roman"/>
          <w:b/>
          <w:bCs/>
          <w:sz w:val="22"/>
          <w:szCs w:val="22"/>
        </w:rPr>
        <w:t xml:space="preserve">Part III: Building the Case</w:t>
      </w:r>
    </w:p>
    <w:p>
      <w:pPr>
        <w:spacing w:after="0" w:line="360"/>
        <w:ind w:left="360"/>
      </w:pPr>
      <w:r>
        <w:rPr>
          <w:rFonts w:ascii="Times New Roman" w:cs="Times New Roman" w:eastAsia="Times New Roman" w:hAnsi="Times New Roman"/>
          <w:sz w:val="22"/>
          <w:szCs w:val="22"/>
        </w:rPr>
        <w:t xml:space="preserve">Chapter 10: The First Interview — Converting Narrative Chaos into Proof</w:t>
      </w:r>
    </w:p>
    <w:p>
      <w:pPr>
        <w:spacing w:after="0" w:line="360"/>
        <w:ind w:left="360"/>
      </w:pPr>
      <w:r>
        <w:rPr>
          <w:rFonts w:ascii="Times New Roman" w:cs="Times New Roman" w:eastAsia="Times New Roman" w:hAnsi="Times New Roman"/>
          <w:sz w:val="22"/>
          <w:szCs w:val="22"/>
        </w:rPr>
        <w:t xml:space="preserve">Chapter 11: The Complaint as a Weapon</w:t>
      </w:r>
    </w:p>
    <w:p>
      <w:pPr>
        <w:spacing w:after="0" w:line="360"/>
        <w:ind w:left="360"/>
      </w:pPr>
      <w:r>
        <w:rPr>
          <w:rFonts w:ascii="Times New Roman" w:cs="Times New Roman" w:eastAsia="Times New Roman" w:hAnsi="Times New Roman"/>
          <w:sz w:val="22"/>
          <w:szCs w:val="22"/>
        </w:rPr>
        <w:t xml:space="preserve">Chapter 12: BITE-Mapped Discovery</w:t>
      </w:r>
    </w:p>
    <w:p>
      <w:pPr>
        <w:spacing w:after="0" w:line="360"/>
        <w:ind w:left="360"/>
      </w:pPr>
      <w:r>
        <w:rPr>
          <w:rFonts w:ascii="Times New Roman" w:cs="Times New Roman" w:eastAsia="Times New Roman" w:hAnsi="Times New Roman"/>
          <w:sz w:val="22"/>
          <w:szCs w:val="22"/>
        </w:rPr>
        <w:t xml:space="preserve">Chapter 13: Expert Witnesses in TTI Cases</w:t>
      </w:r>
    </w:p>
    <w:p>
      <w:pPr>
        <w:spacing w:after="0" w:line="360"/>
        <w:ind w:left="360"/>
      </w:pPr>
      <w:r>
        <w:rPr>
          <w:rFonts w:ascii="Times New Roman" w:cs="Times New Roman" w:eastAsia="Times New Roman" w:hAnsi="Times New Roman"/>
          <w:sz w:val="22"/>
          <w:szCs w:val="22"/>
        </w:rPr>
        <w:t xml:space="preserve">Chapter 14: Defeating the TTI Defense Playbook</w:t>
      </w:r>
    </w:p>
    <w:p>
      <w:pPr>
        <w:spacing w:after="0" w:before="120" w:line="360"/>
      </w:pPr>
      <w:r>
        <w:rPr>
          <w:rFonts w:ascii="Times New Roman" w:cs="Times New Roman" w:eastAsia="Times New Roman" w:hAnsi="Times New Roman"/>
          <w:b/>
          <w:bCs/>
          <w:sz w:val="22"/>
          <w:szCs w:val="22"/>
        </w:rPr>
        <w:t xml:space="preserve">Part IV: Trial</w:t>
      </w:r>
    </w:p>
    <w:p>
      <w:pPr>
        <w:spacing w:after="0" w:line="360"/>
        <w:ind w:left="360"/>
      </w:pPr>
      <w:r>
        <w:rPr>
          <w:rFonts w:ascii="Times New Roman" w:cs="Times New Roman" w:eastAsia="Times New Roman" w:hAnsi="Times New Roman"/>
          <w:sz w:val="22"/>
          <w:szCs w:val="22"/>
        </w:rPr>
        <w:t xml:space="preserve">Chapter 15: Rules of the Road and Reptile for TTI Cases</w:t>
      </w:r>
    </w:p>
    <w:p>
      <w:pPr>
        <w:spacing w:after="0" w:line="360"/>
        <w:ind w:left="360"/>
      </w:pPr>
      <w:r>
        <w:rPr>
          <w:rFonts w:ascii="Times New Roman" w:cs="Times New Roman" w:eastAsia="Times New Roman" w:hAnsi="Times New Roman"/>
          <w:sz w:val="22"/>
          <w:szCs w:val="22"/>
        </w:rPr>
        <w:t xml:space="preserve">Chapter 16: Trial by Human — Radical Authenticity in the Courtroom</w:t>
      </w:r>
    </w:p>
    <w:p>
      <w:pPr>
        <w:spacing w:after="0" w:line="360"/>
        <w:ind w:left="360"/>
      </w:pPr>
      <w:r>
        <w:rPr>
          <w:rFonts w:ascii="Times New Roman" w:cs="Times New Roman" w:eastAsia="Times New Roman" w:hAnsi="Times New Roman"/>
          <w:sz w:val="22"/>
          <w:szCs w:val="22"/>
        </w:rPr>
        <w:t xml:space="preserve">Chapter 17: Damages — Proving the Value of What Was Taken</w:t>
      </w:r>
    </w:p>
    <w:p>
      <w:pPr>
        <w:spacing w:after="0" w:line="360"/>
        <w:ind w:left="360"/>
      </w:pPr>
      <w:r>
        <w:rPr>
          <w:rFonts w:ascii="Times New Roman" w:cs="Times New Roman" w:eastAsia="Times New Roman" w:hAnsi="Times New Roman"/>
          <w:sz w:val="22"/>
          <w:szCs w:val="22"/>
        </w:rPr>
        <w:t xml:space="preserve">Chapter 18: Witness Strategy and Preparation</w:t>
      </w:r>
    </w:p>
    <w:p>
      <w:pPr>
        <w:spacing w:after="0" w:line="360"/>
        <w:ind w:left="360"/>
      </w:pPr>
      <w:r>
        <w:rPr>
          <w:rFonts w:ascii="Times New Roman" w:cs="Times New Roman" w:eastAsia="Times New Roman" w:hAnsi="Times New Roman"/>
          <w:sz w:val="22"/>
          <w:szCs w:val="22"/>
        </w:rPr>
        <w:t xml:space="preserve">Chapter 19: Opening, Cross, and Closing</w:t>
      </w:r>
    </w:p>
    <w:p>
      <w:pPr>
        <w:spacing w:after="0" w:line="360"/>
        <w:ind w:left="360"/>
      </w:pPr>
      <w:r>
        <w:rPr>
          <w:rFonts w:ascii="Times New Roman" w:cs="Times New Roman" w:eastAsia="Times New Roman" w:hAnsi="Times New Roman"/>
          <w:sz w:val="22"/>
          <w:szCs w:val="22"/>
        </w:rPr>
        <w:t xml:space="preserve">Chapter 20: Presenting to Every Audience</w:t>
      </w:r>
    </w:p>
    <w:p>
      <w:pPr>
        <w:spacing w:after="0" w:line="360"/>
        <w:ind w:left="360"/>
      </w:pPr>
      <w:r>
        <w:rPr>
          <w:rFonts w:ascii="Times New Roman" w:cs="Times New Roman" w:eastAsia="Times New Roman" w:hAnsi="Times New Roman"/>
          <w:sz w:val="22"/>
          <w:szCs w:val="22"/>
        </w:rPr>
        <w:t xml:space="preserve">Chapter 21: Settlement, Mediation, and Resolution</w:t>
      </w:r>
    </w:p>
    <w:p>
      <w:pPr>
        <w:spacing w:after="0" w:before="120" w:line="360"/>
      </w:pPr>
      <w:r>
        <w:rPr>
          <w:rFonts w:ascii="Times New Roman" w:cs="Times New Roman" w:eastAsia="Times New Roman" w:hAnsi="Times New Roman"/>
          <w:b/>
          <w:bCs/>
          <w:sz w:val="22"/>
          <w:szCs w:val="22"/>
        </w:rPr>
        <w:t xml:space="preserve">Part V: Beyond the Courtroom</w:t>
      </w:r>
    </w:p>
    <w:p>
      <w:pPr>
        <w:spacing w:after="0" w:line="360"/>
        <w:ind w:left="360"/>
      </w:pPr>
      <w:r>
        <w:rPr>
          <w:rFonts w:ascii="Times New Roman" w:cs="Times New Roman" w:eastAsia="Times New Roman" w:hAnsi="Times New Roman"/>
          <w:sz w:val="22"/>
          <w:szCs w:val="22"/>
        </w:rPr>
        <w:t xml:space="preserve">Chapter 22: After the Verdict — Recovery, Reform, and the Movement</w:t>
      </w:r>
    </w:p>
    <w:p>
      <w:pPr>
        <w:spacing w:after="0" w:line="360"/>
        <w:ind w:left="360"/>
      </w:pPr>
      <w:r>
        <w:rPr>
          <w:rFonts w:ascii="Times New Roman" w:cs="Times New Roman" w:eastAsia="Times New Roman" w:hAnsi="Times New Roman"/>
          <w:sz w:val="22"/>
          <w:szCs w:val="22"/>
        </w:rPr>
        <w:t xml:space="preserve">Chapter 23: The Road Ahead — A Letter to the Practitioner</w:t>
      </w:r>
    </w:p>
    <w:p>
      <w:pPr>
        <w:spacing w:after="0" w:before="120" w:line="360"/>
      </w:pPr>
      <w:r>
        <w:rPr>
          <w:rFonts w:ascii="Times New Roman" w:cs="Times New Roman" w:eastAsia="Times New Roman" w:hAnsi="Times New Roman"/>
          <w:b/>
          <w:bCs/>
          <w:sz w:val="22"/>
          <w:szCs w:val="22"/>
        </w:rPr>
        <w:t xml:space="preserve">Appendices</w:t>
      </w:r>
    </w:p>
    <w:p>
      <w:pPr>
        <w:spacing w:after="0" w:line="360"/>
        <w:ind w:left="360"/>
      </w:pPr>
      <w:r>
        <w:rPr>
          <w:rFonts w:ascii="Times New Roman" w:cs="Times New Roman" w:eastAsia="Times New Roman" w:hAnsi="Times New Roman"/>
          <w:sz w:val="22"/>
          <w:szCs w:val="22"/>
        </w:rPr>
        <w:t xml:space="preserve">Appendix A: BITE Model TTI Assessment Checklist</w:t>
      </w:r>
    </w:p>
    <w:p>
      <w:pPr>
        <w:spacing w:after="0" w:line="360"/>
        <w:ind w:left="360"/>
      </w:pPr>
      <w:r>
        <w:rPr>
          <w:rFonts w:ascii="Times New Roman" w:cs="Times New Roman" w:eastAsia="Times New Roman" w:hAnsi="Times New Roman"/>
          <w:sz w:val="22"/>
          <w:szCs w:val="22"/>
        </w:rPr>
        <w:t xml:space="preserve">Appendix B: Trauma-Informed Intake Protocol for TTI Survivors</w:t>
      </w:r>
    </w:p>
    <w:p>
      <w:pPr>
        <w:spacing w:after="0" w:line="360"/>
        <w:ind w:left="360"/>
      </w:pPr>
      <w:r>
        <w:rPr>
          <w:rFonts w:ascii="Times New Roman" w:cs="Times New Roman" w:eastAsia="Times New Roman" w:hAnsi="Times New Roman"/>
          <w:sz w:val="22"/>
          <w:szCs w:val="22"/>
        </w:rPr>
        <w:t xml:space="preserve">Appendix C: Harms-and-Losses Taxonomy — TTI Edition</w:t>
      </w:r>
    </w:p>
    <w:p>
      <w:pPr>
        <w:spacing w:after="0" w:line="360"/>
        <w:ind w:left="360"/>
      </w:pPr>
      <w:r>
        <w:rPr>
          <w:rFonts w:ascii="Times New Roman" w:cs="Times New Roman" w:eastAsia="Times New Roman" w:hAnsi="Times New Roman"/>
          <w:sz w:val="22"/>
          <w:szCs w:val="22"/>
        </w:rPr>
        <w:t xml:space="preserve">Appendix D: Sample Discovery Requests — TTI Cases</w:t>
      </w:r>
    </w:p>
    <w:p>
      <w:pPr>
        <w:spacing w:after="0" w:line="360"/>
        <w:ind w:left="360"/>
      </w:pPr>
      <w:r>
        <w:rPr>
          <w:rFonts w:ascii="Times New Roman" w:cs="Times New Roman" w:eastAsia="Times New Roman" w:hAnsi="Times New Roman"/>
          <w:sz w:val="22"/>
          <w:szCs w:val="22"/>
        </w:rPr>
        <w:t xml:space="preserve">Appendix E: Expert Witness Engagement Framework</w:t>
      </w:r>
    </w:p>
    <w:p>
      <w:pPr>
        <w:spacing w:after="0" w:line="360"/>
        <w:ind w:left="360"/>
      </w:pPr>
      <w:r>
        <w:rPr>
          <w:rFonts w:ascii="Times New Roman" w:cs="Times New Roman" w:eastAsia="Times New Roman" w:hAnsi="Times New Roman"/>
          <w:sz w:val="22"/>
          <w:szCs w:val="22"/>
        </w:rPr>
        <w:t xml:space="preserve">Appendix F: AI Prompt Templates for TTI Trial Preparation</w:t>
      </w:r>
    </w:p>
    <w:p>
      <w:pPr>
        <w:spacing w:after="0" w:line="360"/>
        <w:ind w:left="360"/>
      </w:pPr>
      <w:r>
        <w:rPr>
          <w:rFonts w:ascii="Times New Roman" w:cs="Times New Roman" w:eastAsia="Times New Roman" w:hAnsi="Times New Roman"/>
          <w:sz w:val="22"/>
          <w:szCs w:val="22"/>
        </w:rPr>
        <w:t xml:space="preserve">Appendix G: TTI Statute of Limitations Quick-Reference</w:t>
      </w:r>
    </w:p>
    <w:p>
      <w:pPr>
        <w:spacing w:after="0" w:line="360"/>
        <w:ind w:left="360"/>
      </w:pPr>
      <w:r>
        <w:rPr>
          <w:rFonts w:ascii="Times New Roman" w:cs="Times New Roman" w:eastAsia="Times New Roman" w:hAnsi="Times New Roman"/>
          <w:sz w:val="22"/>
          <w:szCs w:val="22"/>
        </w:rPr>
        <w:t xml:space="preserve">Appendix H: Settlement and Resolution Term Checklist</w:t>
      </w:r>
    </w:p>
    <w:p>
      <w:pPr>
        <w:pageBreakBefore/>
        <w:spacing w:after="0" w:line="480"/>
      </w:pPr>
    </w:p>
    <w:p>
      <w:pPr>
        <w:spacing w:after="0" w:line="480"/>
      </w:pPr>
    </w:p>
    <w:p>
      <w:pPr>
        <w:spacing w:after="0" w:line="480"/>
        <w:jc w:val="center"/>
      </w:pPr>
      <w:r>
        <w:rPr>
          <w:rFonts w:ascii="Times New Roman" w:cs="Times New Roman" w:eastAsia="Times New Roman" w:hAnsi="Times New Roman"/>
          <w:b/>
          <w:bCs/>
          <w:sz w:val="28"/>
          <w:szCs w:val="28"/>
        </w:rPr>
        <w:t xml:space="preserve">AUTHOR’S NOTE</w:t>
      </w:r>
    </w:p>
    <w:p>
      <w:pPr>
        <w:spacing w:after="0" w:line="480"/>
      </w:pPr>
    </w:p>
    <w:p>
      <w:pPr>
        <w:spacing w:after="0" w:line="480"/>
        <w:ind/>
      </w:pPr>
      <w:r>
        <w:rPr>
          <w:rFonts w:ascii="Times New Roman" w:cs="Times New Roman" w:eastAsia="Times New Roman" w:hAnsi="Times New Roman"/>
          <w:sz w:val="24"/>
          <w:szCs w:val="24"/>
        </w:rPr>
        <w:t xml:space="preserve">This book contains stories drawn from real cases. Every client narrative, composite or otherwise, has been altered to protect the identities of the survivors, their families, and—where relevant—former staff members and witnesses. Names, locations, dates, and identifying details have been changed. In some instances, I have combined elements of multiple cases into a single narrative to illustrate a pattern more clearly. Where I describe a case as a “composite,” that is what I mean: the story is true in its essence, but its details belong to more than one person.</w:t>
      </w:r>
    </w:p>
    <w:p>
      <w:pPr>
        <w:spacing w:after="0" w:line="480"/>
        <w:ind w:firstLine="720"/>
      </w:pPr>
      <w:r>
        <w:rPr>
          <w:rFonts w:ascii="Times New Roman" w:cs="Times New Roman" w:eastAsia="Times New Roman" w:hAnsi="Times New Roman"/>
          <w:sz w:val="24"/>
          <w:szCs w:val="24"/>
        </w:rPr>
        <w:t xml:space="preserve">The legal analysis in this book is intended for educational purposes. It is not a substitute for individualized legal advice. Statutes of limitations, available causes of action, procedural requirements, and evidentiary standards vary by jurisdiction and change over time. If you are a survivor or family member considering legal action, consult a licensed attorney in your state.</w:t>
      </w:r>
    </w:p>
    <w:p>
      <w:pPr>
        <w:spacing w:after="0" w:line="480"/>
        <w:ind w:firstLine="720"/>
      </w:pPr>
      <w:r>
        <w:rPr>
          <w:rFonts w:ascii="Times New Roman" w:cs="Times New Roman" w:eastAsia="Times New Roman" w:hAnsi="Times New Roman"/>
          <w:sz w:val="24"/>
          <w:szCs w:val="24"/>
        </w:rPr>
        <w:t xml:space="preserve">If you are a lawyer reading this book, you already know that every case turns on its own facts. The frameworks, checklists, and strategies I offer here are starting points, not templates. Adapt them. Improve them. Make them your own. And when something works, share it with the rest of us. The only way we get better at this is together.</w:t>
      </w:r>
    </w:p>
    <w:p>
      <w:pPr>
        <w:spacing w:after="0" w:line="480"/>
        <w:ind w:firstLine="720"/>
      </w:pPr>
      <w:r>
        <w:rPr>
          <w:rFonts w:ascii="Times New Roman" w:cs="Times New Roman" w:eastAsia="Times New Roman" w:hAnsi="Times New Roman"/>
          <w:sz w:val="24"/>
          <w:szCs w:val="24"/>
        </w:rPr>
        <w:t xml:space="preserve">A note about the word “victim.” I use “survivor” throughout most of this book because most of the people I represent have survived their experience and are working to reclaim their lives. In the courtroom, I sometimes use “victim” because it more accurately describes the legal relationship between the person who was harmed and the program that harmed them. Neither word is perfect. Both are honest.</w:t>
      </w:r>
    </w:p>
    <w:p>
      <w:pPr>
        <w:spacing w:after="0" w:line="480"/>
        <w:ind w:firstLine="720"/>
      </w:pPr>
      <w:r>
        <w:rPr>
          <w:rFonts w:ascii="Times New Roman" w:cs="Times New Roman" w:eastAsia="Times New Roman" w:hAnsi="Times New Roman"/>
          <w:sz w:val="24"/>
          <w:szCs w:val="24"/>
        </w:rPr>
        <w:t xml:space="preserve">A note about the industry. This book addresses the Troubled Teen Industry specifically: residential treatment centers, wilderness programs, therapeutic boarding schools, boot camps, and similar programs. I do not claim that every program in every category is abusive. Some are not. Some families have positive experiences. This book is about the ones that are harmful—the ones that operate as coercive systems—and what we can do about them when they are. The methodology in these pages, however, extends well beyond the TTI. Lawyers who handle cases involving religious institutions, nursing homes, schools, foster care, or workplaces will find the BITE model framework, the discovery architecture, and the trial strategies directly applicable. For the comprehensive cross-institutional treatment, see the companion volume, </w:t>
      </w:r>
      <w:r>
        <w:rPr>
          <w:rFonts w:ascii="Times New Roman" w:cs="Times New Roman" w:eastAsia="Times New Roman" w:hAnsi="Times New Roman"/>
          <w:i/>
          <w:iCs/>
          <w:sz w:val="24"/>
          <w:szCs w:val="24"/>
        </w:rPr>
        <w:t xml:space="preserve">Breaking the System: A Trial Lawyer’s Guide to Institutional Abuse</w:t>
      </w:r>
      <w:r>
        <w:rPr>
          <w:rFonts w:ascii="Times New Roman" w:cs="Times New Roman" w:eastAsia="Times New Roman" w:hAnsi="Times New Roman"/>
          <w:sz w:val="24"/>
          <w:szCs w:val="24"/>
        </w:rPr>
        <w:t xml:space="preserve">.</w:t>
      </w:r>
    </w:p>
    <w:p>
      <w:pPr>
        <w:spacing w:after="0" w:line="480"/>
        <w:ind w:firstLine="720"/>
      </w:pPr>
      <w:r>
        <w:rPr>
          <w:rFonts w:ascii="Times New Roman" w:cs="Times New Roman" w:eastAsia="Times New Roman" w:hAnsi="Times New Roman"/>
          <w:sz w:val="24"/>
          <w:szCs w:val="24"/>
        </w:rPr>
        <w:t xml:space="preserve">A note about Unsilenced. This book is published in partnership with Unsilenced, the survivor-led organization working to end the Troubled Teen Industry. Unsilenced operates a network of over forty thousand survivors, a volunteer dig team that accelerates evidence acquisition through public records requests across twenty-eight states, an attorney directory connecting trauma-informed practitioners for co-counsel referrals, and an AI-driven archive of regulatory, litigation, and ownership records that is transforming the economics of TTI investigation. Their mission—to stand for the survivors, to speak for those who were silenced, and to dismantle the systems that harmed them—is the mission of this book. I am grateful for their partnership and for the survivors, advocates, and families who make their work possible.</w:t>
      </w:r>
    </w:p>
    <w:p>
      <w:pPr>
        <w:spacing w:after="0" w:line="480"/>
        <w:ind w:firstLine="720"/>
      </w:pPr>
      <w:r>
        <w:rPr>
          <w:rFonts w:ascii="Times New Roman" w:cs="Times New Roman" w:eastAsia="Times New Roman" w:hAnsi="Times New Roman"/>
          <w:sz w:val="24"/>
          <w:szCs w:val="24"/>
        </w:rPr>
        <w:t xml:space="preserve">A note about artificial intelligence. I used AI tools during the research and organizational phases of this book. Every word in the final text is mine. The arguments are mine. The voice is mine. The mistakes, if any, are mine. AI helped me organize discovery frameworks and cross-reference legal authorities across jurisdictions. It did not write my book. In Appendix F, I explain how AI can help lawyers prepare for trial in TTI cases—including creating outlines, managing devastating material, and preventing burnout—and I provide ready-to-use prompt templates.</w:t>
      </w:r>
    </w:p>
    <w:p>
      <w:pPr>
        <w:spacing w:after="0" w:line="480"/>
      </w:pPr>
    </w:p>
    <w:p>
      <w:pPr>
        <w:spacing w:after="0" w:line="480"/>
      </w:pPr>
      <w:r>
        <w:rPr>
          <w:rFonts w:ascii="Times New Roman" w:cs="Times New Roman" w:eastAsia="Times New Roman" w:hAnsi="Times New Roman"/>
          <w:sz w:val="24"/>
          <w:szCs w:val="24"/>
        </w:rPr>
        <w:t xml:space="preserve">— Frank Stucki</w:t>
      </w:r>
    </w:p>
    <w:p>
      <w:pPr>
        <w:spacing w:after="0" w:line="480"/>
      </w:pPr>
      <w:r>
        <w:rPr>
          <w:rFonts w:ascii="Times New Roman" w:cs="Times New Roman" w:eastAsia="Times New Roman" w:hAnsi="Times New Roman"/>
          <w:sz w:val="24"/>
          <w:szCs w:val="24"/>
        </w:rPr>
        <w:t xml:space="preserve">Las Vegas, Nevada</w:t>
      </w:r>
    </w:p>
    <w:p>
      <w:pPr>
        <w:spacing w:after="0" w:line="480"/>
      </w:pPr>
      <w:r>
        <w:rPr>
          <w:rFonts w:ascii="Times New Roman" w:cs="Times New Roman" w:eastAsia="Times New Roman" w:hAnsi="Times New Roman"/>
          <w:sz w:val="24"/>
          <w:szCs w:val="24"/>
        </w:rPr>
        <w:t xml:space="preserve">May 2026</w:t>
      </w:r>
    </w:p>
    <w:p>
      <w:pPr>
        <w:pageBreakBefore/>
        <w:spacing w:after="0" w:line="480"/>
      </w:pPr>
    </w:p>
    <w:p>
      <w:pPr>
        <w:spacing w:after="0" w:line="480"/>
      </w:pPr>
    </w:p>
    <w:p>
      <w:pPr>
        <w:spacing w:after="0" w:line="480"/>
        <w:jc w:val="center"/>
      </w:pPr>
      <w:r>
        <w:rPr>
          <w:rFonts w:ascii="Times New Roman" w:cs="Times New Roman" w:eastAsia="Times New Roman" w:hAnsi="Times New Roman"/>
          <w:b/>
          <w:bCs/>
          <w:sz w:val="28"/>
          <w:szCs w:val="28"/>
        </w:rPr>
        <w:t xml:space="preserve">INTRODUCTION</w:t>
      </w:r>
    </w:p>
    <w:p>
      <w:pPr>
        <w:spacing w:after="0" w:line="480"/>
      </w:pPr>
    </w:p>
    <w:p>
      <w:pPr>
        <w:spacing w:after="0" w:line="480"/>
        <w:jc w:val="center"/>
      </w:pPr>
      <w:r>
        <w:rPr>
          <w:rFonts w:ascii="Times New Roman" w:cs="Times New Roman" w:eastAsia="Times New Roman" w:hAnsi="Times New Roman"/>
          <w:i/>
          <w:iCs/>
          <w:sz w:val="24"/>
          <w:szCs w:val="24"/>
        </w:rPr>
        <w:t xml:space="preserve">What This Book Is and How to Use It</w:t>
      </w:r>
    </w:p>
    <w:p>
      <w:pPr>
        <w:spacing w:after="0" w:line="480"/>
      </w:pPr>
    </w:p>
    <w:p>
      <w:pPr>
        <w:spacing w:after="0" w:line="480"/>
      </w:pPr>
      <w:r>
        <w:rPr>
          <w:rFonts w:ascii="Times New Roman" w:cs="Times New Roman" w:eastAsia="Times New Roman" w:hAnsi="Times New Roman"/>
          <w:b/>
          <w:bCs/>
          <w:sz w:val="24"/>
          <w:szCs w:val="24"/>
        </w:rPr>
        <w:t xml:space="preserve">The Lens</w:t>
      </w:r>
    </w:p>
    <w:p>
      <w:pPr>
        <w:spacing w:after="0" w:line="480"/>
      </w:pPr>
    </w:p>
    <w:p>
      <w:pPr>
        <w:spacing w:after="0" w:line="480"/>
        <w:ind/>
      </w:pPr>
      <w:r>
        <w:rPr>
          <w:rFonts w:ascii="Times New Roman" w:cs="Times New Roman" w:eastAsia="Times New Roman" w:hAnsi="Times New Roman"/>
          <w:sz w:val="24"/>
          <w:szCs w:val="24"/>
        </w:rPr>
        <w:t xml:space="preserve">Every great trial strategy book has a lens—one idea that holds the entire book together, the thing through which you see every case. In </w:t>
      </w:r>
      <w:r>
        <w:rPr>
          <w:rFonts w:ascii="Times New Roman" w:cs="Times New Roman" w:eastAsia="Times New Roman" w:hAnsi="Times New Roman"/>
          <w:i/>
          <w:iCs/>
          <w:sz w:val="24"/>
          <w:szCs w:val="24"/>
        </w:rPr>
        <w:t xml:space="preserve">Rules of the Road</w:t>
      </w:r>
      <w:r>
        <w:rPr>
          <w:rFonts w:ascii="Times New Roman" w:cs="Times New Roman" w:eastAsia="Times New Roman" w:hAnsi="Times New Roman"/>
          <w:sz w:val="24"/>
          <w:szCs w:val="24"/>
        </w:rPr>
        <w:t xml:space="preserve">, the lens is the Rules. In </w:t>
      </w:r>
      <w:r>
        <w:rPr>
          <w:rFonts w:ascii="Times New Roman" w:cs="Times New Roman" w:eastAsia="Times New Roman" w:hAnsi="Times New Roman"/>
          <w:i/>
          <w:iCs/>
          <w:sz w:val="24"/>
          <w:szCs w:val="24"/>
        </w:rPr>
        <w:t xml:space="preserve">Trial by Human</w:t>
      </w:r>
      <w:r>
        <w:rPr>
          <w:rFonts w:ascii="Times New Roman" w:cs="Times New Roman" w:eastAsia="Times New Roman" w:hAnsi="Times New Roman"/>
          <w:sz w:val="24"/>
          <w:szCs w:val="24"/>
        </w:rPr>
        <w:t xml:space="preserve">, the lens is radical authenticity. In </w:t>
      </w:r>
      <w:r>
        <w:rPr>
          <w:rFonts w:ascii="Times New Roman" w:cs="Times New Roman" w:eastAsia="Times New Roman" w:hAnsi="Times New Roman"/>
          <w:i/>
          <w:iCs/>
          <w:sz w:val="24"/>
          <w:szCs w:val="24"/>
        </w:rPr>
        <w:t xml:space="preserve">Reptile</w:t>
      </w:r>
      <w:r>
        <w:rPr>
          <w:rFonts w:ascii="Times New Roman" w:cs="Times New Roman" w:eastAsia="Times New Roman" w:hAnsi="Times New Roman"/>
          <w:sz w:val="24"/>
          <w:szCs w:val="24"/>
        </w:rPr>
        <w:t xml:space="preserve">, the lens is community safety. In William Barton’s </w:t>
      </w:r>
      <w:r>
        <w:rPr>
          <w:rFonts w:ascii="Times New Roman" w:cs="Times New Roman" w:eastAsia="Times New Roman" w:hAnsi="Times New Roman"/>
          <w:i/>
          <w:iCs/>
          <w:sz w:val="24"/>
          <w:szCs w:val="24"/>
        </w:rPr>
        <w:t xml:space="preserve">Recovering for Psychological Injuries</w:t>
      </w:r>
      <w:r>
        <w:rPr>
          <w:rFonts w:ascii="Times New Roman" w:cs="Times New Roman" w:eastAsia="Times New Roman" w:hAnsi="Times New Roman"/>
          <w:sz w:val="24"/>
          <w:szCs w:val="24"/>
        </w:rPr>
        <w:t xml:space="preserve">, the lens is making invisible harm visible.</w:t>
      </w:r>
    </w:p>
    <w:p>
      <w:pPr>
        <w:spacing w:after="0" w:line="480"/>
        <w:ind w:firstLine="720"/>
      </w:pPr>
      <w:r>
        <w:rPr>
          <w:rFonts w:ascii="Times New Roman" w:cs="Times New Roman" w:eastAsia="Times New Roman" w:hAnsi="Times New Roman"/>
          <w:sz w:val="24"/>
          <w:szCs w:val="24"/>
        </w:rPr>
        <w:t xml:space="preserve">The lens of this book is the coercive system.</w:t>
      </w:r>
    </w:p>
    <w:p>
      <w:pPr>
        <w:spacing w:after="0" w:line="480"/>
        <w:ind w:firstLine="720"/>
      </w:pPr>
      <w:r>
        <w:rPr>
          <w:rFonts w:ascii="Times New Roman" w:cs="Times New Roman" w:eastAsia="Times New Roman" w:hAnsi="Times New Roman"/>
          <w:sz w:val="24"/>
          <w:szCs w:val="24"/>
        </w:rPr>
        <w:t xml:space="preserve">The argument is simple: Troubled Teen Industry cases are not ordinary negligence cases that happen to take place inside programs for struggling adolescents. They are cases about programs that are designed, operated, and defended as coercive systems—systems that create dependency in children, suppress their complaints, manipulate their families, and externalize costs onto the most vulnerable population imaginable. Once you see the case through this lens, everything changes. Your complaint changes. Your discovery changes. Your deposition strategy changes. Your trial themes change. And your results change.</w:t>
      </w:r>
    </w:p>
    <w:p>
      <w:pPr>
        <w:spacing w:after="0" w:line="480"/>
        <w:ind w:firstLine="720"/>
      </w:pPr>
      <w:r>
        <w:rPr>
          <w:rFonts w:ascii="Times New Roman" w:cs="Times New Roman" w:eastAsia="Times New Roman" w:hAnsi="Times New Roman"/>
          <w:sz w:val="24"/>
          <w:szCs w:val="24"/>
        </w:rPr>
        <w:t xml:space="preserve">I did not invent this lens. I built it from the work of people far smarter than me. Steven Hassan gave us the BITE model—a framework for identifying the mechanisms of authoritarian control. Judith Herman gave us the clinical language for complex trauma. Bessel van der Kolk showed us what trauma does to the body. William Barton pioneered the methodology for making invisible psychological injuries visible to juries—and was the first lawyer to take a case against the Boy Scouts of America to trial and the first to sue the Vatican for clergy abuse. Rick Friedman and Pat Malone taught us to reduce complexity to simple safety rules—and in </w:t>
      </w:r>
      <w:r>
        <w:rPr>
          <w:rFonts w:ascii="Times New Roman" w:cs="Times New Roman" w:eastAsia="Times New Roman" w:hAnsi="Times New Roman"/>
          <w:i/>
          <w:iCs/>
          <w:sz w:val="24"/>
          <w:szCs w:val="24"/>
        </w:rPr>
        <w:t xml:space="preserve">Polarizing the Case</w:t>
      </w:r>
      <w:r>
        <w:rPr>
          <w:rFonts w:ascii="Times New Roman" w:cs="Times New Roman" w:eastAsia="Times New Roman" w:hAnsi="Times New Roman"/>
          <w:sz w:val="24"/>
          <w:szCs w:val="24"/>
        </w:rPr>
        <w:t xml:space="preserve">, Friedman taught us how to structure witness presentation so that jurors are compelled to choose rather than compromise. Don Keenan and David Ball taught us to activate a jury’s self-protective instincts. Nick Rowley taught us that the most powerful thing a trial lawyer can do is tell the truth and mean it. Daniel Kahneman taught us how jurors actually think. Robert Cialdini taught us why certain persuasion techniques work. Sari de la Motte taught us that a lawyer’s presence in the courtroom matters as much as the lawyer’s words. Donald Miller gave us the StoryBrand framework that structures a jury’s experience of truth into a narrative arc their brains are wired to receive.</w:t>
      </w:r>
    </w:p>
    <w:p>
      <w:pPr>
        <w:spacing w:after="0" w:line="480"/>
        <w:ind w:firstLine="720"/>
      </w:pPr>
      <w:r>
        <w:rPr>
          <w:rFonts w:ascii="Times New Roman" w:cs="Times New Roman" w:eastAsia="Times New Roman" w:hAnsi="Times New Roman"/>
          <w:sz w:val="24"/>
          <w:szCs w:val="24"/>
        </w:rPr>
        <w:t xml:space="preserve">What I have done is take those frameworks and apply them—together, in a unified method—to the Troubled Teen Industry. That is the contribution of this book: not new theory, but new application. A repeatable method for building and trying these cases, informed by dozens of TTI cases litigated across multiple states.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r>
        <w:rPr>
          <w:rFonts w:ascii="Times New Roman" w:cs="Times New Roman" w:eastAsia="Times New Roman" w:hAnsi="Times New Roman"/>
          <w:b/>
          <w:bCs/>
          <w:sz w:val="24"/>
          <w:szCs w:val="24"/>
        </w:rPr>
        <w:t xml:space="preserve">Three Audiences</w:t>
      </w:r>
    </w:p>
    <w:p>
      <w:pPr>
        <w:spacing w:after="0" w:line="480"/>
      </w:pPr>
    </w:p>
    <w:p>
      <w:pPr>
        <w:spacing w:after="0" w:line="480"/>
        <w:ind/>
      </w:pPr>
      <w:r>
        <w:rPr>
          <w:rFonts w:ascii="Times New Roman" w:cs="Times New Roman" w:eastAsia="Times New Roman" w:hAnsi="Times New Roman"/>
          <w:sz w:val="24"/>
          <w:szCs w:val="24"/>
        </w:rPr>
        <w:t xml:space="preserve">I wrote this book for three audiences. If you are in one of these groups, here is where to start.</w:t>
      </w:r>
    </w:p>
    <w:p>
      <w:pPr>
        <w:spacing w:after="0" w:line="480"/>
        <w:ind w:firstLine="720"/>
      </w:pPr>
      <w:r>
        <w:rPr>
          <w:rFonts w:ascii="Times New Roman" w:cs="Times New Roman" w:eastAsia="Times New Roman" w:hAnsi="Times New Roman"/>
          <w:b/>
          <w:bCs/>
          <w:sz w:val="24"/>
          <w:szCs w:val="24"/>
        </w:rPr>
        <w:t xml:space="preserve">If you are a survivor or a family member,</w:t>
      </w:r>
      <w:r>
        <w:rPr>
          <w:rFonts w:ascii="Times New Roman" w:cs="Times New Roman" w:eastAsia="Times New Roman" w:hAnsi="Times New Roman"/>
          <w:sz w:val="24"/>
          <w:szCs w:val="24"/>
        </w:rPr>
        <w:t xml:space="preserve"> start with Part I and Part II. Part I explains what the TTI is, how programs operate as coercive systems, and why no one complained—including why your parents may have been manipulated into trusting the program. Part II is written directly to you. It explains your rights, how to find a lawyer, what the legal process looks like, and how to preserve evidence. You do not need to read the legal strategy chapters to benefit from this book. But if you want to understand what your lawyer is doing and why, those chapters are there for you.</w:t>
      </w:r>
    </w:p>
    <w:p>
      <w:pPr>
        <w:spacing w:after="0" w:line="480"/>
        <w:ind w:firstLine="720"/>
      </w:pPr>
      <w:r>
        <w:rPr>
          <w:rFonts w:ascii="Times New Roman" w:cs="Times New Roman" w:eastAsia="Times New Roman" w:hAnsi="Times New Roman"/>
          <w:b/>
          <w:bCs/>
          <w:sz w:val="24"/>
          <w:szCs w:val="24"/>
        </w:rPr>
        <w:t xml:space="preserve">If you are a plaintiff lawyer,</w:t>
      </w:r>
      <w:r>
        <w:rPr>
          <w:rFonts w:ascii="Times New Roman" w:cs="Times New Roman" w:eastAsia="Times New Roman" w:hAnsi="Times New Roman"/>
          <w:sz w:val="24"/>
          <w:szCs w:val="24"/>
        </w:rPr>
        <w:t xml:space="preserve"> this book is your playbook. Start at the beginning and read straight through, or use the table of contents to jump to the chapter you need. Part I gives you the psychological and structural framework. Part III gives you the litigation method from intake through complaint. Part IV gives you the trial strategy—from Rules of the Road and Reptile through voir dire, damages, and closing argument. The appendices give you the forms, checklists, and templates. Everything is organized around the BITE model, so the framework you learn in Chapter 5 carries through every phase of the case.</w:t>
      </w:r>
    </w:p>
    <w:p>
      <w:pPr>
        <w:spacing w:after="0" w:line="480"/>
        <w:ind w:firstLine="720"/>
      </w:pPr>
      <w:r>
        <w:rPr>
          <w:rFonts w:ascii="Times New Roman" w:cs="Times New Roman" w:eastAsia="Times New Roman" w:hAnsi="Times New Roman"/>
          <w:b/>
          <w:bCs/>
          <w:sz w:val="24"/>
          <w:szCs w:val="24"/>
        </w:rPr>
        <w:t xml:space="preserve">If you are a judge, mediator, legislator, or advocate,</w:t>
      </w:r>
      <w:r>
        <w:rPr>
          <w:rFonts w:ascii="Times New Roman" w:cs="Times New Roman" w:eastAsia="Times New Roman" w:hAnsi="Times New Roman"/>
          <w:sz w:val="24"/>
          <w:szCs w:val="24"/>
        </w:rPr>
        <w:t xml:space="preserve"> start with Part I and then read Chapters 20 through 22. These are not ordinary tort cases. They involve survivors whose developmental trauma affects how they present, programs whose concealment architecture affects what evidence exists, and family dynamics that distort every conventional assumption about consent, complaint, and credibility. Understanding why these cases are different is the first step toward handling them well.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r>
        <w:rPr>
          <w:rFonts w:ascii="Times New Roman" w:cs="Times New Roman" w:eastAsia="Times New Roman" w:hAnsi="Times New Roman"/>
          <w:b/>
          <w:bCs/>
          <w:sz w:val="24"/>
          <w:szCs w:val="24"/>
        </w:rPr>
        <w:t xml:space="preserve">The Backbone: The BITE Model</w:t>
      </w:r>
    </w:p>
    <w:p>
      <w:pPr>
        <w:spacing w:after="0" w:line="480"/>
      </w:pPr>
    </w:p>
    <w:p>
      <w:pPr>
        <w:spacing w:after="0" w:line="480"/>
        <w:ind/>
      </w:pPr>
      <w:r>
        <w:rPr>
          <w:rFonts w:ascii="Times New Roman" w:cs="Times New Roman" w:eastAsia="Times New Roman" w:hAnsi="Times New Roman"/>
          <w:sz w:val="24"/>
          <w:szCs w:val="24"/>
        </w:rPr>
        <w:t xml:space="preserve">The organizing framework of this book is Steven Hassan’s BITE model, adapted for litigation. BITE stands for Behavior control, Information control, Thought control, and Emotional control. In Chapter 5—the book’s signature chapter—I explain what each category means in the TTI context and then convert the model into a four-column proof grid that maps program behaviors to sources of evidence, legal claims, and damages.</w:t>
      </w:r>
    </w:p>
    <w:p>
      <w:pPr>
        <w:spacing w:after="0" w:line="480"/>
        <w:ind w:firstLine="720"/>
      </w:pPr>
      <w:r>
        <w:rPr>
          <w:rFonts w:ascii="Times New Roman" w:cs="Times New Roman" w:eastAsia="Times New Roman" w:hAnsi="Times New Roman"/>
          <w:sz w:val="24"/>
          <w:szCs w:val="24"/>
        </w:rPr>
        <w:t xml:space="preserve">That grid becomes the backbone of everything that follows. In Chapter 11, I use it to structure the complaint. In Chapter 12, I use it to organize discovery. In Chapter 13, I use it to build expert testimony. In Chapter 14, I use it to anticipate and defeat the defense playbook. In Chapters 15 through 19, I use it to structure trial themes, witness strategy, cross-examination, and closing argument.</w:t>
      </w:r>
    </w:p>
    <w:p>
      <w:pPr>
        <w:spacing w:after="0" w:line="480"/>
        <w:ind w:firstLine="720"/>
      </w:pPr>
      <w:r>
        <w:rPr>
          <w:rFonts w:ascii="Times New Roman" w:cs="Times New Roman" w:eastAsia="Times New Roman" w:hAnsi="Times New Roman"/>
          <w:sz w:val="24"/>
          <w:szCs w:val="24"/>
        </w:rPr>
        <w:t xml:space="preserve">You do not need to memorize the grid. You need to understand the principle behind it: TTI cases have a repeatable structure because coercive programs have a repeatable structure. Once you learn to see that structure, you can build a case against any program—wilderness, RTC, therapeutic boarding school, boot camp, or any other setting where vulnerable children are placed in coercive environments.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r>
        <w:rPr>
          <w:rFonts w:ascii="Times New Roman" w:cs="Times New Roman" w:eastAsia="Times New Roman" w:hAnsi="Times New Roman"/>
          <w:b/>
          <w:bCs/>
          <w:sz w:val="24"/>
          <w:szCs w:val="24"/>
        </w:rPr>
        <w:t xml:space="preserve">This Book and Its Companion</w:t>
      </w:r>
    </w:p>
    <w:p>
      <w:pPr>
        <w:spacing w:after="0" w:line="480"/>
      </w:pPr>
    </w:p>
    <w:p>
      <w:pPr>
        <w:spacing w:after="0" w:line="480"/>
        <w:ind/>
      </w:pPr>
      <w:r>
        <w:rPr>
          <w:rFonts w:ascii="Times New Roman" w:cs="Times New Roman" w:eastAsia="Times New Roman" w:hAnsi="Times New Roman"/>
          <w:sz w:val="24"/>
          <w:szCs w:val="24"/>
        </w:rPr>
        <w:t xml:space="preserve">This is the TTI-specific edition of </w:t>
      </w:r>
      <w:r>
        <w:rPr>
          <w:rFonts w:ascii="Times New Roman" w:cs="Times New Roman" w:eastAsia="Times New Roman" w:hAnsi="Times New Roman"/>
          <w:i/>
          <w:iCs/>
          <w:sz w:val="24"/>
          <w:szCs w:val="24"/>
        </w:rPr>
        <w:t xml:space="preserve">Breaking the System: A Trial Lawyer’s Guide to Institutional Abuse</w:t>
      </w:r>
      <w:r>
        <w:rPr>
          <w:rFonts w:ascii="Times New Roman" w:cs="Times New Roman" w:eastAsia="Times New Roman" w:hAnsi="Times New Roman"/>
          <w:sz w:val="24"/>
          <w:szCs w:val="24"/>
        </w:rPr>
        <w:t xml:space="preserve">, which covers institutional abuse litigation across all settings—religious organizations, nursing homes, schools, foster care, workplaces, juvenile detention, and programs for disabled individuals, in addition to the TTI. Lawyers who handle TTI cases will find everything they need in the pages that follow. Lawyers who also handle cases in other institutional settings should consult the full book for cross-institutional strategy, additional cause-of-action frameworks, and setting-specific defense playbooks.</w:t>
      </w:r>
    </w:p>
    <w:p>
      <w:pPr>
        <w:spacing w:after="0" w:line="480"/>
        <w:ind w:firstLine="720"/>
      </w:pPr>
      <w:r>
        <w:rPr>
          <w:rFonts w:ascii="Times New Roman" w:cs="Times New Roman" w:eastAsia="Times New Roman" w:hAnsi="Times New Roman"/>
          <w:sz w:val="24"/>
          <w:szCs w:val="24"/>
        </w:rPr>
        <w:t xml:space="preserve">The methodology is the same. The BITE model works everywhere. The coercive-system lens applies to every institution on the spectrum. What changes is the application—and in this edition, every example, every discovery template, every cross-examination scenario, and every case study is drawn from the world of the Troubled Teen Industry.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r>
        <w:rPr>
          <w:rFonts w:ascii="Times New Roman" w:cs="Times New Roman" w:eastAsia="Times New Roman" w:hAnsi="Times New Roman"/>
          <w:b/>
          <w:bCs/>
          <w:sz w:val="24"/>
          <w:szCs w:val="24"/>
        </w:rPr>
        <w:t xml:space="preserve">How to Use This Book</w:t>
      </w:r>
    </w:p>
    <w:p>
      <w:pPr>
        <w:spacing w:after="0" w:line="480"/>
      </w:pPr>
    </w:p>
    <w:p>
      <w:pPr>
        <w:spacing w:after="0" w:line="480"/>
        <w:ind/>
      </w:pPr>
      <w:r>
        <w:rPr>
          <w:rFonts w:ascii="Times New Roman" w:cs="Times New Roman" w:eastAsia="Times New Roman" w:hAnsi="Times New Roman"/>
          <w:sz w:val="24"/>
          <w:szCs w:val="24"/>
        </w:rPr>
        <w:t xml:space="preserve">You can read this book cover to cover. It is designed to flow from industry context to psychology to litigation to trial to resolution to reform. Each chapter builds on the one before it.</w:t>
      </w:r>
    </w:p>
    <w:p>
      <w:pPr>
        <w:spacing w:after="0" w:line="480"/>
        <w:ind w:firstLine="720"/>
      </w:pPr>
      <w:r>
        <w:rPr>
          <w:rFonts w:ascii="Times New Roman" w:cs="Times New Roman" w:eastAsia="Times New Roman" w:hAnsi="Times New Roman"/>
          <w:sz w:val="24"/>
          <w:szCs w:val="24"/>
        </w:rPr>
        <w:t xml:space="preserve">But you can also use it as a reference. If you are in the middle of discovery and need BITE-organized document requests, go to Chapter 12. If you are preparing for trial and need to choose between Rules of the Road and Reptile, go to Chapter 15. If you need a voir dire framework that leverages the villain in your case, go to Chapter 16. If you want to understand why juries resist believing your client, go to Chapter 4. If you are meeting with a new client and need an intake checklist, go to Appendix B. If you need AI prompt templates for trial preparation, go to Appendix F.</w:t>
      </w:r>
    </w:p>
    <w:p>
      <w:pPr>
        <w:spacing w:after="0" w:line="480"/>
        <w:ind w:firstLine="720"/>
      </w:pPr>
      <w:r>
        <w:rPr>
          <w:rFonts w:ascii="Times New Roman" w:cs="Times New Roman" w:eastAsia="Times New Roman" w:hAnsi="Times New Roman"/>
          <w:sz w:val="24"/>
          <w:szCs w:val="24"/>
        </w:rPr>
        <w:t xml:space="preserve">The appendices are designed to be photocopied, adapted, and reused. Take what works. Leave what doesn’t. Make it better. And when you do, share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r>
        <w:rPr>
          <w:rFonts w:ascii="Times New Roman" w:cs="Times New Roman" w:eastAsia="Times New Roman" w:hAnsi="Times New Roman"/>
          <w:b/>
          <w:bCs/>
          <w:sz w:val="24"/>
          <w:szCs w:val="24"/>
        </w:rPr>
        <w:t xml:space="preserve">Let’s Begin</w:t>
      </w:r>
    </w:p>
    <w:p>
      <w:pPr>
        <w:spacing w:after="0" w:line="480"/>
      </w:pPr>
    </w:p>
    <w:p>
      <w:pPr>
        <w:spacing w:after="0" w:line="480"/>
        <w:ind/>
      </w:pPr>
      <w:r>
        <w:rPr>
          <w:rFonts w:ascii="Times New Roman" w:cs="Times New Roman" w:eastAsia="Times New Roman" w:hAnsi="Times New Roman"/>
          <w:sz w:val="24"/>
          <w:szCs w:val="24"/>
        </w:rPr>
        <w:t xml:space="preserve">Every year, thousands of American children are removed from their homes—often in the middle of the night, often by strangers, often without warning—and placed in programs that promise healing and deliver harm. Their parents pay for it. The programs profit from it. And most lawyers don’t know how to fight it.</w:t>
      </w:r>
    </w:p>
    <w:p>
      <w:pPr>
        <w:spacing w:after="0" w:line="480"/>
        <w:ind w:firstLine="720"/>
      </w:pPr>
      <w:r>
        <w:rPr>
          <w:rFonts w:ascii="Times New Roman" w:cs="Times New Roman" w:eastAsia="Times New Roman" w:hAnsi="Times New Roman"/>
          <w:sz w:val="24"/>
          <w:szCs w:val="24"/>
        </w:rPr>
        <w:t xml:space="preserve">This book exists so that you do.</w:t>
      </w:r>
    </w:p>
    <w:p>
      <w:pPr>
        <w:spacing w:after="0" w:line="480"/>
        <w:ind w:firstLine="720"/>
      </w:pPr>
      <w:r>
        <w:rPr>
          <w:rFonts w:ascii="Times New Roman" w:cs="Times New Roman" w:eastAsia="Times New Roman" w:hAnsi="Times New Roman"/>
          <w:sz w:val="24"/>
          <w:szCs w:val="24"/>
        </w:rPr>
        <w:t xml:space="preserve">Let’s get to work.</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2026-05-13T20:58:24.891Z</dcterms:created>
  <dcterms:modified xsi:type="dcterms:W3CDTF">2026-05-13T20:58:24.891Z</dcterms:modified>
</cp:coreProperties>
</file>

<file path=docProps/custom.xml><?xml version="1.0" encoding="utf-8"?>
<Properties xmlns="http://schemas.openxmlformats.org/officeDocument/2006/custom-properties" xmlns:vt="http://schemas.openxmlformats.org/officeDocument/2006/docPropsVTypes"/>
</file>