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CHAPTER 5</w:t>
      </w:r>
    </w:p>
    <w:p>
      <w:pPr>
        <w:spacing w:after="0" w:line="480"/>
      </w:pPr>
    </w:p>
    <w:p>
      <w:pPr>
        <w:spacing w:after="0" w:line="480"/>
        <w:jc w:val="center"/>
      </w:pPr>
      <w:r>
        <w:rPr>
          <w:rFonts w:ascii="Times New Roman" w:cs="Times New Roman" w:eastAsia="Times New Roman" w:hAnsi="Times New Roman"/>
          <w:sz w:val="24"/>
          <w:szCs w:val="24"/>
        </w:rPr>
        <w:t xml:space="preserve">Mind Control Is Not Mystical</w:t>
      </w:r>
    </w:p>
    <w:p>
      <w:pPr>
        <w:spacing w:after="0" w:line="480"/>
        <w:jc w:val="center"/>
      </w:pPr>
      <w:r>
        <w:rPr>
          <w:rFonts w:ascii="Times New Roman" w:cs="Times New Roman" w:eastAsia="Times New Roman" w:hAnsi="Times New Roman"/>
          <w:i/>
          <w:iCs/>
          <w:sz w:val="24"/>
          <w:szCs w:val="24"/>
        </w:rPr>
        <w:t xml:space="preserve">The BITE Model as Proof Architecture</w:t>
      </w:r>
    </w:p>
    <w:p>
      <w:pPr>
        <w:spacing w:after="0" w:line="480"/>
      </w:pPr>
    </w:p>
    <w:p>
      <w:pPr>
        <w:spacing w:after="0" w:line="480"/>
      </w:pPr>
      <w:r>
        <w:rPr>
          <w:rFonts w:ascii="Times New Roman" w:cs="Times New Roman" w:eastAsia="Times New Roman" w:hAnsi="Times New Roman"/>
          <w:sz w:val="24"/>
          <w:szCs w:val="24"/>
        </w:rPr>
        <w:t xml:space="preserve">The first time I used the word "mind control" in a courtroom, I watched the judge's eyebrows rise. The defense lawyer smirked. I could feel the jury pulling back. The phrase carries baggage—science fiction, conspiracy theory, tinfoil hats. It sounds unserious. And in a courtroom, unserious is fatal.</w:t>
      </w:r>
    </w:p>
    <w:p>
      <w:pPr>
        <w:spacing w:after="0" w:line="480"/>
        <w:ind w:firstLine="720"/>
      </w:pPr>
      <w:r>
        <w:rPr>
          <w:rFonts w:ascii="Times New Roman" w:cs="Times New Roman" w:eastAsia="Times New Roman" w:hAnsi="Times New Roman"/>
          <w:sz w:val="24"/>
          <w:szCs w:val="24"/>
        </w:rPr>
        <w:t xml:space="preserve">I do not use that phrase anymore. Not because it is wrong—what happens inside TTI programs is, by any clinical definition, a form of mind control. But because the phrase triggers exactly the wrong associations. It makes jurors think of movies instead of evidence.</w:t>
      </w:r>
    </w:p>
    <w:p>
      <w:pPr>
        <w:spacing w:after="0" w:line="480"/>
        <w:ind w:firstLine="720"/>
      </w:pPr>
      <w:r>
        <w:rPr>
          <w:rFonts w:ascii="Times New Roman" w:cs="Times New Roman" w:eastAsia="Times New Roman" w:hAnsi="Times New Roman"/>
          <w:sz w:val="24"/>
          <w:szCs w:val="24"/>
        </w:rPr>
        <w:t xml:space="preserve">What I use instead is a framework. It was developed by Steven Hassan, a former member of the Unification Church who became a mental health counselor and one of the world's leading experts on undue influence. The framework is called the BITE model, and it stands for four categories of institutional control: Behavior control, Information control, Thought control, and Emotional control.</w:t>
      </w:r>
    </w:p>
    <w:p>
      <w:pPr>
        <w:spacing w:after="0" w:line="480"/>
        <w:ind w:firstLine="720"/>
      </w:pPr>
      <w:r>
        <w:rPr>
          <w:rFonts w:ascii="Times New Roman" w:cs="Times New Roman" w:eastAsia="Times New Roman" w:hAnsi="Times New Roman"/>
          <w:sz w:val="24"/>
          <w:szCs w:val="24"/>
        </w:rPr>
        <w:t xml:space="preserve">This chapter introduces the model and shows you how to convert it into a proof architecture for trial. The BITE model is not an academic curiosity. It is the backbone of this entire book—the organizing framework that shapes your complaint, drives your discovery, structures your depositions, and gives the jury a deliberation tool that makes a coercive-system verdict feel logical, inevitable, and just.</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Who Is Steven Hassan</w:t>
      </w:r>
    </w:p>
    <w:p>
      <w:pPr>
        <w:spacing w:after="0" w:line="480"/>
      </w:pPr>
    </w:p>
    <w:p>
      <w:pPr>
        <w:spacing w:after="0" w:line="480"/>
      </w:pPr>
      <w:r>
        <w:rPr>
          <w:rFonts w:ascii="Times New Roman" w:cs="Times New Roman" w:eastAsia="Times New Roman" w:hAnsi="Times New Roman"/>
          <w:sz w:val="24"/>
          <w:szCs w:val="24"/>
        </w:rPr>
        <w:t xml:space="preserve">Hassan's credibility is built on an unusual foundation: he has been on both sides.</w:t>
      </w:r>
    </w:p>
    <w:p>
      <w:pPr>
        <w:spacing w:after="0" w:line="480"/>
        <w:ind w:firstLine="720"/>
      </w:pPr>
      <w:r>
        <w:rPr>
          <w:rFonts w:ascii="Times New Roman" w:cs="Times New Roman" w:eastAsia="Times New Roman" w:hAnsi="Times New Roman"/>
          <w:sz w:val="24"/>
          <w:szCs w:val="24"/>
        </w:rPr>
        <w:t xml:space="preserve">In 1974, at the age of nineteen, Hassan was recruited into the Unification Church. He was a college student—idealistic, politically active, and vulnerable to the love-bombing techniques the group used to recruit new members. For two and a half years, he was a devoted follower. He rose through the ranks. He recruited others. He was, by his own account, a true believer.</w:t>
      </w:r>
    </w:p>
    <w:p>
      <w:pPr>
        <w:spacing w:after="0" w:line="480"/>
        <w:ind w:firstLine="720"/>
      </w:pPr>
      <w:r>
        <w:rPr>
          <w:rFonts w:ascii="Times New Roman" w:cs="Times New Roman" w:eastAsia="Times New Roman" w:hAnsi="Times New Roman"/>
          <w:sz w:val="24"/>
          <w:szCs w:val="24"/>
        </w:rPr>
        <w:t xml:space="preserve">He left after a serious car accident that separated him from the group long enough for his family to intervene. He went on to earn a master's degree in counseling psychology and has spent the subsequent decades studying, writing about, and testifying about the mechanisms of undue influence. His books—</w:t>
      </w:r>
      <w:r>
        <w:rPr>
          <w:rFonts w:ascii="Times New Roman" w:cs="Times New Roman" w:eastAsia="Times New Roman" w:hAnsi="Times New Roman"/>
          <w:i/>
          <w:iCs/>
          <w:sz w:val="24"/>
          <w:szCs w:val="24"/>
        </w:rPr>
        <w:t xml:space="preserve">Combating Cult Mind Control</w:t>
      </w:r>
      <w:r>
        <w:rPr>
          <w:rFonts w:ascii="Times New Roman" w:cs="Times New Roman" w:eastAsia="Times New Roman" w:hAnsi="Times New Roman"/>
          <w:sz w:val="24"/>
          <w:szCs w:val="24"/>
        </w:rPr>
        <w:t xml:space="preserve">, </w:t>
      </w:r>
      <w:r>
        <w:rPr>
          <w:rFonts w:ascii="Times New Roman" w:cs="Times New Roman" w:eastAsia="Times New Roman" w:hAnsi="Times New Roman"/>
          <w:i/>
          <w:iCs/>
          <w:sz w:val="24"/>
          <w:szCs w:val="24"/>
        </w:rPr>
        <w:t xml:space="preserve">Releasing the Bonds</w:t>
      </w:r>
      <w:r>
        <w:rPr>
          <w:rFonts w:ascii="Times New Roman" w:cs="Times New Roman" w:eastAsia="Times New Roman" w:hAnsi="Times New Roman"/>
          <w:sz w:val="24"/>
          <w:szCs w:val="24"/>
        </w:rPr>
        <w:t xml:space="preserve">, and </w:t>
      </w:r>
      <w:r>
        <w:rPr>
          <w:rFonts w:ascii="Times New Roman" w:cs="Times New Roman" w:eastAsia="Times New Roman" w:hAnsi="Times New Roman"/>
          <w:i/>
          <w:iCs/>
          <w:sz w:val="24"/>
          <w:szCs w:val="24"/>
        </w:rPr>
        <w:t xml:space="preserve">Freedom of Mind</w:t>
      </w:r>
      <w:r>
        <w:rPr>
          <w:rFonts w:ascii="Times New Roman" w:cs="Times New Roman" w:eastAsia="Times New Roman" w:hAnsi="Times New Roman"/>
          <w:sz w:val="24"/>
          <w:szCs w:val="24"/>
        </w:rPr>
        <w:t xml:space="preserve">—are the foundational texts in the field. He has served as an expert witness in multiple jurisdictions.</w:t>
      </w:r>
    </w:p>
    <w:p>
      <w:pPr>
        <w:spacing w:after="0" w:line="480"/>
        <w:ind w:firstLine="720"/>
      </w:pPr>
      <w:r>
        <w:rPr>
          <w:rFonts w:ascii="Times New Roman" w:cs="Times New Roman" w:eastAsia="Times New Roman" w:hAnsi="Times New Roman"/>
          <w:sz w:val="24"/>
          <w:szCs w:val="24"/>
        </w:rPr>
        <w:t xml:space="preserve">What makes Hassan essential for TTI litigation is that his model is descriptive, not polemical. He does not ask whether a group is "good" or "bad." He does not ask whether its beliefs are true or false. He asks a single, measurable question: To what degree does this institution control the behavior, information, thought, and emotions of the people under its authority? That question can be asked about any institution—a residential treatment center, a wilderness program, a therapeutic boarding school—without reference to its stated mission, its beliefs, or its intentions. It is a question about mechanism. And mechanism is what you prove in court.</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BITE Model: Four Categories of Control</w:t>
      </w:r>
    </w:p>
    <w:p>
      <w:pPr>
        <w:spacing w:after="0" w:line="480"/>
      </w:pPr>
    </w:p>
    <w:p>
      <w:pPr>
        <w:spacing w:after="0" w:line="480"/>
      </w:pPr>
      <w:r>
        <w:rPr>
          <w:rFonts w:ascii="Times New Roman" w:cs="Times New Roman" w:eastAsia="Times New Roman" w:hAnsi="Times New Roman"/>
          <w:sz w:val="24"/>
          <w:szCs w:val="24"/>
        </w:rPr>
        <w:t xml:space="preserve">The BITE model organizes the techniques of coercive control into four categories. Each describes a different dimension of human autonomy that a program can target. In a healthy therapeutic environment, none of these dimensions is systematically controlled. In a coercive program, all four are controlled simultaneously, creating a closed system from which psychological escape is impossible even when physical escape might theoretically be available.</w:t>
      </w:r>
    </w:p>
    <w:p>
      <w:pPr>
        <w:spacing w:after="0" w:line="480"/>
      </w:pPr>
    </w:p>
    <w:p>
      <w:pPr>
        <w:spacing w:after="0" w:before="240" w:line="480"/>
      </w:pPr>
      <w:r>
        <w:rPr>
          <w:rFonts w:ascii="Times New Roman" w:cs="Times New Roman" w:eastAsia="Times New Roman" w:hAnsi="Times New Roman"/>
          <w:b/>
          <w:bCs/>
          <w:i/>
          <w:iCs/>
          <w:sz w:val="24"/>
          <w:szCs w:val="24"/>
        </w:rPr>
        <w:t xml:space="preserve">Behavior Control</w:t>
      </w:r>
    </w:p>
    <w:p>
      <w:pPr>
        <w:spacing w:after="0" w:line="480"/>
      </w:pPr>
    </w:p>
    <w:p>
      <w:pPr>
        <w:spacing w:after="0" w:line="480"/>
        <w:ind w:firstLine="720"/>
      </w:pPr>
      <w:r>
        <w:rPr>
          <w:rFonts w:ascii="Times New Roman" w:cs="Times New Roman" w:eastAsia="Times New Roman" w:hAnsi="Times New Roman"/>
          <w:sz w:val="24"/>
          <w:szCs w:val="24"/>
        </w:rPr>
        <w:t xml:space="preserve">This is the most visible form of control, and it is often the first thing that draws legal attention. Behavior control encompasses any technique that restricts, directs, or punishes a person's physical actions, movement, or bodily autonomy.</w:t>
      </w:r>
    </w:p>
    <w:p>
      <w:pPr>
        <w:spacing w:after="0" w:line="480"/>
        <w:ind w:firstLine="720"/>
      </w:pPr>
      <w:r>
        <w:rPr>
          <w:rFonts w:ascii="Times New Roman" w:cs="Times New Roman" w:eastAsia="Times New Roman" w:hAnsi="Times New Roman"/>
          <w:sz w:val="24"/>
          <w:szCs w:val="24"/>
        </w:rPr>
        <w:t xml:space="preserve">In TTI programs, behavior control is pervasive and industrial. The child cannot leave the facility. She cannot make phone calls without permission. She cannot choose what to eat, what to wear, or when to sleep. Her movements are tracked and restricted. If she resists, she is physically restrained—pinned face-down on the floor by staff members who may outweigh her by a hundred pounds. If she continues to resist, she is placed in isolation—a small room, sometimes padded, sometimes not, where she will remain for hours, days, or weeks. The level system governs every aspect of daily life: which privileges are available depends entirely on whether the child has demonstrated sufficient compliance. Behavior control in the TTI is not a departure from the program's design. It is the program's primary operating method.</w:t>
      </w:r>
    </w:p>
    <w:p>
      <w:pPr>
        <w:spacing w:after="0" w:line="480"/>
        <w:ind w:firstLine="720"/>
      </w:pPr>
      <w:r>
        <w:rPr>
          <w:rFonts w:ascii="Times New Roman" w:cs="Times New Roman" w:eastAsia="Times New Roman" w:hAnsi="Times New Roman"/>
          <w:b/>
          <w:bCs/>
          <w:sz w:val="24"/>
          <w:szCs w:val="24"/>
        </w:rPr>
        <w:t xml:space="preserve">For proof:</w:t>
      </w:r>
      <w:r>
        <w:rPr>
          <w:rFonts w:ascii="Times New Roman" w:cs="Times New Roman" w:eastAsia="Times New Roman" w:hAnsi="Times New Roman"/>
          <w:sz w:val="24"/>
          <w:szCs w:val="24"/>
        </w:rPr>
        <w:t xml:space="preserve"> Behavior control leaves physical evidence. Request restraint logs and incident reports (frequency, duration, force, authorization). Request medication administration records—chemical restraints are behavior control. Request floor plans, room assignments, and isolation logs. Request the level-system manual. Request staffing schedules (the ratio of staff to children tells you about the intensity of physical control). Request transport company contracts and transport incident reports. Every restraint, every isolation, every forced march, every confiscated phone is a fact in your BITE grid.</w:t>
      </w:r>
    </w:p>
    <w:p>
      <w:pPr>
        <w:spacing w:after="0" w:line="480"/>
        <w:ind w:firstLine="720"/>
      </w:pPr>
      <w:r>
        <w:rPr>
          <w:rFonts w:ascii="Times New Roman" w:cs="Times New Roman" w:eastAsia="Times New Roman" w:hAnsi="Times New Roman"/>
          <w:b/>
          <w:bCs/>
          <w:sz w:val="24"/>
          <w:szCs w:val="24"/>
        </w:rPr>
        <w:t xml:space="preserve">Legal claims supported:</w:t>
      </w:r>
      <w:r>
        <w:rPr>
          <w:rFonts w:ascii="Times New Roman" w:cs="Times New Roman" w:eastAsia="Times New Roman" w:hAnsi="Times New Roman"/>
          <w:sz w:val="24"/>
          <w:szCs w:val="24"/>
        </w:rPr>
        <w:t xml:space="preserve"> False imprisonment, battery, negligent and intentional infliction of emotional distress, negligent hiring and supervision, human trafficking (transport, isolation, forced labor), child abuse.</w:t>
      </w:r>
    </w:p>
    <w:p>
      <w:pPr>
        <w:spacing w:after="0" w:line="480"/>
      </w:pPr>
    </w:p>
    <w:p>
      <w:pPr>
        <w:spacing w:after="0" w:before="240" w:line="480"/>
      </w:pPr>
      <w:r>
        <w:rPr>
          <w:rFonts w:ascii="Times New Roman" w:cs="Times New Roman" w:eastAsia="Times New Roman" w:hAnsi="Times New Roman"/>
          <w:b/>
          <w:bCs/>
          <w:i/>
          <w:iCs/>
          <w:sz w:val="24"/>
          <w:szCs w:val="24"/>
        </w:rPr>
        <w:t xml:space="preserve">Information Control</w:t>
      </w:r>
    </w:p>
    <w:p>
      <w:pPr>
        <w:spacing w:after="0" w:line="480"/>
      </w:pPr>
    </w:p>
    <w:p>
      <w:pPr>
        <w:spacing w:after="0" w:line="480"/>
        <w:ind w:firstLine="720"/>
      </w:pPr>
      <w:r>
        <w:rPr>
          <w:rFonts w:ascii="Times New Roman" w:cs="Times New Roman" w:eastAsia="Times New Roman" w:hAnsi="Times New Roman"/>
          <w:sz w:val="24"/>
          <w:szCs w:val="24"/>
        </w:rPr>
        <w:t xml:space="preserve">If behavior control governs what you do, information control governs what you know. And in many ways, information control is the more powerful tool, because a person who does not have access to accurate information cannot make meaningful choices—even if their body is nominally free.</w:t>
      </w:r>
    </w:p>
    <w:p>
      <w:pPr>
        <w:spacing w:after="0" w:line="480"/>
        <w:ind w:firstLine="720"/>
      </w:pPr>
      <w:r>
        <w:rPr>
          <w:rFonts w:ascii="Times New Roman" w:cs="Times New Roman" w:eastAsia="Times New Roman" w:hAnsi="Times New Roman"/>
          <w:sz w:val="24"/>
          <w:szCs w:val="24"/>
        </w:rPr>
        <w:t xml:space="preserve">In TTI programs, information control is industrial. Outgoing mail is censored or withheld. Incoming mail is screened. Phone calls are monitored, limited, and in many programs conducted with a staff member listening and a script dictating what the child may say. Access to the internet, television, newspapers, and outside media is eliminated. Parents receive curated progress reports that bear little resemblance to the child's actual experience. Marketing materials make promises—"evidence-based treatment," "licensed clinical staff," "individualized care plans"—that the program's actual operation does not deliver. Records are falsified or selectively maintained. When a child is injured during a restraint, the incident report describes the child's behavior, not the staff's. When a child deteriorates, the progress report says she is "making progress."</w:t>
      </w:r>
    </w:p>
    <w:p>
      <w:pPr>
        <w:spacing w:after="0" w:line="480"/>
        <w:ind w:firstLine="720"/>
      </w:pPr>
      <w:r>
        <w:rPr>
          <w:rFonts w:ascii="Times New Roman" w:cs="Times New Roman" w:eastAsia="Times New Roman" w:hAnsi="Times New Roman"/>
          <w:b/>
          <w:bCs/>
          <w:sz w:val="24"/>
          <w:szCs w:val="24"/>
        </w:rPr>
        <w:t xml:space="preserve">For proof:</w:t>
      </w:r>
      <w:r>
        <w:rPr>
          <w:rFonts w:ascii="Times New Roman" w:cs="Times New Roman" w:eastAsia="Times New Roman" w:hAnsi="Times New Roman"/>
          <w:sz w:val="24"/>
          <w:szCs w:val="24"/>
        </w:rPr>
        <w:t xml:space="preserve"> Information control is a discovery goldmine because it requires documentation. Request marketing materials, website archives (Wayback Machine), brochures, and enrollment presentations—the promise. Request internal incident reports, medical records, behavioral logs, and staffing records—the reality. The gap between the two is your fraud case. Request all censored, withheld, or modified communications—including original drafts of letters written by children that were edited or never sent. Request the program's communication policy manual. Request all NDAs and non-disparagement agreements signed by staff and former residents.</w:t>
      </w:r>
    </w:p>
    <w:p>
      <w:pPr>
        <w:spacing w:after="0" w:line="480"/>
        <w:ind w:firstLine="720"/>
      </w:pPr>
      <w:r>
        <w:rPr>
          <w:rFonts w:ascii="Times New Roman" w:cs="Times New Roman" w:eastAsia="Times New Roman" w:hAnsi="Times New Roman"/>
          <w:b/>
          <w:bCs/>
          <w:sz w:val="24"/>
          <w:szCs w:val="24"/>
        </w:rPr>
        <w:t xml:space="preserve">Legal claims supported:</w:t>
      </w:r>
      <w:r>
        <w:rPr>
          <w:rFonts w:ascii="Times New Roman" w:cs="Times New Roman" w:eastAsia="Times New Roman" w:hAnsi="Times New Roman"/>
          <w:sz w:val="24"/>
          <w:szCs w:val="24"/>
        </w:rPr>
        <w:t xml:space="preserve"> Fraud, concealment, failure to warn, consumer fraud statutes, breach of contract, punitive damages (an institution that falsifies records is not merely negligent—it is actively concealing harm).</w:t>
      </w:r>
    </w:p>
    <w:p>
      <w:pPr>
        <w:spacing w:after="0" w:line="480"/>
      </w:pPr>
    </w:p>
    <w:p>
      <w:pPr>
        <w:spacing w:after="0" w:before="240" w:line="480"/>
      </w:pPr>
      <w:r>
        <w:rPr>
          <w:rFonts w:ascii="Times New Roman" w:cs="Times New Roman" w:eastAsia="Times New Roman" w:hAnsi="Times New Roman"/>
          <w:b/>
          <w:bCs/>
          <w:i/>
          <w:iCs/>
          <w:sz w:val="24"/>
          <w:szCs w:val="24"/>
        </w:rPr>
        <w:t xml:space="preserve">Thought Control</w:t>
      </w:r>
    </w:p>
    <w:p>
      <w:pPr>
        <w:spacing w:after="0" w:line="480"/>
      </w:pPr>
    </w:p>
    <w:p>
      <w:pPr>
        <w:spacing w:after="0" w:line="480"/>
        <w:ind w:firstLine="720"/>
      </w:pPr>
      <w:r>
        <w:rPr>
          <w:rFonts w:ascii="Times New Roman" w:cs="Times New Roman" w:eastAsia="Times New Roman" w:hAnsi="Times New Roman"/>
          <w:sz w:val="24"/>
          <w:szCs w:val="24"/>
        </w:rPr>
        <w:t xml:space="preserve">Thought control is subtler than behavior or information control, and it is the category that most often confuses lawyers new to this framework. It is not about what the program makes you do or what it lets you know. It is about what it makes you believe.</w:t>
      </w:r>
    </w:p>
    <w:p>
      <w:pPr>
        <w:spacing w:after="0" w:line="480"/>
        <w:ind w:firstLine="720"/>
      </w:pPr>
      <w:r>
        <w:rPr>
          <w:rFonts w:ascii="Times New Roman" w:cs="Times New Roman" w:eastAsia="Times New Roman" w:hAnsi="Times New Roman"/>
          <w:sz w:val="24"/>
          <w:szCs w:val="24"/>
        </w:rPr>
        <w:t xml:space="preserve">The signature technique of thought control in TTI programs is the reframing of resistance as pathology. A child who says "I want to go home" is told that the desire to leave is itself a symptom of the disorder being treated. A child who says "This program is hurting me" is told that the inability to accept help is evidence of how much help she needs. The complaint becomes proof of illness. The resistance becomes evidence that the treatment is working. The child's own critical thinking—the most basic tool of human autonomy—is turned against her.</w:t>
      </w:r>
    </w:p>
    <w:p>
      <w:pPr>
        <w:spacing w:after="0" w:line="480"/>
        <w:ind w:firstLine="720"/>
      </w:pPr>
      <w:r>
        <w:rPr>
          <w:rFonts w:ascii="Times New Roman" w:cs="Times New Roman" w:eastAsia="Times New Roman" w:hAnsi="Times New Roman"/>
          <w:sz w:val="24"/>
          <w:szCs w:val="24"/>
        </w:rPr>
        <w:t xml:space="preserve">Thought control also operates through loaded language. Every TTI program develops its own vocabulary—a private lexicon that reframes coercive practices in therapeutic terms. Isolation becomes "reflection time." Punishment becomes "accountability." Coerced confession becomes "processing." Compliance becomes "growth." Children learn to speak this language fluently, because speaking it is how they advance through the level system. Over time, the language colonizes the child's thinking. The child begins to interpret her own experience through the program's categories. She begins to believe that her suffering is growth, that her resistance is sickness, that her desire for freedom is evidence of how broken she is.</w:t>
      </w:r>
    </w:p>
    <w:p>
      <w:pPr>
        <w:spacing w:after="0" w:line="480"/>
        <w:ind w:firstLine="720"/>
      </w:pPr>
      <w:r>
        <w:rPr>
          <w:rFonts w:ascii="Times New Roman" w:cs="Times New Roman" w:eastAsia="Times New Roman" w:hAnsi="Times New Roman"/>
          <w:b/>
          <w:bCs/>
          <w:sz w:val="24"/>
          <w:szCs w:val="24"/>
        </w:rPr>
        <w:t xml:space="preserve">For proof:</w:t>
      </w:r>
      <w:r>
        <w:rPr>
          <w:rFonts w:ascii="Times New Roman" w:cs="Times New Roman" w:eastAsia="Times New Roman" w:hAnsi="Times New Roman"/>
          <w:sz w:val="24"/>
          <w:szCs w:val="24"/>
        </w:rPr>
        <w:t xml:space="preserve"> Request program philosophy documents, therapeutic model descriptions, and staff training manuals. Look for instructions on how to reframe complaints as symptoms. Request progress notes—the clinical language used to describe the child's behavior often reveals thought control in action ("continues to resist the process," "remains in denial about her role in her own struggles"). Request transcripts or recordings of group sessions if they exist. The loaded language is visible on the page, and it is devastating in front of a jury.</w:t>
      </w:r>
    </w:p>
    <w:p>
      <w:pPr>
        <w:spacing w:after="0" w:line="480"/>
        <w:ind w:firstLine="720"/>
      </w:pPr>
      <w:r>
        <w:rPr>
          <w:rFonts w:ascii="Times New Roman" w:cs="Times New Roman" w:eastAsia="Times New Roman" w:hAnsi="Times New Roman"/>
          <w:b/>
          <w:bCs/>
          <w:sz w:val="24"/>
          <w:szCs w:val="24"/>
        </w:rPr>
        <w:t xml:space="preserve">Legal claims supported:</w:t>
      </w:r>
      <w:r>
        <w:rPr>
          <w:rFonts w:ascii="Times New Roman" w:cs="Times New Roman" w:eastAsia="Times New Roman" w:hAnsi="Times New Roman"/>
          <w:sz w:val="24"/>
          <w:szCs w:val="24"/>
        </w:rPr>
        <w:t xml:space="preserve"> Undue influence, coercion, intentional infliction of emotional distress, and—critically—the negation of the consent defense. When a program has captured a child's capacity for independent thought, any "consent" expressed by the child is not meaningful consent. The BITE model provides the mechanism that undue influence doctrine has always required.</w:t>
      </w:r>
    </w:p>
    <w:p>
      <w:pPr>
        <w:spacing w:after="0" w:line="480"/>
      </w:pPr>
    </w:p>
    <w:p>
      <w:pPr>
        <w:spacing w:after="0" w:before="240" w:line="480"/>
      </w:pPr>
      <w:r>
        <w:rPr>
          <w:rFonts w:ascii="Times New Roman" w:cs="Times New Roman" w:eastAsia="Times New Roman" w:hAnsi="Times New Roman"/>
          <w:b/>
          <w:bCs/>
          <w:i/>
          <w:iCs/>
          <w:sz w:val="24"/>
          <w:szCs w:val="24"/>
        </w:rPr>
        <w:t xml:space="preserve">Emotional Control</w:t>
      </w:r>
    </w:p>
    <w:p>
      <w:pPr>
        <w:spacing w:after="0" w:line="480"/>
      </w:pPr>
    </w:p>
    <w:p>
      <w:pPr>
        <w:spacing w:after="0" w:line="480"/>
        <w:ind w:firstLine="720"/>
      </w:pPr>
      <w:r>
        <w:rPr>
          <w:rFonts w:ascii="Times New Roman" w:cs="Times New Roman" w:eastAsia="Times New Roman" w:hAnsi="Times New Roman"/>
          <w:sz w:val="24"/>
          <w:szCs w:val="24"/>
        </w:rPr>
        <w:t xml:space="preserve">The fourth category completes the architecture. Emotional control targets the feelings that drive human behavior: fear, shame, guilt, love, belonging, and hope.</w:t>
      </w:r>
    </w:p>
    <w:p>
      <w:pPr>
        <w:spacing w:after="0" w:line="480"/>
        <w:ind w:firstLine="720"/>
      </w:pPr>
      <w:r>
        <w:rPr>
          <w:rFonts w:ascii="Times New Roman" w:cs="Times New Roman" w:eastAsia="Times New Roman" w:hAnsi="Times New Roman"/>
          <w:sz w:val="24"/>
          <w:szCs w:val="24"/>
        </w:rPr>
        <w:t xml:space="preserve">In TTI programs, emotional control operates through two complementary mechanisms: punishment of unapproved emotions and weaponization of attachment needs. A teenager who cries is told she is being manipulative. A boy who expresses homesickness is told he is not "committed to the process." A girl who shows anger is restrained, isolated, or demoted in the level system. The message is: your feelings are not your own. Your feelings are symptoms. The only acceptable emotional state is the one the program prescribes—which is gratitude for the program itself.</w:t>
      </w:r>
    </w:p>
    <w:p>
      <w:pPr>
        <w:spacing w:after="0" w:line="480"/>
        <w:ind w:firstLine="720"/>
      </w:pPr>
      <w:r>
        <w:rPr>
          <w:rFonts w:ascii="Times New Roman" w:cs="Times New Roman" w:eastAsia="Times New Roman" w:hAnsi="Times New Roman"/>
          <w:sz w:val="24"/>
          <w:szCs w:val="24"/>
        </w:rPr>
        <w:t xml:space="preserve">Weaponization of attachment needs is the deeper mechanism. Adolescents need to belong. They need approval, connection, and acceptance. TTI programs exploit these needs by making belonging conditional on compliance. The child earns the right to participate in group activities by performing wellness. She earns the right to speak to her parents by saying the right things. She earns the approval of staff—the only adults in her life—by adopting the program's values as her own. The attachment is real. The trauma bond is real. And it explains why many survivors, years later, still defend the program that harmed them—a phenomenon that confuses juries unless you explain it.</w:t>
      </w:r>
    </w:p>
    <w:p>
      <w:pPr>
        <w:spacing w:after="0" w:line="480"/>
        <w:ind w:firstLine="720"/>
      </w:pPr>
      <w:r>
        <w:rPr>
          <w:rFonts w:ascii="Times New Roman" w:cs="Times New Roman" w:eastAsia="Times New Roman" w:hAnsi="Times New Roman"/>
          <w:b/>
          <w:bCs/>
          <w:sz w:val="24"/>
          <w:szCs w:val="24"/>
        </w:rPr>
        <w:t xml:space="preserve">For proof:</w:t>
      </w:r>
      <w:r>
        <w:rPr>
          <w:rFonts w:ascii="Times New Roman" w:cs="Times New Roman" w:eastAsia="Times New Roman" w:hAnsi="Times New Roman"/>
          <w:sz w:val="24"/>
          <w:szCs w:val="24"/>
        </w:rPr>
        <w:t xml:space="preserve"> Request program rules or staff handbooks that describe acceptable and unacceptable emotional expression. Request group session notes and confrontation session records. Request correspondence from children—the tone of these letters, when compared to the child's post-program account, often reveals the emotional control system (artificially cheerful letters written under coercion versus the raw accounts that emerge years later). Request any "graduation" or "completion" testimonials—these are often coerced performances of gratitude that the program uses in its marketing.</w:t>
      </w:r>
    </w:p>
    <w:p>
      <w:pPr>
        <w:spacing w:after="0" w:line="480"/>
        <w:ind w:firstLine="720"/>
      </w:pPr>
      <w:r>
        <w:rPr>
          <w:rFonts w:ascii="Times New Roman" w:cs="Times New Roman" w:eastAsia="Times New Roman" w:hAnsi="Times New Roman"/>
          <w:b/>
          <w:bCs/>
          <w:sz w:val="24"/>
          <w:szCs w:val="24"/>
        </w:rPr>
        <w:t xml:space="preserve">Legal claims supported:</w:t>
      </w:r>
      <w:r>
        <w:rPr>
          <w:rFonts w:ascii="Times New Roman" w:cs="Times New Roman" w:eastAsia="Times New Roman" w:hAnsi="Times New Roman"/>
          <w:sz w:val="24"/>
          <w:szCs w:val="24"/>
        </w:rPr>
        <w:t xml:space="preserve"> Intentional and negligent infliction of emotional distress, emotional abuse under state child abuse statutes, and the foundation of general damages. Emotional control damages are the heart of the C-PTSD framework described in Chapter 3: shame, learned helplessness, inability to trust, the fawn response, the collapse of self-worth.</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Language Discipline: What to Say and What Never to Say</w:t>
      </w:r>
    </w:p>
    <w:p>
      <w:pPr>
        <w:spacing w:after="0" w:line="480"/>
      </w:pPr>
    </w:p>
    <w:p>
      <w:pPr>
        <w:spacing w:after="0" w:line="480"/>
      </w:pPr>
      <w:r>
        <w:rPr>
          <w:rFonts w:ascii="Times New Roman" w:cs="Times New Roman" w:eastAsia="Times New Roman" w:hAnsi="Times New Roman"/>
          <w:sz w:val="24"/>
          <w:szCs w:val="24"/>
        </w:rPr>
        <w:t xml:space="preserve">I need to address this directly because it will come up in every case, and how you handle it will determine whether the BITE model helps you or hurts you.</w:t>
      </w:r>
    </w:p>
    <w:p>
      <w:pPr>
        <w:spacing w:after="0" w:line="480"/>
        <w:ind w:firstLine="720"/>
      </w:pPr>
      <w:r>
        <w:rPr>
          <w:rFonts w:ascii="Times New Roman" w:cs="Times New Roman" w:eastAsia="Times New Roman" w:hAnsi="Times New Roman"/>
          <w:sz w:val="24"/>
          <w:szCs w:val="24"/>
        </w:rPr>
        <w:t xml:space="preserve">Do not call the program a cult. Do not use that word in your complaint, your depositions, your briefs, or your closing argument. The word "cult" is a conclusion, not a description. It is loaded with cultural baggage—Jonestown, Waco, Heaven's Gate—and it will trigger exactly the System 1 associations you cannot afford to trigger. The moment a juror hears "cult," they think of extremists in robes, not a therapeutic boarding school in Montana. You have lost them.</w:t>
      </w:r>
    </w:p>
    <w:p>
      <w:pPr>
        <w:spacing w:after="0" w:line="480"/>
        <w:ind w:firstLine="720"/>
      </w:pPr>
      <w:r>
        <w:rPr>
          <w:rFonts w:ascii="Times New Roman" w:cs="Times New Roman" w:eastAsia="Times New Roman" w:hAnsi="Times New Roman"/>
          <w:sz w:val="24"/>
          <w:szCs w:val="24"/>
        </w:rPr>
        <w:t xml:space="preserve">Instead, use the language of the BITE model. Say "high-control program." Say "coercive system." Say "the program exercised behavior control, information control, thought control, and emotional control over children in its care." These are descriptive, clinical, and evidence-based. They invite examination. They do not invite dismissal.</w:t>
      </w:r>
    </w:p>
    <w:p>
      <w:pPr>
        <w:spacing w:after="0" w:line="480"/>
        <w:ind w:firstLine="720"/>
      </w:pPr>
      <w:r>
        <w:rPr>
          <w:rFonts w:ascii="Times New Roman" w:cs="Times New Roman" w:eastAsia="Times New Roman" w:hAnsi="Times New Roman"/>
          <w:sz w:val="24"/>
          <w:szCs w:val="24"/>
        </w:rPr>
        <w:t xml:space="preserve">Hassan himself makes this distinction carefully. The BITE model is not a "cult detector." It is a framework for measuring the degree of control an institution exercises over its members. Every institution exercises some degree of control—a school requires attendance, a hospital restricts movement during treatment, a summer camp has rules. The question is not whether control exists but whether the control is so pervasive across all four BITE categories that it constitutes a coercive system. That is a factual question, provable through evidence. It is not a label.</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Undue Influence and the Myth of Consent</w:t>
      </w:r>
    </w:p>
    <w:p>
      <w:pPr>
        <w:spacing w:after="0" w:line="480"/>
      </w:pPr>
    </w:p>
    <w:p>
      <w:pPr>
        <w:spacing w:after="0" w:line="480"/>
      </w:pPr>
      <w:r>
        <w:rPr>
          <w:rFonts w:ascii="Times New Roman" w:cs="Times New Roman" w:eastAsia="Times New Roman" w:hAnsi="Times New Roman"/>
          <w:sz w:val="24"/>
          <w:szCs w:val="24"/>
        </w:rPr>
        <w:t xml:space="preserve">The defense will argue consent. It is their strongest card, and you need to be ready for it.</w:t>
      </w:r>
    </w:p>
    <w:p>
      <w:pPr>
        <w:spacing w:after="0" w:line="480"/>
        <w:ind w:firstLine="720"/>
      </w:pPr>
      <w:r>
        <w:rPr>
          <w:rFonts w:ascii="Times New Roman" w:cs="Times New Roman" w:eastAsia="Times New Roman" w:hAnsi="Times New Roman"/>
          <w:sz w:val="24"/>
          <w:szCs w:val="24"/>
        </w:rPr>
        <w:t xml:space="preserve">"The parents signed an enrollment agreement. The parents authorized the treatment. The parents chose to send their child to this program. Where is the tort?"</w:t>
      </w:r>
    </w:p>
    <w:p>
      <w:pPr>
        <w:spacing w:after="0" w:line="480"/>
        <w:ind w:firstLine="720"/>
      </w:pPr>
      <w:r>
        <w:rPr>
          <w:rFonts w:ascii="Times New Roman" w:cs="Times New Roman" w:eastAsia="Times New Roman" w:hAnsi="Times New Roman"/>
          <w:sz w:val="24"/>
          <w:szCs w:val="24"/>
        </w:rPr>
        <w:t xml:space="preserve">The answer is undue influence. Hassan's framework demonstrates that consent obtained within a coercive control system is not meaningful consent, because the decision-maker's capacity for independent evaluation has been systematically compromised. The parents did not consent to a coercive system. They consented to the program described in the marketing materials—the evidence-based, clinically supervised, compassionate environment that does not exist. Their consent was obtained through fraud. And the child never consented at all.</w:t>
      </w:r>
    </w:p>
    <w:p>
      <w:pPr>
        <w:spacing w:after="0" w:line="480"/>
        <w:ind w:firstLine="720"/>
      </w:pPr>
      <w:r>
        <w:rPr>
          <w:rFonts w:ascii="Times New Roman" w:cs="Times New Roman" w:eastAsia="Times New Roman" w:hAnsi="Times New Roman"/>
          <w:sz w:val="24"/>
          <w:szCs w:val="24"/>
        </w:rPr>
        <w:t xml:space="preserve">Undue influence is not a new legal concept. It has deep roots in contract law, probate law, and fiduciary duty law. What Hassan's framework adds is the mechanism—the specific, identifiable techniques by which a program obtained compliance from a child who could not legally consent and cooperation from parents who were deceived. The BITE model does not replace undue influence doctrine. It fills it. It gives the doctrine the evidentiary framework it has always needed.</w:t>
      </w:r>
    </w:p>
    <w:p>
      <w:pPr>
        <w:spacing w:after="0" w:line="480"/>
        <w:ind w:firstLine="720"/>
      </w:pPr>
      <w:r>
        <w:rPr>
          <w:rFonts w:ascii="Times New Roman" w:cs="Times New Roman" w:eastAsia="Times New Roman" w:hAnsi="Times New Roman"/>
          <w:sz w:val="24"/>
          <w:szCs w:val="24"/>
        </w:rPr>
        <w:t xml:space="preserve">For TTI cases specifically, the consent argument collapses on a simple fact: children cannot consent. A fourteen-year-old who is pulled from her bed at two in the morning by strangers, driven across state lines, strip-searched, and enrolled in a program she has never heard of did not consent to anything. Her parents' consent—obtained through marketing fraud, educational consultant manipulation, and the deliberate exploitation of parental desperation—is not her consent. And even her parents' consent is vitiated by the fraud. You do not consent to a coercive system. You consent to the lie.</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Assembling Your Case: The BITE Proof Grid</w:t>
      </w:r>
    </w:p>
    <w:p>
      <w:pPr>
        <w:spacing w:after="0" w:line="480"/>
      </w:pPr>
    </w:p>
    <w:p>
      <w:pPr>
        <w:spacing w:after="0" w:line="480"/>
      </w:pPr>
      <w:r>
        <w:rPr>
          <w:rFonts w:ascii="Times New Roman" w:cs="Times New Roman" w:eastAsia="Times New Roman" w:hAnsi="Times New Roman"/>
          <w:sz w:val="24"/>
          <w:szCs w:val="24"/>
        </w:rPr>
        <w:t xml:space="preserve">Now that you have the four categories, let me show you how to assemble them into the single working document that will drive every phase of your TTI case.</w:t>
      </w:r>
    </w:p>
    <w:p>
      <w:pPr>
        <w:spacing w:after="0" w:line="480"/>
        <w:ind w:firstLine="720"/>
      </w:pPr>
      <w:r>
        <w:rPr>
          <w:rFonts w:ascii="Times New Roman" w:cs="Times New Roman" w:eastAsia="Times New Roman" w:hAnsi="Times New Roman"/>
          <w:sz w:val="24"/>
          <w:szCs w:val="24"/>
        </w:rPr>
        <w:t xml:space="preserve">The BITE proof grid is a four-column document. Column one is the fact—the specific program behavior you intend to prove. Column two is the source of proof—the document, the witness, or the physical evidence that will establish the fact. Column three is the legal claim the fact supports. Column four is the damages implication—how the fact connects to the harm your client suffered.</w:t>
      </w:r>
    </w:p>
    <w:p>
      <w:pPr>
        <w:spacing w:after="0" w:line="480"/>
        <w:ind w:firstLine="720"/>
      </w:pPr>
      <w:r>
        <w:rPr>
          <w:rFonts w:ascii="Times New Roman" w:cs="Times New Roman" w:eastAsia="Times New Roman" w:hAnsi="Times New Roman"/>
          <w:sz w:val="24"/>
          <w:szCs w:val="24"/>
        </w:rPr>
        <w:t xml:space="preserve">You build the grid at the beginning of your case, immediately after intake. Every fact your client tells you goes into the grid, sorted by BITE category. As discovery produces documents and depositions produce testimony, the grid grows. By the time you reach trial, the grid is your master document—the source of your witness list, your exhibit list, your trial outline, and your closing argument.</w:t>
      </w:r>
    </w:p>
    <w:p>
      <w:pPr>
        <w:spacing w:after="0" w:line="480"/>
      </w:pPr>
    </w:p>
    <w:p>
      <w:pPr>
        <w:spacing w:after="0" w:before="240" w:line="480"/>
      </w:pPr>
      <w:r>
        <w:rPr>
          <w:rFonts w:ascii="Times New Roman" w:cs="Times New Roman" w:eastAsia="Times New Roman" w:hAnsi="Times New Roman"/>
          <w:b/>
          <w:bCs/>
          <w:i/>
          <w:iCs/>
          <w:sz w:val="24"/>
          <w:szCs w:val="24"/>
        </w:rPr>
        <w:t xml:space="preserve">An Example</w:t>
      </w:r>
    </w:p>
    <w:p>
      <w:pPr>
        <w:spacing w:after="0" w:line="480"/>
      </w:pPr>
    </w:p>
    <w:p>
      <w:pPr>
        <w:spacing w:after="0" w:line="480"/>
        <w:ind w:firstLine="720"/>
      </w:pPr>
      <w:r>
        <w:rPr>
          <w:rFonts w:ascii="Times New Roman" w:cs="Times New Roman" w:eastAsia="Times New Roman" w:hAnsi="Times New Roman"/>
          <w:sz w:val="24"/>
          <w:szCs w:val="24"/>
        </w:rPr>
        <w:t xml:space="preserve">Suppose your client tells you during intake that outgoing mail was censored. That fact goes in the grid:</w:t>
      </w:r>
    </w:p>
    <w:p>
      <w:pPr>
        <w:spacing w:after="0" w:line="480"/>
        <w:ind w:firstLine="720"/>
      </w:pPr>
      <w:r>
        <w:rPr>
          <w:rFonts w:ascii="Times New Roman" w:cs="Times New Roman" w:eastAsia="Times New Roman" w:hAnsi="Times New Roman"/>
          <w:b/>
          <w:bCs/>
          <w:sz w:val="24"/>
          <w:szCs w:val="24"/>
        </w:rPr>
        <w:t xml:space="preserve">Fact:</w:t>
      </w:r>
      <w:r>
        <w:rPr>
          <w:rFonts w:ascii="Times New Roman" w:cs="Times New Roman" w:eastAsia="Times New Roman" w:hAnsi="Times New Roman"/>
          <w:sz w:val="24"/>
          <w:szCs w:val="24"/>
        </w:rPr>
        <w:t xml:space="preserve"> Outgoing letters from residents were reviewed by staff and censored or withheld if they contained complaints. </w:t>
      </w:r>
      <w:r>
        <w:rPr>
          <w:rFonts w:ascii="Times New Roman" w:cs="Times New Roman" w:eastAsia="Times New Roman" w:hAnsi="Times New Roman"/>
          <w:b/>
          <w:bCs/>
          <w:sz w:val="24"/>
          <w:szCs w:val="24"/>
        </w:rPr>
        <w:t xml:space="preserve">Source:</w:t>
      </w:r>
      <w:r>
        <w:rPr>
          <w:rFonts w:ascii="Times New Roman" w:cs="Times New Roman" w:eastAsia="Times New Roman" w:hAnsi="Times New Roman"/>
          <w:sz w:val="24"/>
          <w:szCs w:val="24"/>
        </w:rPr>
        <w:t xml:space="preserve"> Program communication policy (document request); deposition of former mail-room staff; client testimony; surviving letters (compare sent versions to client's recollection of what she wrote). </w:t>
      </w:r>
      <w:r>
        <w:rPr>
          <w:rFonts w:ascii="Times New Roman" w:cs="Times New Roman" w:eastAsia="Times New Roman" w:hAnsi="Times New Roman"/>
          <w:b/>
          <w:bCs/>
          <w:sz w:val="24"/>
          <w:szCs w:val="24"/>
        </w:rPr>
        <w:t xml:space="preserve">Legal claim:</w:t>
      </w:r>
      <w:r>
        <w:rPr>
          <w:rFonts w:ascii="Times New Roman" w:cs="Times New Roman" w:eastAsia="Times New Roman" w:hAnsi="Times New Roman"/>
          <w:sz w:val="24"/>
          <w:szCs w:val="24"/>
        </w:rPr>
        <w:t xml:space="preserve"> Information control; fraud; concealment; intentional infliction of emotional distress. </w:t>
      </w:r>
      <w:r>
        <w:rPr>
          <w:rFonts w:ascii="Times New Roman" w:cs="Times New Roman" w:eastAsia="Times New Roman" w:hAnsi="Times New Roman"/>
          <w:b/>
          <w:bCs/>
          <w:sz w:val="24"/>
          <w:szCs w:val="24"/>
        </w:rPr>
        <w:t xml:space="preserve">Damages:</w:t>
      </w:r>
      <w:r>
        <w:rPr>
          <w:rFonts w:ascii="Times New Roman" w:cs="Times New Roman" w:eastAsia="Times New Roman" w:hAnsi="Times New Roman"/>
          <w:sz w:val="24"/>
          <w:szCs w:val="24"/>
        </w:rPr>
        <w:t xml:space="preserve"> Prolonged abuse duration (family could not intervene because they did not know); relational damage (child lost trust in the possibility of rescue); financial damages (family continued paying tuition based on fraudulent progress reports).</w:t>
      </w:r>
    </w:p>
    <w:p>
      <w:pPr>
        <w:spacing w:after="0" w:line="480"/>
        <w:ind w:firstLine="720"/>
      </w:pPr>
      <w:r>
        <w:rPr>
          <w:rFonts w:ascii="Times New Roman" w:cs="Times New Roman" w:eastAsia="Times New Roman" w:hAnsi="Times New Roman"/>
          <w:sz w:val="24"/>
          <w:szCs w:val="24"/>
        </w:rPr>
        <w:t xml:space="preserve">One fact. One row in the grid. And it drives a document request, a deposition outline, a trial exhibit, and a section of your closing argument. Now multiply that by every fact in your case, across all four BITE categories. That is the architecture of your case.</w:t>
      </w:r>
    </w:p>
    <w:p>
      <w:pPr>
        <w:spacing w:after="0" w:line="480"/>
      </w:pPr>
    </w:p>
    <w:p>
      <w:pPr>
        <w:spacing w:after="0" w:before="240" w:line="480"/>
      </w:pPr>
      <w:r>
        <w:rPr>
          <w:rFonts w:ascii="Times New Roman" w:cs="Times New Roman" w:eastAsia="Times New Roman" w:hAnsi="Times New Roman"/>
          <w:b/>
          <w:bCs/>
          <w:i/>
          <w:iCs/>
          <w:sz w:val="24"/>
          <w:szCs w:val="24"/>
        </w:rPr>
        <w:t xml:space="preserve">The Grid at Every Phase</w:t>
      </w:r>
    </w:p>
    <w:p>
      <w:pPr>
        <w:spacing w:after="0" w:line="480"/>
      </w:pPr>
    </w:p>
    <w:p>
      <w:pPr>
        <w:spacing w:after="0" w:line="480"/>
        <w:ind w:firstLine="720"/>
      </w:pPr>
      <w:r>
        <w:rPr>
          <w:rFonts w:ascii="Times New Roman" w:cs="Times New Roman" w:eastAsia="Times New Roman" w:hAnsi="Times New Roman"/>
          <w:b/>
          <w:bCs/>
          <w:sz w:val="24"/>
          <w:szCs w:val="24"/>
        </w:rPr>
        <w:t xml:space="preserve">Complaint.</w:t>
      </w:r>
      <w:r>
        <w:rPr>
          <w:rFonts w:ascii="Times New Roman" w:cs="Times New Roman" w:eastAsia="Times New Roman" w:hAnsi="Times New Roman"/>
          <w:sz w:val="24"/>
          <w:szCs w:val="24"/>
        </w:rPr>
        <w:t xml:space="preserve"> The BITE proof grid shapes your complaint by ensuring that your factual allegations are organized around the four categories of control rather than presented as a chronological narrative. A chronological complaint tells a story. A BITE-organized complaint proves a system. Each row in the grid becomes a paragraph in the complaint, and each paragraph is drafted as a statement the defendant must admit or deny—effectively converting your complaint into Requests for Admissions, Part 1.</w:t>
      </w:r>
    </w:p>
    <w:p>
      <w:pPr>
        <w:spacing w:after="0" w:line="480"/>
      </w:pPr>
    </w:p>
    <w:p>
      <w:pPr>
        <w:spacing w:after="0" w:line="480"/>
        <w:ind w:firstLine="720"/>
      </w:pPr>
      <w:r>
        <w:rPr>
          <w:rFonts w:ascii="Times New Roman" w:cs="Times New Roman" w:eastAsia="Times New Roman" w:hAnsi="Times New Roman"/>
          <w:b/>
          <w:bCs/>
          <w:sz w:val="24"/>
          <w:szCs w:val="24"/>
        </w:rPr>
        <w:t xml:space="preserve">Discovery.</w:t>
      </w:r>
      <w:r>
        <w:rPr>
          <w:rFonts w:ascii="Times New Roman" w:cs="Times New Roman" w:eastAsia="Times New Roman" w:hAnsi="Times New Roman"/>
          <w:sz w:val="24"/>
          <w:szCs w:val="24"/>
        </w:rPr>
        <w:t xml:space="preserve"> Every row in the grid generates discovery. The "source of proof" column is your discovery plan. Each source becomes a document request, an interrogatory, or a deposition topic. Because the grid is organized by BITE category, your discovery is comprehensive by design—you will not miss a category of evidence because you have a structure that requires you to populate all four.</w:t>
      </w:r>
    </w:p>
    <w:p>
      <w:pPr>
        <w:spacing w:after="0" w:line="480"/>
      </w:pPr>
    </w:p>
    <w:p>
      <w:pPr>
        <w:spacing w:after="0" w:line="480"/>
        <w:ind w:firstLine="720"/>
      </w:pPr>
      <w:r>
        <w:rPr>
          <w:rFonts w:ascii="Times New Roman" w:cs="Times New Roman" w:eastAsia="Times New Roman" w:hAnsi="Times New Roman"/>
          <w:b/>
          <w:bCs/>
          <w:sz w:val="24"/>
          <w:szCs w:val="24"/>
        </w:rPr>
        <w:t xml:space="preserve">Depositions.</w:t>
      </w:r>
      <w:r>
        <w:rPr>
          <w:rFonts w:ascii="Times New Roman" w:cs="Times New Roman" w:eastAsia="Times New Roman" w:hAnsi="Times New Roman"/>
          <w:sz w:val="24"/>
          <w:szCs w:val="24"/>
        </w:rPr>
        <w:t xml:space="preserve"> The grid is your deposition outline. When you depose a former staff member, you walk through the BITE categories: "Let's talk about communication policies. Let's talk about the level system. Let's talk about group sessions. Let's talk about what happened when a child cried." Each block maps directly to the grid. Each answer fills in a grid entry or creates a new one.</w:t>
      </w:r>
    </w:p>
    <w:p>
      <w:pPr>
        <w:spacing w:after="0" w:line="480"/>
      </w:pPr>
    </w:p>
    <w:p>
      <w:pPr>
        <w:spacing w:after="0" w:line="480"/>
        <w:ind w:firstLine="720"/>
      </w:pPr>
      <w:r>
        <w:rPr>
          <w:rFonts w:ascii="Times New Roman" w:cs="Times New Roman" w:eastAsia="Times New Roman" w:hAnsi="Times New Roman"/>
          <w:b/>
          <w:bCs/>
          <w:sz w:val="24"/>
          <w:szCs w:val="24"/>
        </w:rPr>
        <w:t xml:space="preserve">Trial.</w:t>
      </w:r>
      <w:r>
        <w:rPr>
          <w:rFonts w:ascii="Times New Roman" w:cs="Times New Roman" w:eastAsia="Times New Roman" w:hAnsi="Times New Roman"/>
          <w:sz w:val="24"/>
          <w:szCs w:val="24"/>
        </w:rPr>
        <w:t xml:space="preserve"> At trial, the BITE grid becomes your visual. You put the four categories on a board. Under each one, you list the facts you proved. You connect each fact to the evidence the jury has seen. And you say: "This is not a collection of isolated incidents. This is a system. Behavior control. Information control. Thought control. Emotional control. Four categories. Four dimensions of a child's autonomy, all of them captured, all of them controlled, all of them exploited—by design." The grid gives the jury a framework for deliberation. Instead of trying to hold dozens of facts in their heads, they have four categories. The verdict writes itself.</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Defeating the Defense's Attack on the BITE Model</w:t>
      </w:r>
    </w:p>
    <w:p>
      <w:pPr>
        <w:spacing w:after="0" w:line="480"/>
      </w:pPr>
    </w:p>
    <w:p>
      <w:pPr>
        <w:spacing w:after="0" w:line="480"/>
      </w:pPr>
      <w:r>
        <w:rPr>
          <w:rFonts w:ascii="Times New Roman" w:cs="Times New Roman" w:eastAsia="Times New Roman" w:hAnsi="Times New Roman"/>
          <w:sz w:val="24"/>
          <w:szCs w:val="24"/>
        </w:rPr>
        <w:t xml:space="preserve">The defense will attack the BITE model in one of three ways. You need to be prepared for all three.</w:t>
      </w:r>
    </w:p>
    <w:p>
      <w:pPr>
        <w:spacing w:after="0" w:line="480"/>
      </w:pPr>
    </w:p>
    <w:p>
      <w:pPr>
        <w:spacing w:after="0" w:line="480"/>
        <w:ind w:firstLine="720"/>
      </w:pPr>
      <w:r>
        <w:rPr>
          <w:rFonts w:ascii="Times New Roman" w:cs="Times New Roman" w:eastAsia="Times New Roman" w:hAnsi="Times New Roman"/>
          <w:b/>
          <w:bCs/>
          <w:sz w:val="24"/>
          <w:szCs w:val="24"/>
        </w:rPr>
        <w:t xml:space="preserve">Attack one: "It's not scientifically valid."</w:t>
      </w:r>
      <w:r>
        <w:rPr>
          <w:rFonts w:ascii="Times New Roman" w:cs="Times New Roman" w:eastAsia="Times New Roman" w:hAnsi="Times New Roman"/>
          <w:sz w:val="24"/>
          <w:szCs w:val="24"/>
        </w:rPr>
        <w:t xml:space="preserve"> The defense will argue that the BITE model is a pop-psychology tool invented by an activist, not a peer-reviewed diagnostic instrument. Your response: the BITE model is a descriptive framework used by mental health professionals worldwide to identify patterns of coercive control. It is consistent with the work of Robert Lifton, Margaret Singer, Philip Zimbardo, and decades of research on undue influence. It has been the basis for expert testimony admitted in courts across multiple jurisdictions. And it does not need to be a diagnostic instrument to be useful—it is a framework for organizing evidence, not a clinical diagnosis. The evidence speaks for itself. The framework helps the jury see the pattern.</w:t>
      </w:r>
    </w:p>
    <w:p>
      <w:pPr>
        <w:spacing w:after="0" w:line="480"/>
      </w:pPr>
    </w:p>
    <w:p>
      <w:pPr>
        <w:spacing w:after="0" w:line="480"/>
        <w:ind w:firstLine="720"/>
      </w:pPr>
      <w:r>
        <w:rPr>
          <w:rFonts w:ascii="Times New Roman" w:cs="Times New Roman" w:eastAsia="Times New Roman" w:hAnsi="Times New Roman"/>
          <w:b/>
          <w:bCs/>
          <w:sz w:val="24"/>
          <w:szCs w:val="24"/>
        </w:rPr>
        <w:t xml:space="preserve">Attack two: "Every institution has rules. The model proves too much."</w:t>
      </w:r>
      <w:r>
        <w:rPr>
          <w:rFonts w:ascii="Times New Roman" w:cs="Times New Roman" w:eastAsia="Times New Roman" w:hAnsi="Times New Roman"/>
          <w:sz w:val="24"/>
          <w:szCs w:val="24"/>
        </w:rPr>
        <w:t xml:space="preserve"> The defense will argue that schools have dress codes, hospitals restrict movement, and the military controls every aspect of recruits' lives—so the BITE model would classify every institution as coercive. Your response: that is correct, and it is the point. The BITE model is a spectrum, not a binary. Every institution exercises some degree of control. The question is whether the control is so pervasive, across all four categories simultaneously, that it constitutes a coercive system. A school that has a dress code exercises mild behavior control. A TTI program that strip-searches children, censors their mail, punishes their emotions, and replaces their identity with the program's ideology exercises control across all four categories at extreme intensity. The model does not classify every institution as coercive. It measures the degree—and the degree in your case is off the scale.</w:t>
      </w:r>
    </w:p>
    <w:p>
      <w:pPr>
        <w:spacing w:after="0" w:line="480"/>
      </w:pPr>
    </w:p>
    <w:p>
      <w:pPr>
        <w:spacing w:after="0" w:line="480"/>
        <w:ind w:firstLine="720"/>
      </w:pPr>
      <w:r>
        <w:rPr>
          <w:rFonts w:ascii="Times New Roman" w:cs="Times New Roman" w:eastAsia="Times New Roman" w:hAnsi="Times New Roman"/>
          <w:b/>
          <w:bCs/>
          <w:sz w:val="24"/>
          <w:szCs w:val="24"/>
        </w:rPr>
        <w:t xml:space="preserve">Attack three: "The parents consented."</w:t>
      </w:r>
      <w:r>
        <w:rPr>
          <w:rFonts w:ascii="Times New Roman" w:cs="Times New Roman" w:eastAsia="Times New Roman" w:hAnsi="Times New Roman"/>
          <w:sz w:val="24"/>
          <w:szCs w:val="24"/>
        </w:rPr>
        <w:t xml:space="preserve"> This is the most dangerous attack, and I addressed it fully in the previous section. Consent obtained through fraud is not consent. Consent on behalf of a child who was extracted from her bed by strangers is not the child's consent. And consent to a program that was represented as therapeutic but operated as coercive is consent to the lie, not to the reality.</w:t>
      </w:r>
    </w:p>
    <w:p>
      <w:pPr>
        <w:spacing w:after="0" w:line="480"/>
      </w:pP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Chapter Summary</w:t>
      </w:r>
    </w:p>
    <w:p>
      <w:pPr>
        <w:spacing w:after="0" w:line="480"/>
      </w:pPr>
    </w:p>
    <w:p>
      <w:pPr>
        <w:spacing w:after="0" w:line="480"/>
      </w:pPr>
      <w:r>
        <w:rPr>
          <w:rFonts w:ascii="Times New Roman" w:cs="Times New Roman" w:eastAsia="Times New Roman" w:hAnsi="Times New Roman"/>
          <w:sz w:val="24"/>
          <w:szCs w:val="24"/>
        </w:rPr>
        <w:t xml:space="preserve">This chapter introduced the framework that organizes every chapter that follows. Here is what you should take with you:</w:t>
      </w:r>
    </w:p>
    <w:p>
      <w:pPr>
        <w:spacing w:after="0" w:line="480"/>
      </w:pPr>
    </w:p>
    <w:p>
      <w:pPr>
        <w:spacing w:after="0" w:line="480"/>
        <w:ind w:firstLine="720"/>
      </w:pPr>
      <w:r>
        <w:rPr>
          <w:rFonts w:ascii="Times New Roman" w:cs="Times New Roman" w:eastAsia="Times New Roman" w:hAnsi="Times New Roman"/>
          <w:sz w:val="24"/>
          <w:szCs w:val="24"/>
        </w:rPr>
        <w:t xml:space="preserve">Steven Hassan's BITE model (Behavior, Information, Thought, Emotional control) provides a structured, evidence-based framework for identifying and proving coercive control in TTI programs. It is descriptive, not polemical. It measures degree, not kind.</w:t>
      </w:r>
    </w:p>
    <w:p>
      <w:pPr>
        <w:spacing w:after="0" w:line="480"/>
      </w:pPr>
    </w:p>
    <w:p>
      <w:pPr>
        <w:spacing w:after="0" w:line="480"/>
        <w:ind w:firstLine="720"/>
      </w:pPr>
      <w:r>
        <w:rPr>
          <w:rFonts w:ascii="Times New Roman" w:cs="Times New Roman" w:eastAsia="Times New Roman" w:hAnsi="Times New Roman"/>
          <w:b/>
          <w:bCs/>
          <w:sz w:val="24"/>
          <w:szCs w:val="24"/>
        </w:rPr>
        <w:t xml:space="preserve">Behavior control</w:t>
      </w:r>
      <w:r>
        <w:rPr>
          <w:rFonts w:ascii="Times New Roman" w:cs="Times New Roman" w:eastAsia="Times New Roman" w:hAnsi="Times New Roman"/>
          <w:sz w:val="24"/>
          <w:szCs w:val="24"/>
        </w:rPr>
        <w:t xml:space="preserve"> targets physical autonomy: movement restrictions, restraints, isolation, level systems, chemical restraints, forced transport. Proved through restraint logs, incident reports, medication records, floor plans, transport contracts.</w:t>
      </w:r>
    </w:p>
    <w:p>
      <w:pPr>
        <w:spacing w:after="0" w:line="480"/>
      </w:pPr>
    </w:p>
    <w:p>
      <w:pPr>
        <w:spacing w:after="0" w:line="480"/>
        <w:ind w:firstLine="720"/>
      </w:pPr>
      <w:r>
        <w:rPr>
          <w:rFonts w:ascii="Times New Roman" w:cs="Times New Roman" w:eastAsia="Times New Roman" w:hAnsi="Times New Roman"/>
          <w:b/>
          <w:bCs/>
          <w:sz w:val="24"/>
          <w:szCs w:val="24"/>
        </w:rPr>
        <w:t xml:space="preserve">Information control</w:t>
      </w:r>
      <w:r>
        <w:rPr>
          <w:rFonts w:ascii="Times New Roman" w:cs="Times New Roman" w:eastAsia="Times New Roman" w:hAnsi="Times New Roman"/>
          <w:sz w:val="24"/>
          <w:szCs w:val="24"/>
        </w:rPr>
        <w:t xml:space="preserve"> targets knowledge: censored communications, monitored calls, curated reports, falsified records, marketing fraud. Proved through communication policies, censored letters, marketing-vs-reality comparisons, NDA documents. This category is your discovery goldmine.</w:t>
      </w:r>
    </w:p>
    <w:p>
      <w:pPr>
        <w:spacing w:after="0" w:line="480"/>
      </w:pPr>
    </w:p>
    <w:p>
      <w:pPr>
        <w:spacing w:after="0" w:line="480"/>
        <w:ind w:firstLine="720"/>
      </w:pPr>
      <w:r>
        <w:rPr>
          <w:rFonts w:ascii="Times New Roman" w:cs="Times New Roman" w:eastAsia="Times New Roman" w:hAnsi="Times New Roman"/>
          <w:b/>
          <w:bCs/>
          <w:sz w:val="24"/>
          <w:szCs w:val="24"/>
        </w:rPr>
        <w:t xml:space="preserve">Thought control</w:t>
      </w:r>
      <w:r>
        <w:rPr>
          <w:rFonts w:ascii="Times New Roman" w:cs="Times New Roman" w:eastAsia="Times New Roman" w:hAnsi="Times New Roman"/>
          <w:sz w:val="24"/>
          <w:szCs w:val="24"/>
        </w:rPr>
        <w:t xml:space="preserve"> targets perception: reframing resistance as pathology, loaded language, forced confession, ideology adoption. Proved through training manuals, progress notes, group session records, program philosophy documents.</w:t>
      </w:r>
    </w:p>
    <w:p>
      <w:pPr>
        <w:spacing w:after="0" w:line="480"/>
      </w:pPr>
    </w:p>
    <w:p>
      <w:pPr>
        <w:spacing w:after="0" w:line="480"/>
        <w:ind w:firstLine="720"/>
      </w:pPr>
      <w:r>
        <w:rPr>
          <w:rFonts w:ascii="Times New Roman" w:cs="Times New Roman" w:eastAsia="Times New Roman" w:hAnsi="Times New Roman"/>
          <w:b/>
          <w:bCs/>
          <w:sz w:val="24"/>
          <w:szCs w:val="24"/>
        </w:rPr>
        <w:t xml:space="preserve">Emotional control</w:t>
      </w:r>
      <w:r>
        <w:rPr>
          <w:rFonts w:ascii="Times New Roman" w:cs="Times New Roman" w:eastAsia="Times New Roman" w:hAnsi="Times New Roman"/>
          <w:sz w:val="24"/>
          <w:szCs w:val="24"/>
        </w:rPr>
        <w:t xml:space="preserve"> targets feelings: punishment of unapproved emotions, weaponization of attachment needs, shame and fear as compliance tools. Proved through program rules, confrontation session records, coerced testimonials, comparison of in-program correspondence with post-program accounts.</w:t>
      </w:r>
    </w:p>
    <w:p>
      <w:pPr>
        <w:spacing w:after="0" w:line="480"/>
      </w:pPr>
    </w:p>
    <w:p>
      <w:pPr>
        <w:spacing w:after="0" w:line="480"/>
        <w:ind w:firstLine="720"/>
      </w:pPr>
      <w:r>
        <w:rPr>
          <w:rFonts w:ascii="Times New Roman" w:cs="Times New Roman" w:eastAsia="Times New Roman" w:hAnsi="Times New Roman"/>
          <w:sz w:val="24"/>
          <w:szCs w:val="24"/>
        </w:rPr>
        <w:t xml:space="preserve">Never call the program a "cult." Use "high-control program" or "coercive system." The language must be descriptive, clinical, and evidence-based.</w:t>
      </w:r>
    </w:p>
    <w:p>
      <w:pPr>
        <w:spacing w:after="0" w:line="480"/>
      </w:pPr>
    </w:p>
    <w:p>
      <w:pPr>
        <w:spacing w:after="0" w:line="480"/>
        <w:ind w:firstLine="720"/>
      </w:pPr>
      <w:r>
        <w:rPr>
          <w:rFonts w:ascii="Times New Roman" w:cs="Times New Roman" w:eastAsia="Times New Roman" w:hAnsi="Times New Roman"/>
          <w:sz w:val="24"/>
          <w:szCs w:val="24"/>
        </w:rPr>
        <w:t xml:space="preserve">Consent obtained through BITE-model control mechanisms is not meaningful consent. Parental consent obtained through marketing fraud is vitiated. A child extracted from her bed by strangers did not consent to anything.</w:t>
      </w:r>
    </w:p>
    <w:p>
      <w:pPr>
        <w:spacing w:after="0" w:line="480"/>
      </w:pPr>
    </w:p>
    <w:p>
      <w:pPr>
        <w:spacing w:after="0" w:line="480"/>
        <w:ind w:firstLine="720"/>
      </w:pPr>
      <w:r>
        <w:rPr>
          <w:rFonts w:ascii="Times New Roman" w:cs="Times New Roman" w:eastAsia="Times New Roman" w:hAnsi="Times New Roman"/>
          <w:sz w:val="24"/>
          <w:szCs w:val="24"/>
        </w:rPr>
        <w:t xml:space="preserve">The BITE proof grid—fact, source of proof, legal claim, damages implication—is your master document. Build it at intake, grow it through discovery, and use it at trial as the four-column visual that gives the jury a framework for deliberation.</w:t>
      </w:r>
    </w:p>
    <w:p>
      <w:pPr>
        <w:spacing w:after="0" w:line="480"/>
      </w:pPr>
    </w:p>
    <w:p>
      <w:pPr>
        <w:spacing w:after="0" w:line="480"/>
        <w:ind w:firstLine="720"/>
      </w:pPr>
      <w:r>
        <w:rPr>
          <w:rFonts w:ascii="Times New Roman" w:cs="Times New Roman" w:eastAsia="Times New Roman" w:hAnsi="Times New Roman"/>
          <w:sz w:val="24"/>
          <w:szCs w:val="24"/>
        </w:rPr>
        <w:t xml:space="preserve">The grid drives every phase of litigation: it structures your complaint as implicit Requests for Admissions, generates systematic discovery, organizes depositions by BITE category, and transforms your closing argument from a narrative into a system proof.</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Times New Roman" w:cs="Times New Roman" w:eastAsia="Times New Roman" w:hAnsi="Times New Roman"/>
        <w:sz w:val="20"/>
        <w:szCs w:val="20"/>
      </w:rPr>
      <w:t xml:space="preserve"/>
    </w: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center"/>
    </w:pPr>
    <w:r>
      <w:rPr>
        <w:rFonts w:ascii="Times New Roman" w:cs="Times New Roman" w:eastAsia="Times New Roman" w:hAnsi="Times New Roman"/>
        <w:i/>
        <w:iCs/>
        <w:color w:val="888888"/>
        <w:sz w:val="18"/>
        <w:szCs w:val="18"/>
      </w:rPr>
      <w:t xml:space="preserve">BREAKING THE SYSTEM — The BITE Model as Proof Architecture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2026-05-08T04:54:14.077Z</dcterms:created>
  <dcterms:modified xsi:type="dcterms:W3CDTF">2026-05-08T04:54:14.078Z</dcterms:modified>
</cp:coreProperties>
</file>

<file path=docProps/custom.xml><?xml version="1.0" encoding="utf-8"?>
<Properties xmlns="http://schemas.openxmlformats.org/officeDocument/2006/custom-properties" xmlns:vt="http://schemas.openxmlformats.org/officeDocument/2006/docPropsVTypes"/>
</file>