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21</w:t>
      </w:r>
    </w:p>
    <w:p>
      <w:pPr>
        <w:spacing w:after="0" w:line="480"/>
      </w:pPr>
    </w:p>
    <w:p>
      <w:pPr>
        <w:spacing w:after="0" w:line="480"/>
        <w:jc w:val="center"/>
      </w:pPr>
      <w:r>
        <w:rPr>
          <w:rFonts w:ascii="Times New Roman" w:cs="Times New Roman" w:eastAsia="Times New Roman" w:hAnsi="Times New Roman"/>
          <w:sz w:val="24"/>
          <w:szCs w:val="24"/>
        </w:rPr>
        <w:t xml:space="preserve">Settlement, Mediation, and Resolution</w:t>
      </w:r>
    </w:p>
    <w:p>
      <w:pPr>
        <w:spacing w:after="0" w:line="480"/>
        <w:jc w:val="center"/>
      </w:pPr>
      <w:r>
        <w:rPr>
          <w:rFonts w:ascii="Times New Roman" w:cs="Times New Roman" w:eastAsia="Times New Roman" w:hAnsi="Times New Roman"/>
          <w:i/>
          <w:iCs/>
          <w:sz w:val="24"/>
          <w:szCs w:val="24"/>
        </w:rPr>
        <w:t xml:space="preserve">Ending the Case Without Losing the Client</w:t>
      </w:r>
    </w:p>
    <w:p>
      <w:pPr>
        <w:spacing w:after="0" w:line="480"/>
      </w:pPr>
    </w:p>
    <w:p>
      <w:pPr>
        <w:spacing w:after="0" w:line="480"/>
      </w:pPr>
      <w:r>
        <w:rPr>
          <w:rFonts w:ascii="Times New Roman" w:cs="Times New Roman" w:eastAsia="Times New Roman" w:hAnsi="Times New Roman"/>
          <w:sz w:val="24"/>
          <w:szCs w:val="24"/>
        </w:rPr>
        <w:t xml:space="preserve">Most TTI cases settle. This is not a failure.</w:t>
      </w:r>
    </w:p>
    <w:p>
      <w:pPr>
        <w:spacing w:after="0" w:line="480"/>
        <w:ind w:firstLine="720"/>
      </w:pPr>
      <w:r>
        <w:rPr>
          <w:rFonts w:ascii="Times New Roman" w:cs="Times New Roman" w:eastAsia="Times New Roman" w:hAnsi="Times New Roman"/>
          <w:sz w:val="24"/>
          <w:szCs w:val="24"/>
        </w:rPr>
        <w:t xml:space="preserve">Somewhere between the filing of the complaint and the first day of trial, the economics of the case shift. The two-track pleading strategy described in Chapter 11 has done its work: the negligence-based counts have triggered the program's liability insurance, creating a duty to defend and a pot of money controlled by the carrier. The intentional tort counts have created personal exposure for individual defendants—the program director, the corporate officer, the owner—and the specter of punitive damages that no insurance policy will cover. The Villain Reveal voir dire from Chapter 16 has been prepared, and the defense knows that the jury is going to hear a story about systematic coercion, not isolated negligence. The discovery has produced the documents. The experts have been retained. The case is ready for trial. And precisely because it is ready for trial, the other side wants to talk.</w:t>
      </w:r>
    </w:p>
    <w:p>
      <w:pPr>
        <w:spacing w:after="0" w:line="480"/>
        <w:ind w:firstLine="720"/>
      </w:pPr>
      <w:r>
        <w:rPr>
          <w:rFonts w:ascii="Times New Roman" w:cs="Times New Roman" w:eastAsia="Times New Roman" w:hAnsi="Times New Roman"/>
          <w:sz w:val="24"/>
          <w:szCs w:val="24"/>
        </w:rPr>
        <w:t xml:space="preserve">This is the settlement window—the moment when the case's full value is visible to both sides and the risk of trial creates pressure to resolve. The TTI lawyer who understands this window, who knows how to use the three-way settlement dynamic created by the two-track insurance architecture, and who can navigate the emotional complexity of helping a trauma survivor make the most important financial decision of their life will resolve more cases at higher values than the lawyer who treats settlement as an afterthought.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Three-Way Settlement Dynamic</w:t>
      </w:r>
    </w:p>
    <w:p>
      <w:pPr>
        <w:spacing w:after="0" w:line="480"/>
      </w:pPr>
    </w:p>
    <w:p>
      <w:pPr>
        <w:spacing w:after="0" w:line="480"/>
      </w:pPr>
      <w:r>
        <w:rPr>
          <w:rFonts w:ascii="Times New Roman" w:cs="Times New Roman" w:eastAsia="Times New Roman" w:hAnsi="Times New Roman"/>
          <w:sz w:val="24"/>
          <w:szCs w:val="24"/>
        </w:rPr>
        <w:t xml:space="preserve">The two-track pleading strategy creates a settlement dynamic that does not exist in ordinary negligence litigation.</w:t>
      </w:r>
    </w:p>
    <w:p>
      <w:pPr>
        <w:spacing w:after="0" w:line="480"/>
        <w:ind w:firstLine="720"/>
      </w:pPr>
      <w:r>
        <w:rPr>
          <w:rFonts w:ascii="Times New Roman" w:cs="Times New Roman" w:eastAsia="Times New Roman" w:hAnsi="Times New Roman"/>
          <w:sz w:val="24"/>
          <w:szCs w:val="24"/>
        </w:rPr>
        <w:t xml:space="preserve">In a typical personal injury case, there are two parties at the settlement table: the plaintiff and the defendant's insurance carrier. The negotiation is bilateral. The carrier evaluates the risk and makes an offer calibrated to the cost of defense plus the probability-weighted exposure at trial.</w:t>
      </w:r>
    </w:p>
    <w:p>
      <w:pPr>
        <w:spacing w:after="0" w:line="480"/>
        <w:ind w:firstLine="720"/>
      </w:pPr>
      <w:r>
        <w:rPr>
          <w:rFonts w:ascii="Times New Roman" w:cs="Times New Roman" w:eastAsia="Times New Roman" w:hAnsi="Times New Roman"/>
          <w:sz w:val="24"/>
          <w:szCs w:val="24"/>
        </w:rPr>
        <w:t xml:space="preserve">In a TTI case structured with dual-track pleading, there are three parties at the table—even if only two of them are visible. The insurance carrier is evaluating its exposure on the negligence-based counts. The program itself is evaluating its exposure on the intentional tort counts, which fall outside the policy's coverage and create personal liability for officers and directors. And the individual defendants—the program director, the administrator, the corporate officer who built or maintained the coercive system—are evaluating their personal exposure to punitive damages and uninsured intentional tort liability.</w:t>
      </w:r>
    </w:p>
    <w:p>
      <w:pPr>
        <w:spacing w:after="0" w:line="480"/>
        <w:ind w:firstLine="720"/>
      </w:pPr>
      <w:r>
        <w:rPr>
          <w:rFonts w:ascii="Times New Roman" w:cs="Times New Roman" w:eastAsia="Times New Roman" w:hAnsi="Times New Roman"/>
          <w:sz w:val="24"/>
          <w:szCs w:val="24"/>
        </w:rPr>
        <w:t xml:space="preserve">These three parties have different interests, different risk tolerances, and different motivations. The carrier wants to close the file at the lowest possible cost. The program wants to avoid a public trial that will expose its system of coercive control to media coverage and regulatory scrutiny. The individual defendants want to avoid personal financial ruin. When you understand these divergent motivations, you can negotiate with each pressure point independently—even though you are technically negotiating with one side.</w:t>
      </w:r>
    </w:p>
    <w:p>
      <w:pPr>
        <w:spacing w:after="0" w:before="240" w:line="480"/>
      </w:pPr>
      <w:r>
        <w:rPr>
          <w:rFonts w:ascii="Times New Roman" w:cs="Times New Roman" w:eastAsia="Times New Roman" w:hAnsi="Times New Roman"/>
          <w:b/>
          <w:bCs/>
          <w:i/>
          <w:iCs/>
          <w:sz w:val="24"/>
          <w:szCs w:val="24"/>
        </w:rPr>
        <w:t xml:space="preserve">Negotiating with the Carrier</w:t>
      </w:r>
    </w:p>
    <w:p>
      <w:pPr>
        <w:spacing w:after="0" w:line="480"/>
        <w:ind w:firstLine="720"/>
      </w:pPr>
      <w:r>
        <w:rPr>
          <w:rFonts w:ascii="Times New Roman" w:cs="Times New Roman" w:eastAsia="Times New Roman" w:hAnsi="Times New Roman"/>
          <w:sz w:val="24"/>
          <w:szCs w:val="24"/>
        </w:rPr>
        <w:t xml:space="preserve">The insurance carrier's calculus is straightforward: what is the probable verdict multiplied by the probability of a plaintiff's verdict, minus the cost of defense? This is the carrier's reserve—the amount set aside to resolve the claim. Your job is to make that reserve as large as possible.</w:t>
      </w:r>
    </w:p>
    <w:p>
      <w:pPr>
        <w:spacing w:after="0" w:line="480"/>
        <w:ind w:firstLine="720"/>
      </w:pPr>
      <w:r>
        <w:rPr>
          <w:rFonts w:ascii="Times New Roman" w:cs="Times New Roman" w:eastAsia="Times New Roman" w:hAnsi="Times New Roman"/>
          <w:sz w:val="24"/>
          <w:szCs w:val="24"/>
        </w:rPr>
        <w:t xml:space="preserve">The reserve increases when the carrier perceives the risk of a large verdict as high. Everything you have done in case preparation—the BITE-mapped discovery from Chapter 12, the villain narrative from Chapter 16, the expert coordination from Chapter 13, the Villain Reveal voir dire preparation—contributes to this perception. The demand package you send to the carrier should be a trial preview: a document that shows the carrier exactly what the jury is going to see, organized as a narrative rather than a legal brief. Include the mask-versus-reality contrast exhibits, the pattern evidence, the BITE model mapping, the harms-and-losses list from Chapter 17, and the per-diem damages calculation. The carrier's adjuster should finish reading the demand package and think: </w:t>
      </w:r>
      <w:r>
        <w:rPr>
          <w:rFonts w:ascii="Times New Roman" w:cs="Times New Roman" w:eastAsia="Times New Roman" w:hAnsi="Times New Roman"/>
          <w:i/>
          <w:iCs/>
          <w:sz w:val="24"/>
          <w:szCs w:val="24"/>
        </w:rPr>
        <w:t xml:space="preserve">This case is going to be a disaster at trial.</w:t>
      </w:r>
      <w:r>
        <w:rPr>
          <w:rFonts w:ascii="Times New Roman" w:cs="Times New Roman" w:eastAsia="Times New Roman" w:hAnsi="Times New Roman"/>
          <w:sz w:val="24"/>
          <w:szCs w:val="24"/>
        </w:rPr>
        <w:t xml:space="preserve"> That thought is worth more than any legal argument you can make.</w:t>
      </w:r>
    </w:p>
    <w:p>
      <w:pPr>
        <w:spacing w:after="0" w:line="480"/>
        <w:ind w:firstLine="720"/>
      </w:pPr>
      <w:r>
        <w:rPr>
          <w:rFonts w:ascii="Times New Roman" w:cs="Times New Roman" w:eastAsia="Times New Roman" w:hAnsi="Times New Roman"/>
          <w:sz w:val="24"/>
          <w:szCs w:val="24"/>
        </w:rPr>
        <w:t xml:space="preserve">The carrier is also evaluating whether the case will exceed the policy limits. If the probable verdict significantly exceeds the available coverage, the carrier faces a bad-faith exposure: if it fails to settle within policy limits when it had the opportunity, the carrier may be liable for the excess verdict. A demand calibrated just above the policy limits forces the carrier to confront the bad-faith risk and creates an incentive to tender the full limits rather than risk an excess judgment.</w:t>
      </w:r>
    </w:p>
    <w:p>
      <w:pPr>
        <w:spacing w:after="0" w:before="240" w:line="480"/>
      </w:pPr>
      <w:r>
        <w:rPr>
          <w:rFonts w:ascii="Times New Roman" w:cs="Times New Roman" w:eastAsia="Times New Roman" w:hAnsi="Times New Roman"/>
          <w:b/>
          <w:bCs/>
          <w:i/>
          <w:iCs/>
          <w:sz w:val="24"/>
          <w:szCs w:val="24"/>
        </w:rPr>
        <w:t xml:space="preserve">Negotiating with the Program</w:t>
      </w:r>
    </w:p>
    <w:p>
      <w:pPr>
        <w:spacing w:after="0" w:line="480"/>
        <w:ind w:firstLine="720"/>
      </w:pPr>
      <w:r>
        <w:rPr>
          <w:rFonts w:ascii="Times New Roman" w:cs="Times New Roman" w:eastAsia="Times New Roman" w:hAnsi="Times New Roman"/>
          <w:sz w:val="24"/>
          <w:szCs w:val="24"/>
        </w:rPr>
        <w:t xml:space="preserve">The program's motivation extends beyond money. The program fears publicity. A public trial means media coverage, and media coverage means regulatory scrutiny, parent attention, and enrollment collapse. The program's reputational exposure may be worth more to them than the financial exposure. This creates leverage that does not exist in the carrier negotiation.</w:t>
      </w:r>
    </w:p>
    <w:p>
      <w:pPr>
        <w:spacing w:after="0" w:line="480"/>
        <w:ind w:firstLine="720"/>
      </w:pPr>
      <w:r>
        <w:rPr>
          <w:rFonts w:ascii="Times New Roman" w:cs="Times New Roman" w:eastAsia="Times New Roman" w:hAnsi="Times New Roman"/>
          <w:sz w:val="24"/>
          <w:szCs w:val="24"/>
        </w:rPr>
        <w:t xml:space="preserve">You negotiate with the program by making the reputational risk visible. If the program has not yet experienced significant media attention, a well-timed conversation with program counsel about the trial exhibits—the marketing materials promising safety and therapeutic care, the internal documents showing restraint logs and isolation records, the contrast exhibits—can shift the settlement calculus. Program counsel will report to ownership or the board: </w:t>
      </w:r>
      <w:r>
        <w:rPr>
          <w:rFonts w:ascii="Times New Roman" w:cs="Times New Roman" w:eastAsia="Times New Roman" w:hAnsi="Times New Roman"/>
          <w:i/>
          <w:iCs/>
          <w:sz w:val="24"/>
          <w:szCs w:val="24"/>
        </w:rPr>
        <w:t xml:space="preserve">The plaintiff has the documents. They have the story. If this goes to trial, the public will see everything.</w:t>
      </w:r>
      <w:r>
        <w:rPr>
          <w:rFonts w:ascii="Times New Roman" w:cs="Times New Roman" w:eastAsia="Times New Roman" w:hAnsi="Times New Roman"/>
          <w:sz w:val="24"/>
          <w:szCs w:val="24"/>
        </w:rPr>
        <w:t xml:space="preserve"> For TTI programs that depend on parent trust and enrollment revenue, this exposure is existential. They will pay more to prevent it than they will pay to compensate after the fact.</w:t>
      </w:r>
    </w:p>
    <w:p>
      <w:pPr>
        <w:spacing w:after="0" w:line="480"/>
        <w:ind w:firstLine="720"/>
      </w:pPr>
      <w:r>
        <w:rPr>
          <w:rFonts w:ascii="Times New Roman" w:cs="Times New Roman" w:eastAsia="Times New Roman" w:hAnsi="Times New Roman"/>
          <w:sz w:val="24"/>
          <w:szCs w:val="24"/>
        </w:rPr>
        <w:t xml:space="preserve">The program also carries exposure on the intentional tort counts that the insurance carrier will not cover. Negligent hiring and supervision claims are typically insured. Fraud, intentional infliction of emotional distress, and human trafficking claims are typically not. If you have structured your complaint correctly per Chapter 11, the program faces a gap between what the carrier will pay and what the total exposure is. That gap is your leverage for the portion of the settlement that exceeds the carrier's contribution.</w:t>
      </w:r>
    </w:p>
    <w:p>
      <w:pPr>
        <w:spacing w:after="0" w:before="240" w:line="480"/>
      </w:pPr>
      <w:r>
        <w:rPr>
          <w:rFonts w:ascii="Times New Roman" w:cs="Times New Roman" w:eastAsia="Times New Roman" w:hAnsi="Times New Roman"/>
          <w:b/>
          <w:bCs/>
          <w:i/>
          <w:iCs/>
          <w:sz w:val="24"/>
          <w:szCs w:val="24"/>
        </w:rPr>
        <w:t xml:space="preserve">Negotiating with Individual Defendants</w:t>
      </w:r>
    </w:p>
    <w:p>
      <w:pPr>
        <w:spacing w:after="0" w:line="480"/>
        <w:ind w:firstLine="720"/>
      </w:pPr>
      <w:r>
        <w:rPr>
          <w:rFonts w:ascii="Times New Roman" w:cs="Times New Roman" w:eastAsia="Times New Roman" w:hAnsi="Times New Roman"/>
          <w:sz w:val="24"/>
          <w:szCs w:val="24"/>
        </w:rPr>
        <w:t xml:space="preserve">The individual defendants—the program director, the owner, the corporate officer—face the most personal risk. Punitive damages are not insurable. Intentional tort liability is not insurable. If the case goes to trial and the jury assigns personal liability and punitive damages, the individual defendant's personal assets are at risk. This is a profoundly motivating fear.</w:t>
      </w:r>
    </w:p>
    <w:p>
      <w:pPr>
        <w:spacing w:after="0" w:line="480"/>
        <w:ind w:firstLine="720"/>
      </w:pPr>
      <w:r>
        <w:rPr>
          <w:rFonts w:ascii="Times New Roman" w:cs="Times New Roman" w:eastAsia="Times New Roman" w:hAnsi="Times New Roman"/>
          <w:sz w:val="24"/>
          <w:szCs w:val="24"/>
        </w:rPr>
        <w:t xml:space="preserve">In many TTI cases, the individual defendant has the ability to influence the program's settlement position. A program director who faces personal exposure will advocate internally for settlement. A corporate officer who faces punitive damages will push ownership to resolve the case. By naming individual defendants and pursuing causes of action that create personal exposure, you have placed an advocate for settlement inside the defendant's own organization. This is the third leg of the three-way dynamic, and it is often the leg that breaks the logjam.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Mediation in TTI Cases</w:t>
      </w:r>
    </w:p>
    <w:p>
      <w:pPr>
        <w:spacing w:after="0" w:line="480"/>
      </w:pPr>
    </w:p>
    <w:p>
      <w:pPr>
        <w:spacing w:after="0" w:line="480"/>
      </w:pPr>
      <w:r>
        <w:rPr>
          <w:rFonts w:ascii="Times New Roman" w:cs="Times New Roman" w:eastAsia="Times New Roman" w:hAnsi="Times New Roman"/>
          <w:sz w:val="24"/>
          <w:szCs w:val="24"/>
        </w:rPr>
        <w:t xml:space="preserve">Mediation is the most common resolution mechanism in TTI cases, and it is also the most emotionally complex.</w:t>
      </w:r>
    </w:p>
    <w:p>
      <w:pPr>
        <w:spacing w:after="0" w:line="480"/>
        <w:ind w:firstLine="720"/>
      </w:pPr>
      <w:r>
        <w:rPr>
          <w:rFonts w:ascii="Times New Roman" w:cs="Times New Roman" w:eastAsia="Times New Roman" w:hAnsi="Times New Roman"/>
          <w:sz w:val="24"/>
          <w:szCs w:val="24"/>
        </w:rPr>
        <w:t xml:space="preserve">The survivor is being asked to sit in a building—sometimes in the same room—with representatives of the program that harmed them and negotiate the value of what was done to them. This is not a routine commercial mediation. It is a psychological event, and it must be prepared as one.</w:t>
      </w:r>
    </w:p>
    <w:p>
      <w:pPr>
        <w:spacing w:after="0" w:before="240" w:line="480"/>
      </w:pPr>
      <w:r>
        <w:rPr>
          <w:rFonts w:ascii="Times New Roman" w:cs="Times New Roman" w:eastAsia="Times New Roman" w:hAnsi="Times New Roman"/>
          <w:b/>
          <w:bCs/>
          <w:i/>
          <w:iCs/>
          <w:sz w:val="24"/>
          <w:szCs w:val="24"/>
        </w:rPr>
        <w:t xml:space="preserve">Choosing the Mediator</w:t>
      </w:r>
    </w:p>
    <w:p>
      <w:pPr>
        <w:spacing w:after="0" w:line="480"/>
        <w:ind w:firstLine="720"/>
      </w:pPr>
      <w:r>
        <w:rPr>
          <w:rFonts w:ascii="Times New Roman" w:cs="Times New Roman" w:eastAsia="Times New Roman" w:hAnsi="Times New Roman"/>
          <w:sz w:val="24"/>
          <w:szCs w:val="24"/>
        </w:rPr>
        <w:t xml:space="preserve">The mediator matters more in TTI cases than in any other type of civil litigation. A mediator who does not understand coercive control, who does not understand the BITE model, who does not understand complex trauma—this mediator will default to the standard personal injury framework and will pressure the plaintiff to accept a number that reflects a negligence case rather than a systemic abuse case. Choose a mediator who has experience with institutional abuse, sexual abuse, or human trafficking cases. If no such mediator is available in your jurisdiction, educate the mediator before the mediation: send them the demand package, the BITE model framework from Chapter 5, and a summary of the coercive-system theory. The mediator must understand the case to evaluate it, and they must understand the survivor's psychology to manage the process.</w:t>
      </w:r>
    </w:p>
    <w:p>
      <w:pPr>
        <w:spacing w:after="0" w:before="240" w:line="480"/>
      </w:pPr>
      <w:r>
        <w:rPr>
          <w:rFonts w:ascii="Times New Roman" w:cs="Times New Roman" w:eastAsia="Times New Roman" w:hAnsi="Times New Roman"/>
          <w:b/>
          <w:bCs/>
          <w:i/>
          <w:iCs/>
          <w:sz w:val="24"/>
          <w:szCs w:val="24"/>
        </w:rPr>
        <w:t xml:space="preserve">Preparing the Survivor</w:t>
      </w:r>
    </w:p>
    <w:p>
      <w:pPr>
        <w:spacing w:after="0" w:line="480"/>
        <w:ind w:firstLine="720"/>
      </w:pPr>
      <w:r>
        <w:rPr>
          <w:rFonts w:ascii="Times New Roman" w:cs="Times New Roman" w:eastAsia="Times New Roman" w:hAnsi="Times New Roman"/>
          <w:sz w:val="24"/>
          <w:szCs w:val="24"/>
        </w:rPr>
        <w:t xml:space="preserve">The survivor's emotional preparation for mediation is as important as the legal preparation. Five principles should guide the preparation conversation.</w:t>
      </w:r>
    </w:p>
    <w:p>
      <w:pPr>
        <w:spacing w:after="0" w:line="480"/>
        <w:ind w:firstLine="720"/>
      </w:pPr>
      <w:r>
        <w:rPr>
          <w:rFonts w:ascii="Times New Roman" w:cs="Times New Roman" w:eastAsia="Times New Roman" w:hAnsi="Times New Roman"/>
          <w:i/>
          <w:iCs/>
          <w:sz w:val="24"/>
          <w:szCs w:val="24"/>
        </w:rPr>
        <w:t xml:space="preserve">Explain the process in advance.</w:t>
      </w:r>
      <w:r>
        <w:rPr>
          <w:rFonts w:ascii="Times New Roman" w:cs="Times New Roman" w:eastAsia="Times New Roman" w:hAnsi="Times New Roman"/>
          <w:sz w:val="24"/>
          <w:szCs w:val="24"/>
        </w:rPr>
        <w:t xml:space="preserve"> The survivor should know exactly what will happen: the opening session, the caucuses, the back-and-forth of offers and counteroffers, the waiting, the emotional intensity, and the likely duration. Surprises are destabilizing for trauma survivors. Eliminate as many as possible.</w:t>
      </w:r>
    </w:p>
    <w:p>
      <w:pPr>
        <w:spacing w:after="0" w:line="480"/>
        <w:ind w:firstLine="720"/>
      </w:pPr>
      <w:r>
        <w:rPr>
          <w:rFonts w:ascii="Times New Roman" w:cs="Times New Roman" w:eastAsia="Times New Roman" w:hAnsi="Times New Roman"/>
          <w:i/>
          <w:iCs/>
          <w:sz w:val="24"/>
          <w:szCs w:val="24"/>
        </w:rPr>
        <w:t xml:space="preserve">Normalize the emotional response.</w:t>
      </w:r>
      <w:r>
        <w:rPr>
          <w:rFonts w:ascii="Times New Roman" w:cs="Times New Roman" w:eastAsia="Times New Roman" w:hAnsi="Times New Roman"/>
          <w:sz w:val="24"/>
          <w:szCs w:val="24"/>
        </w:rPr>
        <w:t xml:space="preserve"> Tell the survivor that mediation is likely to be emotionally difficult and that their emotional response is not a weakness—it is a natural consequence of confronting the program in a structured setting. If they need breaks, they will take breaks. If they need to step outside, they will step outside. The mediation will accommodate their needs, not the other way around.</w:t>
      </w:r>
    </w:p>
    <w:p>
      <w:pPr>
        <w:spacing w:after="0" w:line="480"/>
        <w:ind w:firstLine="720"/>
      </w:pPr>
      <w:r>
        <w:rPr>
          <w:rFonts w:ascii="Times New Roman" w:cs="Times New Roman" w:eastAsia="Times New Roman" w:hAnsi="Times New Roman"/>
          <w:i/>
          <w:iCs/>
          <w:sz w:val="24"/>
          <w:szCs w:val="24"/>
        </w:rPr>
        <w:t xml:space="preserve">Discuss the settlement range.</w:t>
      </w:r>
      <w:r>
        <w:rPr>
          <w:rFonts w:ascii="Times New Roman" w:cs="Times New Roman" w:eastAsia="Times New Roman" w:hAnsi="Times New Roman"/>
          <w:sz w:val="24"/>
          <w:szCs w:val="24"/>
        </w:rPr>
        <w:t xml:space="preserve"> Before mediation, the survivor should understand the realistic range of outcomes: the best case, the likely case, and the minimum acceptable number. They should understand what each number means in practical terms—how many years of therapy it covers, what economic security it provides, how it compares to the trial risk. The survivor should never learn the settlement range for the first time at the mediation table.</w:t>
      </w:r>
    </w:p>
    <w:p>
      <w:pPr>
        <w:spacing w:after="0" w:line="480"/>
        <w:ind w:firstLine="720"/>
      </w:pPr>
      <w:r>
        <w:rPr>
          <w:rFonts w:ascii="Times New Roman" w:cs="Times New Roman" w:eastAsia="Times New Roman" w:hAnsi="Times New Roman"/>
          <w:i/>
          <w:iCs/>
          <w:sz w:val="24"/>
          <w:szCs w:val="24"/>
        </w:rPr>
        <w:t xml:space="preserve">Address the meaning of settlement.</w:t>
      </w:r>
      <w:r>
        <w:rPr>
          <w:rFonts w:ascii="Times New Roman" w:cs="Times New Roman" w:eastAsia="Times New Roman" w:hAnsi="Times New Roman"/>
          <w:sz w:val="24"/>
          <w:szCs w:val="24"/>
        </w:rPr>
        <w:t xml:space="preserve"> For many survivors, settlement feels like selling out—accepting money in exchange for silence, letting the program off the hook, giving up the opportunity for public accountability. This feeling is real and must be respected. Explain what settlement does and does not mean. It means the program paid for what it did. It means the survivor received compensation that helps them rebuild. It does not mean the program was right. It does not mean the abuse did not happen. And depending on the terms you negotiate, it may not mean silence at all.</w:t>
      </w:r>
    </w:p>
    <w:p>
      <w:pPr>
        <w:spacing w:after="0" w:line="480"/>
        <w:ind w:firstLine="720"/>
      </w:pPr>
      <w:r>
        <w:rPr>
          <w:rFonts w:ascii="Times New Roman" w:cs="Times New Roman" w:eastAsia="Times New Roman" w:hAnsi="Times New Roman"/>
          <w:i/>
          <w:iCs/>
          <w:sz w:val="24"/>
          <w:szCs w:val="24"/>
        </w:rPr>
        <w:t xml:space="preserve">Prepare for the low first offer.</w:t>
      </w:r>
      <w:r>
        <w:rPr>
          <w:rFonts w:ascii="Times New Roman" w:cs="Times New Roman" w:eastAsia="Times New Roman" w:hAnsi="Times New Roman"/>
          <w:sz w:val="24"/>
          <w:szCs w:val="24"/>
        </w:rPr>
        <w:t xml:space="preserve"> The defendant's first offer at mediation will be insulting. It is designed to be. The defense starts low to create room for the negotiation and to test the plaintiff's resolve. The survivor must know this in advance. If the first offer comes as a shock, the survivor may interpret it as the program's valuation of their suffering—and the emotional damage of that interpretation can derail the mediation. Tell the survivor: The first number will be low. It is not their assessment of your case. It is a negotiating tactic. We will work through it.</w:t>
      </w:r>
    </w:p>
    <w:p>
      <w:pPr>
        <w:spacing w:after="0" w:before="240" w:line="480"/>
      </w:pPr>
      <w:r>
        <w:rPr>
          <w:rFonts w:ascii="Times New Roman" w:cs="Times New Roman" w:eastAsia="Times New Roman" w:hAnsi="Times New Roman"/>
          <w:b/>
          <w:bCs/>
          <w:i/>
          <w:iCs/>
          <w:sz w:val="24"/>
          <w:szCs w:val="24"/>
        </w:rPr>
        <w:t xml:space="preserve">The Mediation Day</w:t>
      </w:r>
    </w:p>
    <w:p>
      <w:pPr>
        <w:spacing w:after="0" w:line="480"/>
        <w:ind w:firstLine="720"/>
      </w:pPr>
      <w:r>
        <w:rPr>
          <w:rFonts w:ascii="Times New Roman" w:cs="Times New Roman" w:eastAsia="Times New Roman" w:hAnsi="Times New Roman"/>
          <w:sz w:val="24"/>
          <w:szCs w:val="24"/>
        </w:rPr>
        <w:t xml:space="preserve">Bring the survivor's support person if the mediator allows it—a therapist, a family member, a trusted friend. Not to speak. To be present. The presence of a support person reduces the survivor's isolation and provides a grounding anchor when the process becomes emotionally intense.</w:t>
      </w:r>
    </w:p>
    <w:p>
      <w:pPr>
        <w:spacing w:after="0" w:line="480"/>
        <w:ind w:firstLine="720"/>
      </w:pPr>
      <w:r>
        <w:rPr>
          <w:rFonts w:ascii="Times New Roman" w:cs="Times New Roman" w:eastAsia="Times New Roman" w:hAnsi="Times New Roman"/>
          <w:sz w:val="24"/>
          <w:szCs w:val="24"/>
        </w:rPr>
        <w:t xml:space="preserve">In the opening session, if the format allows a plaintiff's presentation, deliver a condensed version of your trial narrative: the mask, the reality, the harm, the person before, the person after. You are not arguing. You are showing the defense and the mediator what the jury will see. The presentation should be fifteen to twenty minutes. It should include the strongest exhibits. And it should end with a clear statement of the demand and the basis for it.</w:t>
      </w:r>
    </w:p>
    <w:p>
      <w:pPr>
        <w:spacing w:after="0" w:line="480"/>
        <w:ind w:firstLine="720"/>
      </w:pPr>
      <w:r>
        <w:rPr>
          <w:rFonts w:ascii="Times New Roman" w:cs="Times New Roman" w:eastAsia="Times New Roman" w:hAnsi="Times New Roman"/>
          <w:sz w:val="24"/>
          <w:szCs w:val="24"/>
        </w:rPr>
        <w:t xml:space="preserve">During caucuses, the mediator will shuttle between rooms. The survivor will spend long periods waiting. This waiting is one of the hardest parts of mediation for trauma survivors because it activates the helplessness the program cultivated—the feeling of being in someone else's control, of not knowing what is happening, of having no agency. Counteract this by keeping the survivor informed: explain what is happening in the other room, what the mediator is likely doing, what the next step will be. Information is power. The program controlled information. You do not.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Non-Monetary Settlement Terms: Beyond the Check</w:t>
      </w:r>
    </w:p>
    <w:p>
      <w:pPr>
        <w:spacing w:after="0" w:line="480"/>
      </w:pPr>
    </w:p>
    <w:p>
      <w:pPr>
        <w:spacing w:after="0" w:line="480"/>
      </w:pPr>
      <w:r>
        <w:rPr>
          <w:rFonts w:ascii="Times New Roman" w:cs="Times New Roman" w:eastAsia="Times New Roman" w:hAnsi="Times New Roman"/>
          <w:sz w:val="24"/>
          <w:szCs w:val="24"/>
        </w:rPr>
        <w:t xml:space="preserve">In TTI cases, the settlement's value is not measured solely in dollars. Non-monetary terms can transform a financial transaction into something the survivor experiences as meaningful resolution.</w:t>
      </w:r>
    </w:p>
    <w:p>
      <w:pPr>
        <w:spacing w:after="0" w:before="240" w:line="480"/>
      </w:pPr>
      <w:r>
        <w:rPr>
          <w:rFonts w:ascii="Times New Roman" w:cs="Times New Roman" w:eastAsia="Times New Roman" w:hAnsi="Times New Roman"/>
          <w:b/>
          <w:bCs/>
          <w:i/>
          <w:iCs/>
          <w:sz w:val="24"/>
          <w:szCs w:val="24"/>
        </w:rPr>
        <w:t xml:space="preserve">Apology</w:t>
      </w:r>
    </w:p>
    <w:p>
      <w:pPr>
        <w:spacing w:after="0" w:line="480"/>
        <w:ind w:firstLine="720"/>
      </w:pPr>
      <w:r>
        <w:rPr>
          <w:rFonts w:ascii="Times New Roman" w:cs="Times New Roman" w:eastAsia="Times New Roman" w:hAnsi="Times New Roman"/>
          <w:sz w:val="24"/>
          <w:szCs w:val="24"/>
        </w:rPr>
        <w:t xml:space="preserve">A genuine apology from the program is among the most powerful non-monetary terms available—and among the hardest to obtain. Program counsel will resist an apology because it can be used as evidence in other litigation. Negotiate the form carefully: a personal letter from the program's leadership acknowledging that the plaintiff was harmed, expressing regret, and committing to change. The letter need not admit liability in legal terms. It must acknowledge the reality of the plaintiff's experience. For many survivors, an apology that says </w:t>
      </w:r>
      <w:r>
        <w:rPr>
          <w:rFonts w:ascii="Times New Roman" w:cs="Times New Roman" w:eastAsia="Times New Roman" w:hAnsi="Times New Roman"/>
          <w:i/>
          <w:iCs/>
          <w:sz w:val="24"/>
          <w:szCs w:val="24"/>
        </w:rPr>
        <w:t xml:space="preserve">What happened to you was real, and we are sorry</w:t>
      </w:r>
      <w:r>
        <w:rPr>
          <w:rFonts w:ascii="Times New Roman" w:cs="Times New Roman" w:eastAsia="Times New Roman" w:hAnsi="Times New Roman"/>
          <w:sz w:val="24"/>
          <w:szCs w:val="24"/>
        </w:rPr>
        <w:t xml:space="preserve"> is worth more than additional dollars.</w:t>
      </w:r>
    </w:p>
    <w:p>
      <w:pPr>
        <w:spacing w:after="0" w:before="240" w:line="480"/>
      </w:pPr>
      <w:r>
        <w:rPr>
          <w:rFonts w:ascii="Times New Roman" w:cs="Times New Roman" w:eastAsia="Times New Roman" w:hAnsi="Times New Roman"/>
          <w:b/>
          <w:bCs/>
          <w:i/>
          <w:iCs/>
          <w:sz w:val="24"/>
          <w:szCs w:val="24"/>
        </w:rPr>
        <w:t xml:space="preserve">Policy Changes</w:t>
      </w:r>
    </w:p>
    <w:p>
      <w:pPr>
        <w:spacing w:after="0" w:line="480"/>
        <w:ind w:firstLine="720"/>
      </w:pPr>
      <w:r>
        <w:rPr>
          <w:rFonts w:ascii="Times New Roman" w:cs="Times New Roman" w:eastAsia="Times New Roman" w:hAnsi="Times New Roman"/>
          <w:sz w:val="24"/>
          <w:szCs w:val="24"/>
        </w:rPr>
        <w:t xml:space="preserve">Require the program to implement specific policy changes designed to prevent the type of harm the plaintiff experienced. In TTI cases, these changes should be concrete: elimination of specific restraint protocols, prohibition of isolation as a disciplinary tool, implementation of independent oversight, creation of a parent communication hotline with guaranteed access, installation of cameras in common areas, and mandatory training on trauma-informed care. These changes must be specific, measurable, and subject to verification by an independent monitor. A vague commitment to 'do better' is meaningless. A commitment to implement specific changes verified by an independent monitor has teeth.</w:t>
      </w:r>
    </w:p>
    <w:p>
      <w:pPr>
        <w:spacing w:after="0" w:before="240" w:line="480"/>
      </w:pPr>
      <w:r>
        <w:rPr>
          <w:rFonts w:ascii="Times New Roman" w:cs="Times New Roman" w:eastAsia="Times New Roman" w:hAnsi="Times New Roman"/>
          <w:b/>
          <w:bCs/>
          <w:i/>
          <w:iCs/>
          <w:sz w:val="24"/>
          <w:szCs w:val="24"/>
        </w:rPr>
        <w:t xml:space="preserve">Confidentiality—The Negotiation Within the Negotiation</w:t>
      </w:r>
    </w:p>
    <w:p>
      <w:pPr>
        <w:spacing w:after="0" w:line="480"/>
        <w:ind w:firstLine="720"/>
      </w:pPr>
      <w:r>
        <w:rPr>
          <w:rFonts w:ascii="Times New Roman" w:cs="Times New Roman" w:eastAsia="Times New Roman" w:hAnsi="Times New Roman"/>
          <w:sz w:val="24"/>
          <w:szCs w:val="24"/>
        </w:rPr>
        <w:t xml:space="preserve">The program will demand confidentiality. They always do. The question is what you are willing to give and what you are not.</w:t>
      </w:r>
    </w:p>
    <w:p>
      <w:pPr>
        <w:spacing w:after="0" w:line="480"/>
        <w:ind w:firstLine="720"/>
      </w:pPr>
      <w:r>
        <w:rPr>
          <w:rFonts w:ascii="Times New Roman" w:cs="Times New Roman" w:eastAsia="Times New Roman" w:hAnsi="Times New Roman"/>
          <w:sz w:val="24"/>
          <w:szCs w:val="24"/>
        </w:rPr>
        <w:t xml:space="preserve">At one end of the spectrum: full confidentiality, including the existence of the settlement and all terms. This is what the program wants. It prevents the survivor from speaking publicly, prevents other survivors from knowing that the program has paid for its conduct, and protects the program's marketing narrative. At the other end: no confidentiality at all. The survivor is free to speak about their experience, the settlement, and the program's conduct. This is rare, but in some cases the survivor's primary motivation is public accountability.</w:t>
      </w:r>
    </w:p>
    <w:p>
      <w:pPr>
        <w:spacing w:after="0" w:line="480"/>
        <w:ind w:firstLine="720"/>
      </w:pPr>
      <w:r>
        <w:rPr>
          <w:rFonts w:ascii="Times New Roman" w:cs="Times New Roman" w:eastAsia="Times New Roman" w:hAnsi="Times New Roman"/>
          <w:sz w:val="24"/>
          <w:szCs w:val="24"/>
        </w:rPr>
        <w:t xml:space="preserve">In practice, most settlements land in the middle. Common middle-ground provisions include confidentiality as to the dollar amount but not the existence of the settlement; the right to speak about the experience and the fact that it was resolved but not the specific terms; and a carve-out that allows the survivor to cooperate with regulators, law enforcement, and other survivors' attorneys. This last provision is critical. A confidentiality clause that prevents the survivor from assisting other survivors or cooperating with regulatory investigations serves no legitimate purpose—it protects the program's ability to harm future children. Fight for the carve-out. It costs the program nothing in financial terms, and it costs them everything in accountability terms.</w:t>
      </w:r>
    </w:p>
    <w:p>
      <w:pPr>
        <w:spacing w:after="0" w:before="240" w:line="480"/>
      </w:pPr>
      <w:r>
        <w:rPr>
          <w:rFonts w:ascii="Times New Roman" w:cs="Times New Roman" w:eastAsia="Times New Roman" w:hAnsi="Times New Roman"/>
          <w:b/>
          <w:bCs/>
          <w:i/>
          <w:iCs/>
          <w:sz w:val="24"/>
          <w:szCs w:val="24"/>
        </w:rPr>
        <w:t xml:space="preserve">Additional Non-Monetary Terms</w:t>
      </w:r>
    </w:p>
    <w:p>
      <w:pPr>
        <w:spacing w:after="0" w:line="480"/>
        <w:ind w:firstLine="720"/>
      </w:pPr>
      <w:r>
        <w:rPr>
          <w:rFonts w:ascii="Times New Roman" w:cs="Times New Roman" w:eastAsia="Times New Roman" w:hAnsi="Times New Roman"/>
          <w:i/>
          <w:iCs/>
          <w:sz w:val="24"/>
          <w:szCs w:val="24"/>
        </w:rPr>
        <w:t xml:space="preserve">Cooperation with regulatory authorities.</w:t>
      </w:r>
      <w:r>
        <w:rPr>
          <w:rFonts w:ascii="Times New Roman" w:cs="Times New Roman" w:eastAsia="Times New Roman" w:hAnsi="Times New Roman"/>
          <w:sz w:val="24"/>
          <w:szCs w:val="24"/>
        </w:rPr>
        <w:t xml:space="preserve"> In cases involving licensed programs, negotiate a term requiring the program to self-report the settlement to the relevant licensing authority. The regulatory body may already be aware of complaints, but a settlement report adds weight and can trigger regulatory action.</w:t>
      </w:r>
    </w:p>
    <w:p>
      <w:pPr>
        <w:spacing w:after="0" w:line="480"/>
        <w:ind w:firstLine="720"/>
      </w:pPr>
      <w:r>
        <w:rPr>
          <w:rFonts w:ascii="Times New Roman" w:cs="Times New Roman" w:eastAsia="Times New Roman" w:hAnsi="Times New Roman"/>
          <w:i/>
          <w:iCs/>
          <w:sz w:val="24"/>
          <w:szCs w:val="24"/>
        </w:rPr>
        <w:t xml:space="preserve">Funding for ongoing care.</w:t>
      </w:r>
      <w:r>
        <w:rPr>
          <w:rFonts w:ascii="Times New Roman" w:cs="Times New Roman" w:eastAsia="Times New Roman" w:hAnsi="Times New Roman"/>
          <w:sz w:val="24"/>
          <w:szCs w:val="24"/>
        </w:rPr>
        <w:t xml:space="preserve"> Rather than a lump-sum payment, consider negotiating a structured settlement that provides a guaranteed income stream for the survivor's lifetime, funding ongoing therapy and psychiatric care. A structured settlement provides financial security that a lump sum may not—particularly for survivors whose TTI experience left them with impaired executive functioning or vulnerability to exploitation. The structure protects the settlement funds from the survivor's own vulnerabilities while ensuring that the money serves its intended purpose: rebuilding a life.</w:t>
      </w:r>
    </w:p>
    <w:p>
      <w:pPr>
        <w:spacing w:after="0" w:line="480"/>
        <w:ind w:firstLine="720"/>
      </w:pPr>
      <w:r>
        <w:rPr>
          <w:rFonts w:ascii="Times New Roman" w:cs="Times New Roman" w:eastAsia="Times New Roman" w:hAnsi="Times New Roman"/>
          <w:i/>
          <w:iCs/>
          <w:sz w:val="24"/>
          <w:szCs w:val="24"/>
        </w:rPr>
        <w:t xml:space="preserve">Educational or vocational support.</w:t>
      </w:r>
      <w:r>
        <w:rPr>
          <w:rFonts w:ascii="Times New Roman" w:cs="Times New Roman" w:eastAsia="Times New Roman" w:hAnsi="Times New Roman"/>
          <w:sz w:val="24"/>
          <w:szCs w:val="24"/>
        </w:rPr>
        <w:t xml:space="preserve"> Many TTI survivors had their education disrupted by program enrollment. A dedicated allocation for educational completion or vocational training addresses one of the most concrete forms of developmental theft described in Chapter 17.</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When to Reject Settlement and Go to Trial</w:t>
      </w:r>
    </w:p>
    <w:p>
      <w:pPr>
        <w:spacing w:after="0" w:line="480"/>
      </w:pPr>
    </w:p>
    <w:p>
      <w:pPr>
        <w:spacing w:after="0" w:line="480"/>
      </w:pPr>
      <w:r>
        <w:rPr>
          <w:rFonts w:ascii="Times New Roman" w:cs="Times New Roman" w:eastAsia="Times New Roman" w:hAnsi="Times New Roman"/>
          <w:sz w:val="24"/>
          <w:szCs w:val="24"/>
        </w:rPr>
        <w:t xml:space="preserve">Not every case should settle.</w:t>
      </w:r>
    </w:p>
    <w:p>
      <w:pPr>
        <w:spacing w:after="0" w:line="480"/>
        <w:ind w:firstLine="720"/>
      </w:pPr>
      <w:r>
        <w:rPr>
          <w:rFonts w:ascii="Times New Roman" w:cs="Times New Roman" w:eastAsia="Times New Roman" w:hAnsi="Times New Roman"/>
          <w:sz w:val="24"/>
          <w:szCs w:val="24"/>
        </w:rPr>
        <w:t xml:space="preserve">Some cases should go to trial because the program's offer is inadequate and the trial value justifies the risk. Some cases should go to trial because the survivor needs the public accountability that only a verdict can provide. And some cases should go to trial because the institutional conduct is so egregious that a public reckoning serves the broader community—the other survivors who are watching, the regulators who need evidence to act, and the public that deserves to know what happened behind the program's marketing mask.</w:t>
      </w:r>
    </w:p>
    <w:p>
      <w:pPr>
        <w:spacing w:after="0" w:line="480"/>
        <w:ind w:firstLine="720"/>
      </w:pPr>
      <w:r>
        <w:rPr>
          <w:rFonts w:ascii="Times New Roman" w:cs="Times New Roman" w:eastAsia="Times New Roman" w:hAnsi="Times New Roman"/>
          <w:sz w:val="24"/>
          <w:szCs w:val="24"/>
        </w:rPr>
        <w:t xml:space="preserve">The decision to reject settlement and go to trial is the most consequential decision in the case, and it is ultimately the client's decision, not the lawyer's. Your job is to give the client the information they need to make the decision wisely: the realistic trial value, the probability of a favorable verdict, the time and emotional cost of trial, the risk of an adverse outcome, and the non-monetary value of a public verdict versus a private settlement. Present these factors with complete transparency. Do not advocate for trial because you want the verdict. Do not advocate for settlement because you want the fee. Advocate for the client's best interest, which only the client can define.</w:t>
      </w:r>
    </w:p>
    <w:p>
      <w:pPr>
        <w:spacing w:after="0" w:line="480"/>
        <w:ind w:firstLine="720"/>
      </w:pPr>
      <w:r>
        <w:rPr>
          <w:rFonts w:ascii="Times New Roman" w:cs="Times New Roman" w:eastAsia="Times New Roman" w:hAnsi="Times New Roman"/>
          <w:sz w:val="24"/>
          <w:szCs w:val="24"/>
        </w:rPr>
        <w:t xml:space="preserve">There are cases where trial is clearly the right choice. When the program has offered a fraction of the case's value and has shown no willingness to negotiate meaningfully. When the evidence of systematic abuse is overwhelming and a public trial would create pressure for regulatory reform. When the survivor has expressed a clear, informed preference for trial and understands the risks. When the case involves conduct so egregious—deaths, sexual abuse of children, deliberate concealment spanning years—that the public interest in accountability outweighs the efficiency of settlement. And when the program's insistence on full confidentiality would effectively silence the survivor and protect the program's ability to continue enrolling children into the same system.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After Resolution: The Transition from Client to Survivor</w:t>
      </w:r>
    </w:p>
    <w:p>
      <w:pPr>
        <w:spacing w:after="0" w:line="480"/>
      </w:pPr>
    </w:p>
    <w:p>
      <w:pPr>
        <w:spacing w:after="0" w:line="480"/>
      </w:pPr>
      <w:r>
        <w:rPr>
          <w:rFonts w:ascii="Times New Roman" w:cs="Times New Roman" w:eastAsia="Times New Roman" w:hAnsi="Times New Roman"/>
          <w:sz w:val="24"/>
          <w:szCs w:val="24"/>
        </w:rPr>
        <w:t xml:space="preserve">The case ends. The check arrives. The file closes. And the survivor is alone again.</w:t>
      </w:r>
    </w:p>
    <w:p>
      <w:pPr>
        <w:spacing w:after="0" w:line="480"/>
        <w:ind w:firstLine="720"/>
      </w:pPr>
      <w:r>
        <w:rPr>
          <w:rFonts w:ascii="Times New Roman" w:cs="Times New Roman" w:eastAsia="Times New Roman" w:hAnsi="Times New Roman"/>
          <w:sz w:val="24"/>
          <w:szCs w:val="24"/>
        </w:rPr>
        <w:t xml:space="preserve">This moment is underestimated by lawyers and devastating for many survivors. During the litigation, the survivor had a team: a lawyer who believed them, a staff who worked for them, a process that validated their experience. The case gave them purpose, structure, and a sense that something was being done about what happened. When the case resolves, all of that disappears. The lawyer moves to the next case. The staff moves to the next file. And the survivor is left with money—which is important—and the absence of the support structure that sustained them through the most difficult process of their life.</w:t>
      </w:r>
    </w:p>
    <w:p>
      <w:pPr>
        <w:spacing w:after="0" w:line="480"/>
        <w:ind w:firstLine="720"/>
      </w:pPr>
      <w:r>
        <w:rPr>
          <w:rFonts w:ascii="Times New Roman" w:cs="Times New Roman" w:eastAsia="Times New Roman" w:hAnsi="Times New Roman"/>
          <w:sz w:val="24"/>
          <w:szCs w:val="24"/>
        </w:rPr>
        <w:t xml:space="preserve">The responsible TTI lawyer prepares the client for this transition before it arrives. Discuss what the post-resolution period will look like. Ensure that the survivor has a therapeutic relationship that will continue after the case ends—if therapy was being funded through the litigation, ensure that the settlement provides for its continuation. Provide referrals to financial advisors who have experience with settlement recipients, particularly those with trauma histories and impaired executive functioning. And be honest about the fact that the lawyer-client relationship will change: you will always care about what happened, but you will not be as available, and the intensity of the shared experience will naturally diminish.</w:t>
      </w:r>
    </w:p>
    <w:p>
      <w:pPr>
        <w:spacing w:after="0" w:line="480"/>
        <w:ind w:firstLine="720"/>
      </w:pPr>
      <w:r>
        <w:rPr>
          <w:rFonts w:ascii="Times New Roman" w:cs="Times New Roman" w:eastAsia="Times New Roman" w:hAnsi="Times New Roman"/>
          <w:sz w:val="24"/>
          <w:szCs w:val="24"/>
        </w:rPr>
        <w:t xml:space="preserve">Some lawyers stay in touch with former TTI clients. A phone call on the anniversary of the verdict. A note when something reminds them of the case. These gestures are not legally required. They are humanly important. The survivor gave you something—their trust, their story, their most vulnerable moments. The least you can do is let them know that you remember.</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Practitioner's Toolkit</w:t>
      </w:r>
    </w:p>
    <w:p>
      <w:pPr>
        <w:spacing w:after="0" w:line="480"/>
      </w:pPr>
    </w:p>
    <w:p>
      <w:pPr>
        <w:spacing w:after="0" w:before="240" w:line="480"/>
      </w:pPr>
      <w:r>
        <w:rPr>
          <w:rFonts w:ascii="Times New Roman" w:cs="Times New Roman" w:eastAsia="Times New Roman" w:hAnsi="Times New Roman"/>
          <w:b/>
          <w:bCs/>
          <w:i/>
          <w:iCs/>
          <w:sz w:val="24"/>
          <w:szCs w:val="24"/>
        </w:rPr>
        <w:t xml:space="preserve">Three-Way Settlement Pressure Map</w:t>
      </w:r>
    </w:p>
    <w:p>
      <w:pPr>
        <w:spacing w:after="0" w:line="480"/>
      </w:pPr>
      <w:r>
        <w:rPr>
          <w:rFonts w:ascii="Times New Roman" w:cs="Times New Roman" w:eastAsia="Times New Roman" w:hAnsi="Times New Roman"/>
          <w:sz w:val="24"/>
          <w:szCs w:val="24"/>
        </w:rPr>
        <w:t xml:space="preserve">Use this map to identify the pressure points available in your case and calibrate your settlement strategy.</w:t>
      </w:r>
    </w:p>
    <w:p>
      <w:pPr>
        <w:spacing w:after="0" w:line="480"/>
      </w:pPr>
    </w:p>
    <w:p>
      <w:pPr>
        <w:spacing w:after="0" w:line="480"/>
      </w:pPr>
      <w:r>
        <w:rPr>
          <w:rFonts w:ascii="Times New Roman" w:cs="Times New Roman" w:eastAsia="Times New Roman" w:hAnsi="Times New Roman"/>
          <w:b/>
          <w:bCs/>
          <w:sz w:val="24"/>
          <w:szCs w:val="24"/>
        </w:rPr>
        <w:t xml:space="preserve">Insurance Carrier Pressure:</w:t>
      </w:r>
      <w:r>
        <w:rPr>
          <w:rFonts w:ascii="Times New Roman" w:cs="Times New Roman" w:eastAsia="Times New Roman" w:hAnsi="Times New Roman"/>
          <w:sz w:val="24"/>
          <w:szCs w:val="24"/>
        </w:rPr>
        <w:t xml:space="preserve"> Policy limits [$___]. Probable verdict exposure [$___]. Bad-faith risk if carrier fails to tender limits [yes/no]. Strength of negligence-based counts [strong/moderate/weak]. Duty to defend triggered [yes/no].</w:t>
      </w:r>
    </w:p>
    <w:p>
      <w:pPr>
        <w:spacing w:after="0" w:line="480"/>
      </w:pPr>
    </w:p>
    <w:p>
      <w:pPr>
        <w:spacing w:after="0" w:line="480"/>
      </w:pPr>
      <w:r>
        <w:rPr>
          <w:rFonts w:ascii="Times New Roman" w:cs="Times New Roman" w:eastAsia="Times New Roman" w:hAnsi="Times New Roman"/>
          <w:b/>
          <w:bCs/>
          <w:sz w:val="24"/>
          <w:szCs w:val="24"/>
        </w:rPr>
        <w:t xml:space="preserve">Program Pressure:</w:t>
      </w:r>
      <w:r>
        <w:rPr>
          <w:rFonts w:ascii="Times New Roman" w:cs="Times New Roman" w:eastAsia="Times New Roman" w:hAnsi="Times New Roman"/>
          <w:sz w:val="24"/>
          <w:szCs w:val="24"/>
        </w:rPr>
        <w:t xml:space="preserve"> Reputational exposure [high/medium/low]. Media attention [existing/likely/unlikely]. Regulatory scrutiny risk [high/medium/low]. Gap between insured and uninsured exposure [$___]. Intentional tort exposure [$___]. Enrollment impact risk [high/medium/low].</w:t>
      </w:r>
    </w:p>
    <w:p>
      <w:pPr>
        <w:spacing w:after="0" w:line="480"/>
      </w:pPr>
    </w:p>
    <w:p>
      <w:pPr>
        <w:spacing w:after="0" w:line="480"/>
      </w:pPr>
      <w:r>
        <w:rPr>
          <w:rFonts w:ascii="Times New Roman" w:cs="Times New Roman" w:eastAsia="Times New Roman" w:hAnsi="Times New Roman"/>
          <w:b/>
          <w:bCs/>
          <w:sz w:val="24"/>
          <w:szCs w:val="24"/>
        </w:rPr>
        <w:t xml:space="preserve">Individual Defendant Pressure:</w:t>
      </w:r>
      <w:r>
        <w:rPr>
          <w:rFonts w:ascii="Times New Roman" w:cs="Times New Roman" w:eastAsia="Times New Roman" w:hAnsi="Times New Roman"/>
          <w:sz w:val="24"/>
          <w:szCs w:val="24"/>
        </w:rPr>
        <w:t xml:space="preserve"> Named individual defendants [list names and titles]. Personal asset exposure [estimated]. Punitive damages exposure [estimated]. Likelihood individual will advocate for settlement [high/medium/low].</w:t>
      </w:r>
    </w:p>
    <w:p>
      <w:pPr>
        <w:spacing w:after="0" w:line="480"/>
      </w:pPr>
    </w:p>
    <w:p>
      <w:pPr>
        <w:spacing w:after="0" w:before="240" w:line="480"/>
      </w:pPr>
      <w:r>
        <w:rPr>
          <w:rFonts w:ascii="Times New Roman" w:cs="Times New Roman" w:eastAsia="Times New Roman" w:hAnsi="Times New Roman"/>
          <w:b/>
          <w:bCs/>
          <w:i/>
          <w:iCs/>
          <w:sz w:val="24"/>
          <w:szCs w:val="24"/>
        </w:rPr>
        <w:t xml:space="preserve">Demand Package Checklist</w:t>
      </w:r>
    </w:p>
    <w:p>
      <w:pPr>
        <w:spacing w:after="0" w:line="480"/>
      </w:pPr>
      <w:r>
        <w:rPr>
          <w:rFonts w:ascii="Times New Roman" w:cs="Times New Roman" w:eastAsia="Times New Roman" w:hAnsi="Times New Roman"/>
          <w:sz w:val="24"/>
          <w:szCs w:val="24"/>
        </w:rPr>
        <w:t xml:space="preserve">— Narrative summary (5–10 pages): The mask, the reality, the harm. Written as a trial preview, not a legal brief.</w:t>
      </w:r>
    </w:p>
    <w:p>
      <w:pPr>
        <w:spacing w:after="0" w:line="480"/>
      </w:pPr>
      <w:r>
        <w:rPr>
          <w:rFonts w:ascii="Times New Roman" w:cs="Times New Roman" w:eastAsia="Times New Roman" w:hAnsi="Times New Roman"/>
          <w:sz w:val="24"/>
          <w:szCs w:val="24"/>
        </w:rPr>
        <w:t xml:space="preserve">— Mask-versus-reality contrast exhibits: Marketing materials alongside internal documents, incident reports, and staff communications.</w:t>
      </w:r>
    </w:p>
    <w:p>
      <w:pPr>
        <w:spacing w:after="0" w:line="480"/>
      </w:pPr>
      <w:r>
        <w:rPr>
          <w:rFonts w:ascii="Times New Roman" w:cs="Times New Roman" w:eastAsia="Times New Roman" w:hAnsi="Times New Roman"/>
          <w:sz w:val="24"/>
          <w:szCs w:val="24"/>
        </w:rPr>
        <w:t xml:space="preserve">— Pattern evidence summary: Prior complaints, regulatory findings, other lawsuits, employee grievances, turnover data.</w:t>
      </w:r>
    </w:p>
    <w:p>
      <w:pPr>
        <w:spacing w:after="0" w:line="480"/>
      </w:pPr>
      <w:r>
        <w:rPr>
          <w:rFonts w:ascii="Times New Roman" w:cs="Times New Roman" w:eastAsia="Times New Roman" w:hAnsi="Times New Roman"/>
          <w:sz w:val="24"/>
          <w:szCs w:val="24"/>
        </w:rPr>
        <w:t xml:space="preserve">— BITE model mapping: One-page summary showing how the program's system maps to the four categories of coercive control.</w:t>
      </w:r>
    </w:p>
    <w:p>
      <w:pPr>
        <w:spacing w:after="0" w:line="480"/>
      </w:pPr>
      <w:r>
        <w:rPr>
          <w:rFonts w:ascii="Times New Roman" w:cs="Times New Roman" w:eastAsia="Times New Roman" w:hAnsi="Times New Roman"/>
          <w:sz w:val="24"/>
          <w:szCs w:val="24"/>
        </w:rPr>
        <w:t xml:space="preserve">— Harms-and-losses list: Exhaustive, specific, concrete. Use the taxonomy from Chapter 17.</w:t>
      </w:r>
    </w:p>
    <w:p>
      <w:pPr>
        <w:spacing w:after="0" w:line="480"/>
      </w:pPr>
      <w:r>
        <w:rPr>
          <w:rFonts w:ascii="Times New Roman" w:cs="Times New Roman" w:eastAsia="Times New Roman" w:hAnsi="Times New Roman"/>
          <w:sz w:val="24"/>
          <w:szCs w:val="24"/>
        </w:rPr>
        <w:t xml:space="preserve">— Economic damages summary: Past and future medical expenses, lost earnings, diminished earning capacity, life care plan summary.</w:t>
      </w:r>
    </w:p>
    <w:p>
      <w:pPr>
        <w:spacing w:after="0" w:line="480"/>
      </w:pPr>
      <w:r>
        <w:rPr>
          <w:rFonts w:ascii="Times New Roman" w:cs="Times New Roman" w:eastAsia="Times New Roman" w:hAnsi="Times New Roman"/>
          <w:sz w:val="24"/>
          <w:szCs w:val="24"/>
        </w:rPr>
        <w:t xml:space="preserve">— Per-diem damages calculation: The noneconomic damages math, presented the way it will be presented to the jury.</w:t>
      </w:r>
    </w:p>
    <w:p>
      <w:pPr>
        <w:spacing w:after="0" w:line="480"/>
      </w:pPr>
      <w:r>
        <w:rPr>
          <w:rFonts w:ascii="Times New Roman" w:cs="Times New Roman" w:eastAsia="Times New Roman" w:hAnsi="Times New Roman"/>
          <w:sz w:val="24"/>
          <w:szCs w:val="24"/>
        </w:rPr>
        <w:t xml:space="preserve">— Verdict research: Comparable verdicts and settlements in TTI and institutional abuse cases.</w:t>
      </w:r>
    </w:p>
    <w:p>
      <w:pPr>
        <w:spacing w:after="0" w:line="480"/>
      </w:pPr>
      <w:r>
        <w:rPr>
          <w:rFonts w:ascii="Times New Roman" w:cs="Times New Roman" w:eastAsia="Times New Roman" w:hAnsi="Times New Roman"/>
          <w:sz w:val="24"/>
          <w:szCs w:val="24"/>
        </w:rPr>
        <w:t xml:space="preserve">— Trial team resume: Brief biographies of lead counsel and key experts. Signal trial readiness.</w:t>
      </w:r>
    </w:p>
    <w:p>
      <w:pPr>
        <w:spacing w:after="0" w:line="480"/>
      </w:pPr>
    </w:p>
    <w:p>
      <w:pPr>
        <w:spacing w:after="0" w:before="240" w:line="480"/>
      </w:pPr>
      <w:r>
        <w:rPr>
          <w:rFonts w:ascii="Times New Roman" w:cs="Times New Roman" w:eastAsia="Times New Roman" w:hAnsi="Times New Roman"/>
          <w:b/>
          <w:bCs/>
          <w:i/>
          <w:iCs/>
          <w:sz w:val="24"/>
          <w:szCs w:val="24"/>
        </w:rPr>
        <w:t xml:space="preserve">Mediation Preparation Timeline</w:t>
      </w:r>
    </w:p>
    <w:p>
      <w:pPr>
        <w:spacing w:after="0" w:line="480"/>
      </w:pPr>
      <w:r>
        <w:rPr>
          <w:rFonts w:ascii="Times New Roman" w:cs="Times New Roman" w:eastAsia="Times New Roman" w:hAnsi="Times New Roman"/>
          <w:b/>
          <w:bCs/>
          <w:sz w:val="24"/>
          <w:szCs w:val="24"/>
        </w:rPr>
        <w:t xml:space="preserve">30 days before:</w:t>
      </w:r>
      <w:r>
        <w:rPr>
          <w:rFonts w:ascii="Times New Roman" w:cs="Times New Roman" w:eastAsia="Times New Roman" w:hAnsi="Times New Roman"/>
          <w:sz w:val="24"/>
          <w:szCs w:val="24"/>
        </w:rPr>
        <w:t xml:space="preserve"> Send demand package to mediator and defense counsel. Choose mediator with institutional abuse or human trafficking experience.</w:t>
      </w:r>
    </w:p>
    <w:p>
      <w:pPr>
        <w:spacing w:after="0" w:line="480"/>
      </w:pPr>
      <w:r>
        <w:rPr>
          <w:rFonts w:ascii="Times New Roman" w:cs="Times New Roman" w:eastAsia="Times New Roman" w:hAnsi="Times New Roman"/>
          <w:b/>
          <w:bCs/>
          <w:sz w:val="24"/>
          <w:szCs w:val="24"/>
        </w:rPr>
        <w:t xml:space="preserve">21 days before:</w:t>
      </w:r>
      <w:r>
        <w:rPr>
          <w:rFonts w:ascii="Times New Roman" w:cs="Times New Roman" w:eastAsia="Times New Roman" w:hAnsi="Times New Roman"/>
          <w:sz w:val="24"/>
          <w:szCs w:val="24"/>
        </w:rPr>
        <w:t xml:space="preserve"> Receive and analyze defense mediation statement. Identify defense's likely valuation and pressure points.</w:t>
      </w:r>
    </w:p>
    <w:p>
      <w:pPr>
        <w:spacing w:after="0" w:line="480"/>
      </w:pPr>
      <w:r>
        <w:rPr>
          <w:rFonts w:ascii="Times New Roman" w:cs="Times New Roman" w:eastAsia="Times New Roman" w:hAnsi="Times New Roman"/>
          <w:b/>
          <w:bCs/>
          <w:sz w:val="24"/>
          <w:szCs w:val="24"/>
        </w:rPr>
        <w:t xml:space="preserve">14 days before:</w:t>
      </w:r>
      <w:r>
        <w:rPr>
          <w:rFonts w:ascii="Times New Roman" w:cs="Times New Roman" w:eastAsia="Times New Roman" w:hAnsi="Times New Roman"/>
          <w:sz w:val="24"/>
          <w:szCs w:val="24"/>
        </w:rPr>
        <w:t xml:space="preserve"> First mediation preparation session with survivor. Explain the process. Discuss settlement range. Address emotional preparation. Identify support person.</w:t>
      </w:r>
    </w:p>
    <w:p>
      <w:pPr>
        <w:spacing w:after="0" w:line="480"/>
      </w:pPr>
      <w:r>
        <w:rPr>
          <w:rFonts w:ascii="Times New Roman" w:cs="Times New Roman" w:eastAsia="Times New Roman" w:hAnsi="Times New Roman"/>
          <w:b/>
          <w:bCs/>
          <w:sz w:val="24"/>
          <w:szCs w:val="24"/>
        </w:rPr>
        <w:t xml:space="preserve">7 days before:</w:t>
      </w:r>
      <w:r>
        <w:rPr>
          <w:rFonts w:ascii="Times New Roman" w:cs="Times New Roman" w:eastAsia="Times New Roman" w:hAnsi="Times New Roman"/>
          <w:sz w:val="24"/>
          <w:szCs w:val="24"/>
        </w:rPr>
        <w:t xml:space="preserve"> Second preparation session. Role-play the mediation experience: the waiting, the low first offer, the emotional triggers. Discuss the survivor's priorities—financial, non-monetary, and confidentiality preferences.</w:t>
      </w:r>
    </w:p>
    <w:p>
      <w:pPr>
        <w:spacing w:after="0" w:line="480"/>
      </w:pPr>
      <w:r>
        <w:rPr>
          <w:rFonts w:ascii="Times New Roman" w:cs="Times New Roman" w:eastAsia="Times New Roman" w:hAnsi="Times New Roman"/>
          <w:b/>
          <w:bCs/>
          <w:sz w:val="24"/>
          <w:szCs w:val="24"/>
        </w:rPr>
        <w:t xml:space="preserve">3 days before:</w:t>
      </w:r>
      <w:r>
        <w:rPr>
          <w:rFonts w:ascii="Times New Roman" w:cs="Times New Roman" w:eastAsia="Times New Roman" w:hAnsi="Times New Roman"/>
          <w:sz w:val="24"/>
          <w:szCs w:val="24"/>
        </w:rPr>
        <w:t xml:space="preserve"> Finalize opening presentation (15–20 minutes). Prepare exhibit binder. Confirm logistics: room setup, break schedule, food and water, private space for the survivor.</w:t>
      </w:r>
    </w:p>
    <w:p>
      <w:pPr>
        <w:spacing w:after="0" w:line="480"/>
      </w:pPr>
      <w:r>
        <w:rPr>
          <w:rFonts w:ascii="Times New Roman" w:cs="Times New Roman" w:eastAsia="Times New Roman" w:hAnsi="Times New Roman"/>
          <w:b/>
          <w:bCs/>
          <w:sz w:val="24"/>
          <w:szCs w:val="24"/>
        </w:rPr>
        <w:t xml:space="preserve">Day of:</w:t>
      </w:r>
      <w:r>
        <w:rPr>
          <w:rFonts w:ascii="Times New Roman" w:cs="Times New Roman" w:eastAsia="Times New Roman" w:hAnsi="Times New Roman"/>
          <w:sz w:val="24"/>
          <w:szCs w:val="24"/>
        </w:rPr>
        <w:t xml:space="preserve"> Arrive early. Check the room. Ensure the survivor has their support person. Breathe.</w:t>
      </w:r>
    </w:p>
    <w:p>
      <w:pPr>
        <w:spacing w:after="0" w:line="480"/>
      </w:pPr>
    </w:p>
    <w:p>
      <w:pPr>
        <w:spacing w:after="0" w:before="240" w:line="480"/>
      </w:pPr>
      <w:r>
        <w:rPr>
          <w:rFonts w:ascii="Times New Roman" w:cs="Times New Roman" w:eastAsia="Times New Roman" w:hAnsi="Times New Roman"/>
          <w:b/>
          <w:bCs/>
          <w:i/>
          <w:iCs/>
          <w:sz w:val="24"/>
          <w:szCs w:val="24"/>
        </w:rPr>
        <w:t xml:space="preserve">Non-Monetary Terms Checklist</w:t>
      </w:r>
    </w:p>
    <w:p>
      <w:pPr>
        <w:spacing w:after="0" w:line="480"/>
      </w:pPr>
      <w:r>
        <w:rPr>
          <w:rFonts w:ascii="Times New Roman" w:cs="Times New Roman" w:eastAsia="Times New Roman" w:hAnsi="Times New Roman"/>
          <w:sz w:val="24"/>
          <w:szCs w:val="24"/>
        </w:rPr>
        <w:t xml:space="preserve">— Apology: Personal letter from program leadership acknowledging harm and expressing regret.</w:t>
      </w:r>
    </w:p>
    <w:p>
      <w:pPr>
        <w:spacing w:after="0" w:line="480"/>
      </w:pPr>
      <w:r>
        <w:rPr>
          <w:rFonts w:ascii="Times New Roman" w:cs="Times New Roman" w:eastAsia="Times New Roman" w:hAnsi="Times New Roman"/>
          <w:sz w:val="24"/>
          <w:szCs w:val="24"/>
        </w:rPr>
        <w:t xml:space="preserve">— Policy changes: Specific changes required, with implementation timeline and independent verification.</w:t>
      </w:r>
    </w:p>
    <w:p>
      <w:pPr>
        <w:spacing w:after="0" w:line="480"/>
      </w:pPr>
      <w:r>
        <w:rPr>
          <w:rFonts w:ascii="Times New Roman" w:cs="Times New Roman" w:eastAsia="Times New Roman" w:hAnsi="Times New Roman"/>
          <w:sz w:val="24"/>
          <w:szCs w:val="24"/>
        </w:rPr>
        <w:t xml:space="preserve">— Confidentiality scope: Narrowest provision acceptable. Minimum: carve-outs for regulatory cooperation, cooperation with other survivors' attorneys, and the right to speak about the experience.</w:t>
      </w:r>
    </w:p>
    <w:p>
      <w:pPr>
        <w:spacing w:after="0" w:line="480"/>
      </w:pPr>
      <w:r>
        <w:rPr>
          <w:rFonts w:ascii="Times New Roman" w:cs="Times New Roman" w:eastAsia="Times New Roman" w:hAnsi="Times New Roman"/>
          <w:sz w:val="24"/>
          <w:szCs w:val="24"/>
        </w:rPr>
        <w:t xml:space="preserve">— Regulatory reporting: Self-report to licensing authority.</w:t>
      </w:r>
    </w:p>
    <w:p>
      <w:pPr>
        <w:spacing w:after="0" w:line="480"/>
      </w:pPr>
      <w:r>
        <w:rPr>
          <w:rFonts w:ascii="Times New Roman" w:cs="Times New Roman" w:eastAsia="Times New Roman" w:hAnsi="Times New Roman"/>
          <w:sz w:val="24"/>
          <w:szCs w:val="24"/>
        </w:rPr>
        <w:t xml:space="preserve">— Structured settlement: Annuity or structured payments for long-term financial security.</w:t>
      </w:r>
    </w:p>
    <w:p>
      <w:pPr>
        <w:spacing w:after="0" w:line="480"/>
      </w:pPr>
      <w:r>
        <w:rPr>
          <w:rFonts w:ascii="Times New Roman" w:cs="Times New Roman" w:eastAsia="Times New Roman" w:hAnsi="Times New Roman"/>
          <w:sz w:val="24"/>
          <w:szCs w:val="24"/>
        </w:rPr>
        <w:t xml:space="preserve">— Therapy funding: Dedicated allocation for ongoing therapeutic care.</w:t>
      </w:r>
    </w:p>
    <w:p>
      <w:pPr>
        <w:spacing w:after="0" w:line="480"/>
      </w:pPr>
      <w:r>
        <w:rPr>
          <w:rFonts w:ascii="Times New Roman" w:cs="Times New Roman" w:eastAsia="Times New Roman" w:hAnsi="Times New Roman"/>
          <w:sz w:val="24"/>
          <w:szCs w:val="24"/>
        </w:rPr>
        <w:t xml:space="preserve">— Educational or vocational support: Funding for education or training disrupted by TTI enrollment.</w:t>
      </w:r>
    </w:p>
    <w:p>
      <w:pPr>
        <w:spacing w:after="0" w:line="480"/>
      </w:pPr>
    </w:p>
    <w:p>
      <w:pPr>
        <w:spacing w:after="0" w:before="240" w:line="480"/>
      </w:pPr>
      <w:r>
        <w:rPr>
          <w:rFonts w:ascii="Times New Roman" w:cs="Times New Roman" w:eastAsia="Times New Roman" w:hAnsi="Times New Roman"/>
          <w:b/>
          <w:bCs/>
          <w:i/>
          <w:iCs/>
          <w:sz w:val="24"/>
          <w:szCs w:val="24"/>
        </w:rPr>
        <w:t xml:space="preserve">Post-Resolution Checklist</w:t>
      </w:r>
    </w:p>
    <w:p>
      <w:pPr>
        <w:spacing w:after="0" w:line="480"/>
      </w:pPr>
      <w:r>
        <w:rPr>
          <w:rFonts w:ascii="Times New Roman" w:cs="Times New Roman" w:eastAsia="Times New Roman" w:hAnsi="Times New Roman"/>
          <w:sz w:val="24"/>
          <w:szCs w:val="24"/>
        </w:rPr>
        <w:t xml:space="preserve">— Financial transition: Referral to financial advisor experienced with settlement recipients. Discussion of tax implications (physical injury exclusion under IRC § 104). Structured settlement administration if applicable.</w:t>
      </w:r>
    </w:p>
    <w:p>
      <w:pPr>
        <w:spacing w:after="0" w:line="480"/>
      </w:pPr>
      <w:r>
        <w:rPr>
          <w:rFonts w:ascii="Times New Roman" w:cs="Times New Roman" w:eastAsia="Times New Roman" w:hAnsi="Times New Roman"/>
          <w:sz w:val="24"/>
          <w:szCs w:val="24"/>
        </w:rPr>
        <w:t xml:space="preserve">— Therapeutic continuity: Confirm survivor has ongoing therapeutic relationship. Ensure settlement funds are allocated for continued treatment.</w:t>
      </w:r>
    </w:p>
    <w:p>
      <w:pPr>
        <w:spacing w:after="0" w:line="480"/>
      </w:pPr>
      <w:r>
        <w:rPr>
          <w:rFonts w:ascii="Times New Roman" w:cs="Times New Roman" w:eastAsia="Times New Roman" w:hAnsi="Times New Roman"/>
          <w:sz w:val="24"/>
          <w:szCs w:val="24"/>
        </w:rPr>
        <w:t xml:space="preserve">— File preservation: Retain the file per jurisdiction's retention requirements. TTI cases can spawn additional litigation, regulatory proceedings, and media inquiries years after resolution.</w:t>
      </w:r>
    </w:p>
    <w:p>
      <w:pPr>
        <w:spacing w:after="0" w:line="480"/>
      </w:pPr>
      <w:r>
        <w:rPr>
          <w:rFonts w:ascii="Times New Roman" w:cs="Times New Roman" w:eastAsia="Times New Roman" w:hAnsi="Times New Roman"/>
          <w:sz w:val="24"/>
          <w:szCs w:val="24"/>
        </w:rPr>
        <w:t xml:space="preserve">— Regulatory follow-up: If the settlement included a regulatory reporting term, confirm compliance. If it did not, consider whether voluntary reporting is appropriate with client's consent.</w:t>
      </w:r>
    </w:p>
    <w:p>
      <w:pPr>
        <w:spacing w:after="0" w:line="480"/>
      </w:pPr>
      <w:r>
        <w:rPr>
          <w:rFonts w:ascii="Times New Roman" w:cs="Times New Roman" w:eastAsia="Times New Roman" w:hAnsi="Times New Roman"/>
          <w:sz w:val="24"/>
          <w:szCs w:val="24"/>
        </w:rPr>
        <w:t xml:space="preserve">— Client relationship transition: Have an honest conversation about what the post-case relationship will look like. Provide direct contact information for emergencies. Consider periodic check-ins.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Settlement, Mediation, and Resolution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2026-05-13T20:45:14.124Z</dcterms:created>
  <dcterms:modified xsi:type="dcterms:W3CDTF">2026-05-13T20:45:14.124Z</dcterms:modified>
</cp:coreProperties>
</file>

<file path=docProps/custom.xml><?xml version="1.0" encoding="utf-8"?>
<Properties xmlns="http://schemas.openxmlformats.org/officeDocument/2006/custom-properties" xmlns:vt="http://schemas.openxmlformats.org/officeDocument/2006/docPropsVTypes"/>
</file>