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12</w:t>
      </w:r>
    </w:p>
    <w:p>
      <w:pPr>
        <w:spacing w:after="0" w:line="480"/>
      </w:pPr>
    </w:p>
    <w:p>
      <w:pPr>
        <w:spacing w:after="0" w:line="480"/>
        <w:jc w:val="center"/>
      </w:pPr>
      <w:r>
        <w:rPr>
          <w:rFonts w:ascii="Times New Roman" w:cs="Times New Roman" w:eastAsia="Times New Roman" w:hAnsi="Times New Roman"/>
          <w:sz w:val="24"/>
          <w:szCs w:val="24"/>
        </w:rPr>
        <w:t xml:space="preserve">BITE-Mapped Discovery</w:t>
      </w:r>
    </w:p>
    <w:p>
      <w:pPr>
        <w:spacing w:after="0" w:line="480"/>
        <w:jc w:val="center"/>
      </w:pPr>
      <w:r>
        <w:rPr>
          <w:rFonts w:ascii="Times New Roman" w:cs="Times New Roman" w:eastAsia="Times New Roman" w:hAnsi="Times New Roman"/>
          <w:i/>
          <w:iCs/>
          <w:sz w:val="24"/>
          <w:szCs w:val="24"/>
        </w:rPr>
        <w:t xml:space="preserve">Locking the Program into Its Own Words Before Trial</w:t>
      </w:r>
    </w:p>
    <w:p>
      <w:pPr>
        <w:spacing w:after="0" w:line="480"/>
      </w:pPr>
    </w:p>
    <w:p>
      <w:pPr>
        <w:spacing w:after="0" w:line="480"/>
      </w:pPr>
      <w:r>
        <w:rPr>
          <w:rFonts w:ascii="Times New Roman" w:cs="Times New Roman" w:eastAsia="Times New Roman" w:hAnsi="Times New Roman"/>
          <w:sz w:val="24"/>
          <w:szCs w:val="24"/>
        </w:rPr>
        <w:t xml:space="preserve">Discovery in TTI cases is either your greatest weapon or your most expensive waste of time. The difference is organization. Most lawyers approach discovery the way they approach everything else in civil litigation—by category of request: documents first, interrogatories second, depositions third. Each request targets a separate factual question. The result is a mountain of unconnected information that takes months to organize and never quite assembles into a coherent trial narrative.</w:t>
      </w:r>
    </w:p>
    <w:p>
      <w:pPr>
        <w:spacing w:after="0" w:line="480"/>
        <w:ind w:firstLine="720"/>
      </w:pPr>
      <w:r>
        <w:rPr>
          <w:rFonts w:ascii="Times New Roman" w:cs="Times New Roman" w:eastAsia="Times New Roman" w:hAnsi="Times New Roman"/>
          <w:sz w:val="24"/>
          <w:szCs w:val="24"/>
        </w:rPr>
        <w:t xml:space="preserve">This chapter teaches a different method. Instead of organizing discovery by tool, organize it by the BITE framework—Behavior Control, Information Control, Thought Control, Emotional Control. Every document request, every interrogatory, every deposition question maps to one of the four categories. When discovery closes, your evidence is already organized the way you will present it at trial: as a systematic, four-part architecture of coercive control.</w:t>
      </w:r>
    </w:p>
    <w:p>
      <w:pPr>
        <w:spacing w:after="0" w:line="480"/>
        <w:ind w:firstLine="720"/>
      </w:pPr>
      <w:r>
        <w:rPr>
          <w:rFonts w:ascii="Times New Roman" w:cs="Times New Roman" w:eastAsia="Times New Roman" w:hAnsi="Times New Roman"/>
          <w:sz w:val="24"/>
          <w:szCs w:val="24"/>
        </w:rPr>
        <w:t xml:space="preserve">The BITE framework gives you a second advantage that is easy to underestimate: it makes discovery fights winnable. When the program objects to a request as overbroad or irrelevant, you can explain to the judge precisely why the request matters. You are not fishing. You are building a proof architecture around a recognized behavioral science framework that your expert will testify to at trial. Judges understand systems. Give them one.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Discovery Philosophy: Lock Them In Before Trial</w:t>
      </w:r>
    </w:p>
    <w:p>
      <w:pPr>
        <w:spacing w:after="0" w:line="480"/>
      </w:pPr>
    </w:p>
    <w:p>
      <w:pPr>
        <w:spacing w:after="0" w:line="480"/>
      </w:pPr>
      <w:r>
        <w:rPr>
          <w:rFonts w:ascii="Times New Roman" w:cs="Times New Roman" w:eastAsia="Times New Roman" w:hAnsi="Times New Roman"/>
          <w:sz w:val="24"/>
          <w:szCs w:val="24"/>
        </w:rPr>
        <w:t xml:space="preserve">The overriding goal of discovery in a TTI case is not information gathering. It is commitment. You want the program locked into positions—on the record, under oath, in writing—before the first day of trial.</w:t>
      </w:r>
    </w:p>
    <w:p>
      <w:pPr>
        <w:spacing w:after="0" w:line="480"/>
        <w:ind w:firstLine="720"/>
      </w:pPr>
      <w:r>
        <w:rPr>
          <w:rFonts w:ascii="Times New Roman" w:cs="Times New Roman" w:eastAsia="Times New Roman" w:hAnsi="Times New Roman"/>
          <w:sz w:val="24"/>
          <w:szCs w:val="24"/>
        </w:rPr>
        <w:t xml:space="preserve">Every interrogatory answer is a commitment. Every document produced is a commitment. Every deposition answer is a commitment. And every failure to produce a document or answer a question is also a commitment—a commitment to concealment that you can exploit in front of the jury.</w:t>
      </w:r>
    </w:p>
    <w:p>
      <w:pPr>
        <w:spacing w:after="0" w:line="480"/>
        <w:ind w:firstLine="720"/>
      </w:pPr>
      <w:r>
        <w:rPr>
          <w:rFonts w:ascii="Times New Roman" w:cs="Times New Roman" w:eastAsia="Times New Roman" w:hAnsi="Times New Roman"/>
          <w:sz w:val="24"/>
          <w:szCs w:val="24"/>
        </w:rPr>
        <w:t xml:space="preserve">The practical implication is this: do not ask questions to which you do not already know—or strongly suspect—the answer. Discovery is not investigation. Investigation happens before you file. Discovery is confirmation, expansion, and entrapment. You are building a record that the program will be held to at trial, and every answer narrows the program's room to maneuver.</w:t>
      </w:r>
    </w:p>
    <w:p>
      <w:pPr>
        <w:spacing w:after="0" w:line="480"/>
        <w:ind w:firstLine="720"/>
      </w:pPr>
      <w:r>
        <w:rPr>
          <w:rFonts w:ascii="Times New Roman" w:cs="Times New Roman" w:eastAsia="Times New Roman" w:hAnsi="Times New Roman"/>
          <w:sz w:val="24"/>
          <w:szCs w:val="24"/>
        </w:rPr>
        <w:t xml:space="preserve">This means your discovery requests must be precise. Broad, boilerplate requests invite broad, boilerplate objections. Narrow, fact-specific requests that are visibly connected to the BITE framework are harder to object to and produce more useful results. A request for "all documents related to discipline" is an invitation to object. A request for "all documents reflecting the criteria for advancement and demotion within Defendant's level system during the period January 2017 through December 2019, including records of Plaintiff's movement through the system" is a request the judge will enforce.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Behavior Control Discovery</w:t>
      </w:r>
    </w:p>
    <w:p>
      <w:pPr>
        <w:spacing w:after="0" w:line="480"/>
      </w:pPr>
    </w:p>
    <w:p>
      <w:pPr>
        <w:spacing w:after="0" w:line="480"/>
      </w:pPr>
      <w:r>
        <w:rPr>
          <w:rFonts w:ascii="Times New Roman" w:cs="Times New Roman" w:eastAsia="Times New Roman" w:hAnsi="Times New Roman"/>
          <w:sz w:val="24"/>
          <w:szCs w:val="24"/>
        </w:rPr>
        <w:t xml:space="preserve">Behavior control is the most tangible BITE category and often the easiest to prove through documents. Programs that control behavior generate records of that control—schedules, rules, incident reports, disciplinary logs, staffing records—because the control itself requires documentation to function.</w:t>
      </w:r>
    </w:p>
    <w:p>
      <w:pPr>
        <w:spacing w:after="0" w:line="480"/>
        <w:ind w:firstLine="720"/>
      </w:pPr>
      <w:r>
        <w:rPr>
          <w:rFonts w:ascii="Times New Roman" w:cs="Times New Roman" w:eastAsia="Times New Roman" w:hAnsi="Times New Roman"/>
          <w:sz w:val="24"/>
          <w:szCs w:val="24"/>
        </w:rPr>
        <w:t xml:space="preserve">Request the complete level system documentation: the criteria for each level, the privileges and restrictions at each level, and records showing your client's movement through the system. The level system is the behavioral control architecture in writing—the program's own description of how it conditioned basic human needs and dignitary interests on compliance.</w:t>
      </w:r>
    </w:p>
    <w:p>
      <w:pPr>
        <w:spacing w:after="0" w:line="480"/>
        <w:ind w:firstLine="720"/>
      </w:pPr>
      <w:r>
        <w:rPr>
          <w:rFonts w:ascii="Times New Roman" w:cs="Times New Roman" w:eastAsia="Times New Roman" w:hAnsi="Times New Roman"/>
          <w:sz w:val="24"/>
          <w:szCs w:val="24"/>
        </w:rPr>
        <w:t xml:space="preserve">Request transport company contracts and records documenting how your client was brought to the facility: who transported them, what restraints were used, what the transport protocol was, and whether the client was informed of the destination. Transport records are often held by a separate corporate entity, so serve discovery directly on the transport company as well.</w:t>
      </w:r>
    </w:p>
    <w:p>
      <w:pPr>
        <w:spacing w:after="0" w:line="480"/>
        <w:ind w:firstLine="720"/>
      </w:pPr>
      <w:r>
        <w:rPr>
          <w:rFonts w:ascii="Times New Roman" w:cs="Times New Roman" w:eastAsia="Times New Roman" w:hAnsi="Times New Roman"/>
          <w:sz w:val="24"/>
          <w:szCs w:val="24"/>
        </w:rPr>
        <w:t xml:space="preserve">Request all incident reports, use-of-force reports, restraint logs, and seclusion records created during the relevant period—not just those involving your client, but all of them. Pattern evidence of systematic restraint use transforms an individual battery claim into proof of institutional policy.</w:t>
      </w:r>
    </w:p>
    <w:p>
      <w:pPr>
        <w:spacing w:after="0" w:line="480"/>
        <w:ind w:firstLine="720"/>
      </w:pPr>
      <w:r>
        <w:rPr>
          <w:rFonts w:ascii="Times New Roman" w:cs="Times New Roman" w:eastAsia="Times New Roman" w:hAnsi="Times New Roman"/>
          <w:sz w:val="24"/>
          <w:szCs w:val="24"/>
        </w:rPr>
        <w:t xml:space="preserve">Request staffing schedules, shift logs, and documents reflecting actual staff-to-participant ratios. Understaffing is both a negligence claim (inadequate supervision) and evidence that the program relied on coercive control mechanisms—isolation, restraint, peer surveillance—to manage children it did not have enough staff to supervise safely.</w:t>
      </w:r>
    </w:p>
    <w:p>
      <w:pPr>
        <w:spacing w:after="0" w:line="480"/>
        <w:ind w:firstLine="720"/>
      </w:pPr>
      <w:r>
        <w:rPr>
          <w:rFonts w:ascii="Times New Roman" w:cs="Times New Roman" w:eastAsia="Times New Roman" w:hAnsi="Times New Roman"/>
          <w:sz w:val="24"/>
          <w:szCs w:val="24"/>
        </w:rPr>
        <w:t xml:space="preserve">Request all floor plans, facility diagrams, and photographs of the facility, including any modifications to locks, doors, windows, cameras, or isolation rooms. The physical architecture of a TTI program is evidence of behavioral control. Locked doors, surveillance cameras in bedrooms, isolation rooms with no windows—these are the built environment of the coercive system.</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Information Control Discovery</w:t>
      </w:r>
    </w:p>
    <w:p>
      <w:pPr>
        <w:spacing w:after="0" w:line="480"/>
      </w:pPr>
    </w:p>
    <w:p>
      <w:pPr>
        <w:spacing w:after="0" w:line="480"/>
      </w:pPr>
      <w:r>
        <w:rPr>
          <w:rFonts w:ascii="Times New Roman" w:cs="Times New Roman" w:eastAsia="Times New Roman" w:hAnsi="Times New Roman"/>
          <w:sz w:val="24"/>
          <w:szCs w:val="24"/>
        </w:rPr>
        <w:t xml:space="preserve">Information control is where the gap between what the program told the outside world and what it told the children inside becomes provable. This category is devastatingly effective because TTI programs almost always maintain two sets of communications—one for families and referral sources, designed to reassure, and one for internal operations, designed to control.</w:t>
      </w:r>
    </w:p>
    <w:p>
      <w:pPr>
        <w:spacing w:after="0" w:line="480"/>
        <w:ind w:firstLine="720"/>
      </w:pPr>
      <w:r>
        <w:rPr>
          <w:rFonts w:ascii="Times New Roman" w:cs="Times New Roman" w:eastAsia="Times New Roman" w:hAnsi="Times New Roman"/>
          <w:sz w:val="24"/>
          <w:szCs w:val="24"/>
        </w:rPr>
        <w:t xml:space="preserve">Request all marketing materials—brochures, website content, promotional videos, social media posts, advertising—used to recruit families or referral sources during the relevant period. Then request all internal operational documents from the same period: staff manuals, incident reports, disciplinary records, staffing data. The gap between marketing and operations is your fraud case in documentary form.</w:t>
      </w:r>
    </w:p>
    <w:p>
      <w:pPr>
        <w:spacing w:after="0" w:line="480"/>
        <w:ind w:firstLine="720"/>
      </w:pPr>
      <w:r>
        <w:rPr>
          <w:rFonts w:ascii="Times New Roman" w:cs="Times New Roman" w:eastAsia="Times New Roman" w:hAnsi="Times New Roman"/>
          <w:sz w:val="24"/>
          <w:szCs w:val="24"/>
        </w:rPr>
        <w:t xml:space="preserve">Request the letter censorship policy and any logs documenting letters withheld, edited, or delayed. Request the phone call policy, including monitoring procedures, time limits, and any records of calls terminated early. Request scripted talking points or guidelines provided to staff for parent communications. These documents prove that the program systematically controlled what information reached families—the "I" in BITE, reduced to discoverable policy.</w:t>
      </w:r>
    </w:p>
    <w:p>
      <w:pPr>
        <w:spacing w:after="0" w:line="480"/>
        <w:ind w:firstLine="720"/>
      </w:pPr>
      <w:r>
        <w:rPr>
          <w:rFonts w:ascii="Times New Roman" w:cs="Times New Roman" w:eastAsia="Times New Roman" w:hAnsi="Times New Roman"/>
          <w:sz w:val="24"/>
          <w:szCs w:val="24"/>
        </w:rPr>
        <w:t xml:space="preserve">Request all communications between the program and your client's family: letters, emails, phone logs, portal messages, progress reports. Compare what the program told the parents with what was actually happening to the child during the same period. The progress report that says "making excellent gains" sent the same week the restraint log shows three physical interventions is the information control claim in two documents.</w:t>
      </w:r>
    </w:p>
    <w:p>
      <w:pPr>
        <w:spacing w:after="0" w:line="480"/>
        <w:ind w:firstLine="720"/>
      </w:pPr>
      <w:r>
        <w:rPr>
          <w:rFonts w:ascii="Times New Roman" w:cs="Times New Roman" w:eastAsia="Times New Roman" w:hAnsi="Times New Roman"/>
          <w:sz w:val="24"/>
          <w:szCs w:val="24"/>
        </w:rPr>
        <w:t xml:space="preserve">Request all communications between the program and the educational consultant who made the referral. These documents establish the referral pipeline, the representations made to recruit your client, and whether the consultant had information about the program's practices that she did not share with the family. Request the consultant's referral fee records, financial agreements with the program, and any due diligence she performed—or failed to perform—before recommending placement.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Thought Control Discovery</w:t>
      </w:r>
    </w:p>
    <w:p>
      <w:pPr>
        <w:spacing w:after="0" w:line="480"/>
      </w:pPr>
    </w:p>
    <w:p>
      <w:pPr>
        <w:spacing w:after="0" w:line="480"/>
      </w:pPr>
      <w:r>
        <w:rPr>
          <w:rFonts w:ascii="Times New Roman" w:cs="Times New Roman" w:eastAsia="Times New Roman" w:hAnsi="Times New Roman"/>
          <w:sz w:val="24"/>
          <w:szCs w:val="24"/>
        </w:rPr>
        <w:t xml:space="preserve">Thought control is the hardest BITE category to prove through documents alone, but the documents that do exist are extraordinarily powerful. TTI programs that engage in thought control typically codify their ideology in training manuals, program philosophy documents, and group session curricula—and these documents often describe, in the program's own language, exactly the coercive techniques your expert will testify about.</w:t>
      </w:r>
    </w:p>
    <w:p>
      <w:pPr>
        <w:spacing w:after="0" w:line="480"/>
        <w:ind w:firstLine="720"/>
      </w:pPr>
      <w:r>
        <w:rPr>
          <w:rFonts w:ascii="Times New Roman" w:cs="Times New Roman" w:eastAsia="Times New Roman" w:hAnsi="Times New Roman"/>
          <w:sz w:val="24"/>
          <w:szCs w:val="24"/>
        </w:rPr>
        <w:t xml:space="preserve">Request all documents articulating the program's philosophy, therapeutic model, or operational approach. Many TTI programs have a stated ideology—a "breakdown to breakthrough" methodology, a confrontational group therapy model, a compliance-based behavioral framework—that is documented in founder writings, training materials, or program literature. These documents are devastating because they show that the coercive practices were not accidental. They were the method.</w:t>
      </w:r>
    </w:p>
    <w:p>
      <w:pPr>
        <w:spacing w:after="0" w:line="480"/>
        <w:ind w:firstLine="720"/>
      </w:pPr>
      <w:r>
        <w:rPr>
          <w:rFonts w:ascii="Times New Roman" w:cs="Times New Roman" w:eastAsia="Times New Roman" w:hAnsi="Times New Roman"/>
          <w:sz w:val="24"/>
          <w:szCs w:val="24"/>
        </w:rPr>
        <w:t xml:space="preserve">Request all staff training manuals, orientation materials, and continuing education curricula. Training materials reveal what staff were told to do—and what they were told to call it. A training manual that instructs staff to "reframe resistance as manipulation" is thought control in the program's own handwriting. A training that teaches staff to use "therapeutic holds" is battery dressed in clinical language.</w:t>
      </w:r>
    </w:p>
    <w:p>
      <w:pPr>
        <w:spacing w:after="0" w:line="480"/>
        <w:ind w:firstLine="720"/>
      </w:pPr>
      <w:r>
        <w:rPr>
          <w:rFonts w:ascii="Times New Roman" w:cs="Times New Roman" w:eastAsia="Times New Roman" w:hAnsi="Times New Roman"/>
          <w:sz w:val="24"/>
          <w:szCs w:val="24"/>
        </w:rPr>
        <w:t xml:space="preserve">Request all materials used in group sessions, including facilitator guides, curricula, and session outlines. TTI group sessions are often the primary thought control mechanism: forced confessions, peer confrontation, the requirement to adopt the program's narrative about your own psychology. The facilitator guide that instructs the group leader to "break down defenses" and "confront denial" is the thought control architecture documented for your expert.</w:t>
      </w:r>
    </w:p>
    <w:p>
      <w:pPr>
        <w:spacing w:after="0" w:line="480"/>
        <w:ind w:firstLine="720"/>
      </w:pPr>
      <w:r>
        <w:rPr>
          <w:rFonts w:ascii="Times New Roman" w:cs="Times New Roman" w:eastAsia="Times New Roman" w:hAnsi="Times New Roman"/>
          <w:sz w:val="24"/>
          <w:szCs w:val="24"/>
        </w:rPr>
        <w:t xml:space="preserve">Request all documents reflecting a peer accountability, peer reporting, or peer confrontation system. Many TTI programs require participants to monitor and report on one another—a surveillance system that ensures compliance even when staff are not present. These documents prove that the program deputized children as instruments of their own coercive control.</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Emotional Control Discovery</w:t>
      </w:r>
    </w:p>
    <w:p>
      <w:pPr>
        <w:spacing w:after="0" w:line="480"/>
      </w:pPr>
    </w:p>
    <w:p>
      <w:pPr>
        <w:spacing w:after="0" w:line="480"/>
      </w:pPr>
      <w:r>
        <w:rPr>
          <w:rFonts w:ascii="Times New Roman" w:cs="Times New Roman" w:eastAsia="Times New Roman" w:hAnsi="Times New Roman"/>
          <w:sz w:val="24"/>
          <w:szCs w:val="24"/>
        </w:rPr>
        <w:t xml:space="preserve">Emotional control is the BITE category that juries understand most viscerally. When you can show that the program deliberately manipulated fear, shame, guilt, and attachment—that it weaponized human emotion as a management tool—the jury stops seeing an institution and starts seeing something closer to cruelty.</w:t>
      </w:r>
    </w:p>
    <w:p>
      <w:pPr>
        <w:spacing w:after="0" w:line="480"/>
        <w:ind w:firstLine="720"/>
      </w:pPr>
      <w:r>
        <w:rPr>
          <w:rFonts w:ascii="Times New Roman" w:cs="Times New Roman" w:eastAsia="Times New Roman" w:hAnsi="Times New Roman"/>
          <w:sz w:val="24"/>
          <w:szCs w:val="24"/>
        </w:rPr>
        <w:t xml:space="preserve">Request all records of punitive measures, sanctions, and negative consequences imposed on participants during the relevant period, including isolation, privilege loss, public shaming, and peer-imposed discipline. These records document the emotional control system in operation.</w:t>
      </w:r>
    </w:p>
    <w:p>
      <w:pPr>
        <w:spacing w:after="0" w:line="480"/>
        <w:ind w:firstLine="720"/>
      </w:pPr>
      <w:r>
        <w:rPr>
          <w:rFonts w:ascii="Times New Roman" w:cs="Times New Roman" w:eastAsia="Times New Roman" w:hAnsi="Times New Roman"/>
          <w:sz w:val="24"/>
          <w:szCs w:val="24"/>
        </w:rPr>
        <w:t xml:space="preserve">Request documentation of shaming practices—public confessions, forced apologies, degradation ceremonies, the removal of personal belongings or clothing as punishment. Request records of contact restrictions imposed as punishment: the withholding of family visits, phone calls, or mail when a child failed to comply. The weaponization of family contact—using a child's attachment to her parents as a lever of behavioral control—is among the most powerful facts you can present to a jury.</w:t>
      </w:r>
    </w:p>
    <w:p>
      <w:pPr>
        <w:spacing w:after="0" w:line="480"/>
        <w:ind w:firstLine="720"/>
      </w:pPr>
      <w:r>
        <w:rPr>
          <w:rFonts w:ascii="Times New Roman" w:cs="Times New Roman" w:eastAsia="Times New Roman" w:hAnsi="Times New Roman"/>
          <w:sz w:val="24"/>
          <w:szCs w:val="24"/>
        </w:rPr>
        <w:t xml:space="preserve">Request all documents reflecting any system in which basic privileges, dignitary interests, or family contact were conditioned on compliance, behavioral performance, or ideological conformity. The level system is not just behavior control—it is emotional control, because it conditions the child's access to human connection on her willingness to submit.</w:t>
      </w:r>
    </w:p>
    <w:p>
      <w:pPr>
        <w:spacing w:after="0" w:line="480"/>
        <w:ind w:firstLine="720"/>
      </w:pPr>
      <w:r>
        <w:rPr>
          <w:rFonts w:ascii="Times New Roman" w:cs="Times New Roman" w:eastAsia="Times New Roman" w:hAnsi="Times New Roman"/>
          <w:sz w:val="24"/>
          <w:szCs w:val="24"/>
        </w:rPr>
        <w:t xml:space="preserve">Request all exit interview documents, discharge statements, or post-participation surveys signed or completed by participants. Many programs require departing children to sign statements affirming the quality of their experience—statements obtained under the same coercive conditions that defined the entire program. These documents are evidence of emotional control extending to the moment of discharge: even leaving required a performance of gratitude.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Depositions by Witness Type</w:t>
      </w:r>
    </w:p>
    <w:p>
      <w:pPr>
        <w:spacing w:after="0" w:line="480"/>
      </w:pPr>
    </w:p>
    <w:p>
      <w:pPr>
        <w:spacing w:after="0" w:line="480"/>
      </w:pPr>
      <w:r>
        <w:rPr>
          <w:rFonts w:ascii="Times New Roman" w:cs="Times New Roman" w:eastAsia="Times New Roman" w:hAnsi="Times New Roman"/>
          <w:sz w:val="24"/>
          <w:szCs w:val="24"/>
        </w:rPr>
        <w:t xml:space="preserve">The deposition strategy in BITE-mapped discovery is simple: depose from the outside in. Start with witnesses who have the least loyalty to the program and the most distance from its operations. End with the corporate representative, who must answer for everything.</w:t>
      </w:r>
    </w:p>
    <w:p>
      <w:pPr>
        <w:spacing w:after="0" w:before="240" w:line="480"/>
      </w:pPr>
      <w:r>
        <w:rPr>
          <w:rFonts w:ascii="Times New Roman" w:cs="Times New Roman" w:eastAsia="Times New Roman" w:hAnsi="Times New Roman"/>
          <w:b/>
          <w:bCs/>
          <w:i/>
          <w:iCs/>
          <w:sz w:val="24"/>
          <w:szCs w:val="24"/>
        </w:rPr>
        <w:t xml:space="preserve">The Former Staff Member</w:t>
      </w:r>
    </w:p>
    <w:p>
      <w:pPr>
        <w:spacing w:after="0" w:line="480"/>
        <w:ind w:firstLine="720"/>
      </w:pPr>
      <w:r>
        <w:rPr>
          <w:rFonts w:ascii="Times New Roman" w:cs="Times New Roman" w:eastAsia="Times New Roman" w:hAnsi="Times New Roman"/>
          <w:sz w:val="24"/>
          <w:szCs w:val="24"/>
        </w:rPr>
        <w:t xml:space="preserve">Former employees who left under bad terms are your most valuable deposition witnesses. They know how the program actually operated, they are no longer bound by the culture of loyalty, and they may be motivated to tell the truth by their own guilt about what they participated in. Depose them about the gap between training and practice, the gap between marketing and operations, and the practices they witnessed that they now recognize were harmful.</w:t>
      </w:r>
    </w:p>
    <w:p>
      <w:pPr>
        <w:spacing w:after="0" w:before="240" w:line="480"/>
      </w:pPr>
      <w:r>
        <w:rPr>
          <w:rFonts w:ascii="Times New Roman" w:cs="Times New Roman" w:eastAsia="Times New Roman" w:hAnsi="Times New Roman"/>
          <w:b/>
          <w:bCs/>
          <w:i/>
          <w:iCs/>
          <w:sz w:val="24"/>
          <w:szCs w:val="24"/>
        </w:rPr>
        <w:t xml:space="preserve">The Educational Consultant</w:t>
      </w:r>
    </w:p>
    <w:p>
      <w:pPr>
        <w:spacing w:after="0" w:line="480"/>
        <w:ind w:firstLine="720"/>
      </w:pPr>
      <w:r>
        <w:rPr>
          <w:rFonts w:ascii="Times New Roman" w:cs="Times New Roman" w:eastAsia="Times New Roman" w:hAnsi="Times New Roman"/>
          <w:sz w:val="24"/>
          <w:szCs w:val="24"/>
        </w:rPr>
        <w:t xml:space="preserve">The consultant who referred your client is the linchpin of the recruitment pipeline. Depose her about her qualifications, her financial relationship with the program, whether she disclosed referral fees to the family, what due diligence she performed, what she knew about the program's complaint history, and what she told the family versus what she knew. Structure the deposition around Cialdini's six influence principles: authority, social proof, scarcity, reciprocity, commitment, and liking. Each answer either reveals the exploitation of an influence principle or produces a lie you will use at trial.</w:t>
      </w:r>
    </w:p>
    <w:p>
      <w:pPr>
        <w:spacing w:after="0" w:before="240" w:line="480"/>
      </w:pPr>
      <w:r>
        <w:rPr>
          <w:rFonts w:ascii="Times New Roman" w:cs="Times New Roman" w:eastAsia="Times New Roman" w:hAnsi="Times New Roman"/>
          <w:b/>
          <w:bCs/>
          <w:i/>
          <w:iCs/>
          <w:sz w:val="24"/>
          <w:szCs w:val="24"/>
        </w:rPr>
        <w:t xml:space="preserve">The Transport Company Representative</w:t>
      </w:r>
    </w:p>
    <w:p>
      <w:pPr>
        <w:spacing w:after="0" w:line="480"/>
        <w:ind w:firstLine="720"/>
      </w:pPr>
      <w:r>
        <w:rPr>
          <w:rFonts w:ascii="Times New Roman" w:cs="Times New Roman" w:eastAsia="Times New Roman" w:hAnsi="Times New Roman"/>
          <w:sz w:val="24"/>
          <w:szCs w:val="24"/>
        </w:rPr>
        <w:t xml:space="preserve">Depose the transport company about its protocol: how children were extracted, what restraints were used, whether consent was obtained, what training transporters received, and what happened when children resisted. Transport depositions often produce the most visceral testimony in the case—the details of a fifteen-year-old being taken from her bed at two in the morning by strangers and driven across state lines while physically restrained.</w:t>
      </w:r>
    </w:p>
    <w:p>
      <w:pPr>
        <w:spacing w:after="0" w:before="240" w:line="480"/>
      </w:pPr>
      <w:r>
        <w:rPr>
          <w:rFonts w:ascii="Times New Roman" w:cs="Times New Roman" w:eastAsia="Times New Roman" w:hAnsi="Times New Roman"/>
          <w:b/>
          <w:bCs/>
          <w:i/>
          <w:iCs/>
          <w:sz w:val="24"/>
          <w:szCs w:val="24"/>
        </w:rPr>
        <w:t xml:space="preserve">The 30(b)(6) Corporate Representative</w:t>
      </w:r>
    </w:p>
    <w:p>
      <w:pPr>
        <w:spacing w:after="0" w:line="480"/>
        <w:ind w:firstLine="720"/>
      </w:pPr>
      <w:r>
        <w:rPr>
          <w:rFonts w:ascii="Times New Roman" w:cs="Times New Roman" w:eastAsia="Times New Roman" w:hAnsi="Times New Roman"/>
          <w:sz w:val="24"/>
          <w:szCs w:val="24"/>
        </w:rPr>
        <w:t xml:space="preserve">The Rule 30(b)(6) deposition is the crown jewel. The program designates a witness to testify on its behalf about specific topics you identify in your notice. The witness's testimony binds the program. Choose your topics with precision—each one keyed to a BITE category: the level system and restraint policies (Behavior), communication restrictions and marketing practices (Information), program philosophy and group session methods (Thought), disciplinary practices and contact restrictions (Emotional). Add cross-cutting topics: complaint history, corporate structure, insurance, and record retention. The corporate representative must either explain or deny each practice, and both options serve you.</w:t>
      </w:r>
    </w:p>
    <w:p>
      <w:pPr>
        <w:spacing w:after="0" w:line="480"/>
        <w:ind w:firstLine="720"/>
      </w:pPr>
      <w:r>
        <w:rPr>
          <w:rFonts w:ascii="Times New Roman" w:cs="Times New Roman" w:eastAsia="Times New Roman" w:hAnsi="Times New Roman"/>
          <w:sz w:val="24"/>
          <w:szCs w:val="24"/>
        </w:rPr>
        <w:t xml:space="preserve">TTI corporate depositions require a systematic approach to piercing layers of organizational opacity. Many programs operate through cascading LLC structures—a management company, a real estate holding entity, a staffing agency, and a marketing entity, all controlled by the same family or investment group but each designed to limit liability exposure. Private equity-backed entities are particularly resilient to individual case pressure because the corporate parent can absorb losses that would destroy a single-facility operator. Your 30(b)(6) topics must include: the organizational chart and all affiliated entities; the flow of funds between entities; who makes staffing, policy, and admissions decisions; and who has ultimate authority to change the practices at issue. Pin the corporate representative to specific answers about decision-making authority—because when you reach trial, you will argue that the entity that made the decisions is the entity that bears the liability, regardless of which LLC employed the staff who implemented those decisions.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Marketing Versus Operations Deposition</w:t>
      </w:r>
    </w:p>
    <w:p>
      <w:pPr>
        <w:spacing w:after="0" w:line="480"/>
      </w:pPr>
    </w:p>
    <w:p>
      <w:pPr>
        <w:spacing w:after="0" w:line="480"/>
      </w:pPr>
      <w:r>
        <w:rPr>
          <w:rFonts w:ascii="Times New Roman" w:cs="Times New Roman" w:eastAsia="Times New Roman" w:hAnsi="Times New Roman"/>
          <w:sz w:val="24"/>
          <w:szCs w:val="24"/>
        </w:rPr>
        <w:t xml:space="preserve">This is the single most powerful discovery technique in TTI litigation. It works because every TTI program lies about what it is.</w:t>
      </w:r>
    </w:p>
    <w:p>
      <w:pPr>
        <w:spacing w:after="0" w:line="480"/>
        <w:ind w:firstLine="720"/>
      </w:pPr>
      <w:r>
        <w:rPr>
          <w:rFonts w:ascii="Times New Roman" w:cs="Times New Roman" w:eastAsia="Times New Roman" w:hAnsi="Times New Roman"/>
          <w:sz w:val="24"/>
          <w:szCs w:val="24"/>
        </w:rPr>
        <w:t xml:space="preserve">The technique has two parts. First, obtain every piece of marketing material the program used during the relevant period: brochures, website content, admissions presentations, videos, social media posts, testimonials, and the educational consultant's promotional materials. Second, obtain the internal operational records from the same period: staffing data, incident reports, restraint logs, disciplinary records, training manuals, and complaint files.</w:t>
      </w:r>
    </w:p>
    <w:p>
      <w:pPr>
        <w:spacing w:after="0" w:line="480"/>
        <w:ind w:firstLine="720"/>
      </w:pPr>
      <w:r>
        <w:rPr>
          <w:rFonts w:ascii="Times New Roman" w:cs="Times New Roman" w:eastAsia="Times New Roman" w:hAnsi="Times New Roman"/>
          <w:sz w:val="24"/>
          <w:szCs w:val="24"/>
        </w:rPr>
        <w:t xml:space="preserve">Then lay them side by side. The brochure says individualized therapy from licensed clinicians. The staffing records show one unlicensed counselor for thirty residents. The website says a nurturing, family-like environment. The incident reports show twelve restraints in a single month. The admissions video shows smiling teenagers on a mountain trail. The isolation log shows children confined to bare rooms for twenty-four-hour periods.</w:t>
      </w:r>
    </w:p>
    <w:p>
      <w:pPr>
        <w:spacing w:after="0" w:line="480"/>
        <w:ind w:firstLine="720"/>
      </w:pPr>
      <w:r>
        <w:rPr>
          <w:rFonts w:ascii="Times New Roman" w:cs="Times New Roman" w:eastAsia="Times New Roman" w:hAnsi="Times New Roman"/>
          <w:sz w:val="24"/>
          <w:szCs w:val="24"/>
        </w:rPr>
        <w:t xml:space="preserve">Take this contrast into the deposition room and ask the corporate representative to explain the difference. There is no good answer. Either the program did not know its marketing was false—which is negligence—or it did know and marketed anyway—which is fraud. Both outcomes serve your case. The marketing-versus-operations comparison becomes a trial exhibit that the jury will remember long after the closing arguments end.</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Using AI to Organize Discovery Across BITE Categories</w:t>
      </w:r>
    </w:p>
    <w:p>
      <w:pPr>
        <w:spacing w:after="0" w:line="480"/>
      </w:pPr>
    </w:p>
    <w:p>
      <w:pPr>
        <w:spacing w:after="0" w:line="480"/>
      </w:pPr>
      <w:r>
        <w:rPr>
          <w:rFonts w:ascii="Times New Roman" w:cs="Times New Roman" w:eastAsia="Times New Roman" w:hAnsi="Times New Roman"/>
          <w:sz w:val="24"/>
          <w:szCs w:val="24"/>
        </w:rPr>
        <w:t xml:space="preserve">Large language models can dramatically reduce the time required to organize BITE-mapped discovery, but they require careful oversight.</w:t>
      </w:r>
    </w:p>
    <w:p>
      <w:pPr>
        <w:spacing w:after="0" w:line="480"/>
        <w:ind w:firstLine="720"/>
      </w:pPr>
      <w:r>
        <w:rPr>
          <w:rFonts w:ascii="Times New Roman" w:cs="Times New Roman" w:eastAsia="Times New Roman" w:hAnsi="Times New Roman"/>
          <w:i/>
          <w:iCs/>
          <w:sz w:val="24"/>
          <w:szCs w:val="24"/>
        </w:rPr>
        <w:t xml:space="preserve">Document categorization.</w:t>
      </w:r>
      <w:r>
        <w:rPr>
          <w:rFonts w:ascii="Times New Roman" w:cs="Times New Roman" w:eastAsia="Times New Roman" w:hAnsi="Times New Roman"/>
          <w:sz w:val="24"/>
          <w:szCs w:val="24"/>
        </w:rPr>
        <w:t xml:space="preserve"> Upload produced documents and ask the model to categorize each by BITE category. Review every categorization—the model may miss context-dependent classifications. A medication record can be both a medical document and evidence of behavioral control (chemical restraint). A letter to parents can be both correspondence and evidence of information control (sanitized reporting).</w:t>
      </w:r>
    </w:p>
    <w:p>
      <w:pPr>
        <w:spacing w:after="0" w:line="480"/>
        <w:ind w:firstLine="720"/>
      </w:pPr>
      <w:r>
        <w:rPr>
          <w:rFonts w:ascii="Times New Roman" w:cs="Times New Roman" w:eastAsia="Times New Roman" w:hAnsi="Times New Roman"/>
          <w:i/>
          <w:iCs/>
          <w:sz w:val="24"/>
          <w:szCs w:val="24"/>
        </w:rPr>
        <w:t xml:space="preserve">Deposition cross-referencing.</w:t>
      </w:r>
      <w:r>
        <w:rPr>
          <w:rFonts w:ascii="Times New Roman" w:cs="Times New Roman" w:eastAsia="Times New Roman" w:hAnsi="Times New Roman"/>
          <w:sz w:val="24"/>
          <w:szCs w:val="24"/>
        </w:rPr>
        <w:t xml:space="preserve"> Upload deposition transcripts and ask the model to extract every statement that maps to a BITE category. Cross-reference these excerpts with the document production to identify admissions, contradictions, and gaps between what the witness said and what the documents show.</w:t>
      </w:r>
    </w:p>
    <w:p>
      <w:pPr>
        <w:spacing w:after="0" w:line="480"/>
        <w:ind w:firstLine="720"/>
      </w:pPr>
      <w:r>
        <w:rPr>
          <w:rFonts w:ascii="Times New Roman" w:cs="Times New Roman" w:eastAsia="Times New Roman" w:hAnsi="Times New Roman"/>
          <w:i/>
          <w:iCs/>
          <w:sz w:val="24"/>
          <w:szCs w:val="24"/>
        </w:rPr>
        <w:t xml:space="preserve">Gap analysis.</w:t>
      </w:r>
      <w:r>
        <w:rPr>
          <w:rFonts w:ascii="Times New Roman" w:cs="Times New Roman" w:eastAsia="Times New Roman" w:hAnsi="Times New Roman"/>
          <w:sz w:val="24"/>
          <w:szCs w:val="24"/>
        </w:rPr>
        <w:t xml:space="preserve"> After categorizing all produced documents and testimony by BITE category, ask the model to identify which categories have thin support. These gaps indicate either that the program successfully concealed evidence—which supports a spoliation argument—or that you need additional discovery in specific areas.</w:t>
      </w:r>
    </w:p>
    <w:p>
      <w:pPr>
        <w:spacing w:after="0" w:line="480"/>
        <w:ind w:firstLine="720"/>
      </w:pPr>
      <w:r>
        <w:rPr>
          <w:rFonts w:ascii="Times New Roman" w:cs="Times New Roman" w:eastAsia="Times New Roman" w:hAnsi="Times New Roman"/>
          <w:i/>
          <w:iCs/>
          <w:sz w:val="24"/>
          <w:szCs w:val="24"/>
        </w:rPr>
        <w:t xml:space="preserve">Timeline construction.</w:t>
      </w:r>
      <w:r>
        <w:rPr>
          <w:rFonts w:ascii="Times New Roman" w:cs="Times New Roman" w:eastAsia="Times New Roman" w:hAnsi="Times New Roman"/>
          <w:sz w:val="24"/>
          <w:szCs w:val="24"/>
        </w:rPr>
        <w:t xml:space="preserve"> Ask the model to construct a chronological timeline from the produced documents, organized by BITE category. This timeline becomes the backbone of your trial presentation and helps you identify periods where documentation is suspiciously absent.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30(b)(6) Deposition Topics for TTI Programs</w:t>
      </w:r>
    </w:p>
    <w:p>
      <w:pPr>
        <w:spacing w:after="0" w:line="480"/>
      </w:pPr>
    </w:p>
    <w:p>
      <w:pPr>
        <w:spacing w:after="0" w:line="480"/>
      </w:pPr>
      <w:r>
        <w:rPr>
          <w:rFonts w:ascii="Times New Roman" w:cs="Times New Roman" w:eastAsia="Times New Roman" w:hAnsi="Times New Roman"/>
          <w:sz w:val="24"/>
          <w:szCs w:val="24"/>
        </w:rPr>
        <w:t xml:space="preserve">Serve these topics with your deposition notice. Each is keyed to a BITE category.</w:t>
      </w:r>
    </w:p>
    <w:p>
      <w:pPr>
        <w:spacing w:after="0" w:line="480"/>
        <w:ind w:firstLine="720"/>
      </w:pPr>
      <w:r>
        <w:rPr>
          <w:rFonts w:ascii="Times New Roman" w:cs="Times New Roman" w:eastAsia="Times New Roman" w:hAnsi="Times New Roman"/>
          <w:i/>
          <w:iCs/>
          <w:sz w:val="24"/>
          <w:szCs w:val="24"/>
        </w:rPr>
        <w:t xml:space="preserve">Topic 1 (Behavior):</w:t>
      </w:r>
      <w:r>
        <w:rPr>
          <w:rFonts w:ascii="Times New Roman" w:cs="Times New Roman" w:eastAsia="Times New Roman" w:hAnsi="Times New Roman"/>
          <w:sz w:val="24"/>
          <w:szCs w:val="24"/>
        </w:rPr>
        <w:t xml:space="preserve"> Defendant's policies and practices governing the use of physical restraint, seclusion, and isolation during the Relevant Period, including training requirements for staff authorized to perform restraints and records of all restraint incidents.</w:t>
      </w:r>
    </w:p>
    <w:p>
      <w:pPr>
        <w:spacing w:after="0" w:line="480"/>
        <w:ind w:firstLine="720"/>
      </w:pPr>
      <w:r>
        <w:rPr>
          <w:rFonts w:ascii="Times New Roman" w:cs="Times New Roman" w:eastAsia="Times New Roman" w:hAnsi="Times New Roman"/>
          <w:i/>
          <w:iCs/>
          <w:sz w:val="24"/>
          <w:szCs w:val="24"/>
        </w:rPr>
        <w:t xml:space="preserve">Topic 2 (Behavior):</w:t>
      </w:r>
      <w:r>
        <w:rPr>
          <w:rFonts w:ascii="Times New Roman" w:cs="Times New Roman" w:eastAsia="Times New Roman" w:hAnsi="Times New Roman"/>
          <w:sz w:val="24"/>
          <w:szCs w:val="24"/>
        </w:rPr>
        <w:t xml:space="preserve"> Defendant's level system, phase system, or behavioral advancement framework, including the criteria for advancement and demotion and the consequences at each level.</w:t>
      </w:r>
    </w:p>
    <w:p>
      <w:pPr>
        <w:spacing w:after="0" w:line="480"/>
        <w:ind w:firstLine="720"/>
      </w:pPr>
      <w:r>
        <w:rPr>
          <w:rFonts w:ascii="Times New Roman" w:cs="Times New Roman" w:eastAsia="Times New Roman" w:hAnsi="Times New Roman"/>
          <w:i/>
          <w:iCs/>
          <w:sz w:val="24"/>
          <w:szCs w:val="24"/>
        </w:rPr>
        <w:t xml:space="preserve">Topic 3 (Information):</w:t>
      </w:r>
      <w:r>
        <w:rPr>
          <w:rFonts w:ascii="Times New Roman" w:cs="Times New Roman" w:eastAsia="Times New Roman" w:hAnsi="Times New Roman"/>
          <w:sz w:val="24"/>
          <w:szCs w:val="24"/>
        </w:rPr>
        <w:t xml:space="preserve"> Defendant's policies and practices governing participant communications with family, friends, and outside parties, including any monitoring, censorship, or restriction of mail, telephone, and electronic communications.</w:t>
      </w:r>
    </w:p>
    <w:p>
      <w:pPr>
        <w:spacing w:after="0" w:line="480"/>
        <w:ind w:firstLine="720"/>
      </w:pPr>
      <w:r>
        <w:rPr>
          <w:rFonts w:ascii="Times New Roman" w:cs="Times New Roman" w:eastAsia="Times New Roman" w:hAnsi="Times New Roman"/>
          <w:i/>
          <w:iCs/>
          <w:sz w:val="24"/>
          <w:szCs w:val="24"/>
        </w:rPr>
        <w:t xml:space="preserve">Topic 4 (Information):</w:t>
      </w:r>
      <w:r>
        <w:rPr>
          <w:rFonts w:ascii="Times New Roman" w:cs="Times New Roman" w:eastAsia="Times New Roman" w:hAnsi="Times New Roman"/>
          <w:sz w:val="24"/>
          <w:szCs w:val="24"/>
        </w:rPr>
        <w:t xml:space="preserve"> The creation, review, approval, and distribution of Defendant's marketing materials, including the process for ensuring the accuracy of representations made to families and referral sources.</w:t>
      </w:r>
    </w:p>
    <w:p>
      <w:pPr>
        <w:spacing w:after="0" w:line="480"/>
        <w:ind w:firstLine="720"/>
      </w:pPr>
      <w:r>
        <w:rPr>
          <w:rFonts w:ascii="Times New Roman" w:cs="Times New Roman" w:eastAsia="Times New Roman" w:hAnsi="Times New Roman"/>
          <w:i/>
          <w:iCs/>
          <w:sz w:val="24"/>
          <w:szCs w:val="24"/>
        </w:rPr>
        <w:t xml:space="preserve">Topic 5 (Thought):</w:t>
      </w:r>
      <w:r>
        <w:rPr>
          <w:rFonts w:ascii="Times New Roman" w:cs="Times New Roman" w:eastAsia="Times New Roman" w:hAnsi="Times New Roman"/>
          <w:sz w:val="24"/>
          <w:szCs w:val="24"/>
        </w:rPr>
        <w:t xml:space="preserve"> Defendant's therapeutic model, program philosophy, or operational approach, including the theoretical basis for the model and any studies, evaluations, or outcome data supporting its efficacy.</w:t>
      </w:r>
    </w:p>
    <w:p>
      <w:pPr>
        <w:spacing w:after="0" w:line="480"/>
        <w:ind w:firstLine="720"/>
      </w:pPr>
      <w:r>
        <w:rPr>
          <w:rFonts w:ascii="Times New Roman" w:cs="Times New Roman" w:eastAsia="Times New Roman" w:hAnsi="Times New Roman"/>
          <w:i/>
          <w:iCs/>
          <w:sz w:val="24"/>
          <w:szCs w:val="24"/>
        </w:rPr>
        <w:t xml:space="preserve">Topic 6 (Thought):</w:t>
      </w:r>
      <w:r>
        <w:rPr>
          <w:rFonts w:ascii="Times New Roman" w:cs="Times New Roman" w:eastAsia="Times New Roman" w:hAnsi="Times New Roman"/>
          <w:sz w:val="24"/>
          <w:szCs w:val="24"/>
        </w:rPr>
        <w:t xml:space="preserve"> Defendant's group session practices, including the format, facilitation method, and any confrontation, confession, or peer accountability components.</w:t>
      </w:r>
    </w:p>
    <w:p>
      <w:pPr>
        <w:spacing w:after="0" w:line="480"/>
        <w:ind w:firstLine="720"/>
      </w:pPr>
      <w:r>
        <w:rPr>
          <w:rFonts w:ascii="Times New Roman" w:cs="Times New Roman" w:eastAsia="Times New Roman" w:hAnsi="Times New Roman"/>
          <w:i/>
          <w:iCs/>
          <w:sz w:val="24"/>
          <w:szCs w:val="24"/>
        </w:rPr>
        <w:t xml:space="preserve">Topic 7 (Emotional):</w:t>
      </w:r>
      <w:r>
        <w:rPr>
          <w:rFonts w:ascii="Times New Roman" w:cs="Times New Roman" w:eastAsia="Times New Roman" w:hAnsi="Times New Roman"/>
          <w:sz w:val="24"/>
          <w:szCs w:val="24"/>
        </w:rPr>
        <w:t xml:space="preserve"> Defendant's disciplinary practices, including all forms of punishment, sanction, or negative consequence used during the Relevant Period and the process for determining and administering discipline.</w:t>
      </w:r>
    </w:p>
    <w:p>
      <w:pPr>
        <w:spacing w:after="0" w:line="480"/>
        <w:ind w:firstLine="720"/>
      </w:pPr>
      <w:r>
        <w:rPr>
          <w:rFonts w:ascii="Times New Roman" w:cs="Times New Roman" w:eastAsia="Times New Roman" w:hAnsi="Times New Roman"/>
          <w:i/>
          <w:iCs/>
          <w:sz w:val="24"/>
          <w:szCs w:val="24"/>
        </w:rPr>
        <w:t xml:space="preserve">Topic 8 (Emotional):</w:t>
      </w:r>
      <w:r>
        <w:rPr>
          <w:rFonts w:ascii="Times New Roman" w:cs="Times New Roman" w:eastAsia="Times New Roman" w:hAnsi="Times New Roman"/>
          <w:sz w:val="24"/>
          <w:szCs w:val="24"/>
        </w:rPr>
        <w:t xml:space="preserve"> Defendant's practices regarding participants who requested to leave, withdraw, or terminate participation, including any communications, procedures, or consequences associated with such requests.</w:t>
      </w:r>
    </w:p>
    <w:p>
      <w:pPr>
        <w:spacing w:after="0" w:line="480"/>
        <w:ind w:firstLine="720"/>
      </w:pPr>
      <w:r>
        <w:rPr>
          <w:rFonts w:ascii="Times New Roman" w:cs="Times New Roman" w:eastAsia="Times New Roman" w:hAnsi="Times New Roman"/>
          <w:i/>
          <w:iCs/>
          <w:sz w:val="24"/>
          <w:szCs w:val="24"/>
        </w:rPr>
        <w:t xml:space="preserve">Topic 9 (Cross-cutting):</w:t>
      </w:r>
      <w:r>
        <w:rPr>
          <w:rFonts w:ascii="Times New Roman" w:cs="Times New Roman" w:eastAsia="Times New Roman" w:hAnsi="Times New Roman"/>
          <w:sz w:val="24"/>
          <w:szCs w:val="24"/>
        </w:rPr>
        <w:t xml:space="preserve"> All complaints, grievances, regulatory citations, lawsuits, and reports of abuse or neglect received by Defendant during the five years preceding Plaintiff's enrollment through the present.</w:t>
      </w:r>
    </w:p>
    <w:p>
      <w:pPr>
        <w:spacing w:after="0" w:line="480"/>
        <w:ind w:firstLine="720"/>
      </w:pPr>
      <w:r>
        <w:rPr>
          <w:rFonts w:ascii="Times New Roman" w:cs="Times New Roman" w:eastAsia="Times New Roman" w:hAnsi="Times New Roman"/>
          <w:i/>
          <w:iCs/>
          <w:sz w:val="24"/>
          <w:szCs w:val="24"/>
        </w:rPr>
        <w:t xml:space="preserve">Topic 10 (Cross-cutting):</w:t>
      </w:r>
      <w:r>
        <w:rPr>
          <w:rFonts w:ascii="Times New Roman" w:cs="Times New Roman" w:eastAsia="Times New Roman" w:hAnsi="Times New Roman"/>
          <w:sz w:val="24"/>
          <w:szCs w:val="24"/>
        </w:rPr>
        <w:t xml:space="preserve"> Defendant's corporate structure, including all parent entities, subsidiaries, affiliated organizations, management companies, and insurers, and the relationships among them.</w:t>
      </w:r>
    </w:p>
    <w:p>
      <w:pPr>
        <w:spacing w:after="0" w:line="480"/>
        <w:ind w:firstLine="720"/>
      </w:pPr>
      <w:r>
        <w:rPr>
          <w:rFonts w:ascii="Times New Roman" w:cs="Times New Roman" w:eastAsia="Times New Roman" w:hAnsi="Times New Roman"/>
          <w:i/>
          <w:iCs/>
          <w:sz w:val="24"/>
          <w:szCs w:val="24"/>
        </w:rPr>
        <w:t xml:space="preserve">Topic 11 (Cross-cutting):</w:t>
      </w:r>
      <w:r>
        <w:rPr>
          <w:rFonts w:ascii="Times New Roman" w:cs="Times New Roman" w:eastAsia="Times New Roman" w:hAnsi="Times New Roman"/>
          <w:sz w:val="24"/>
          <w:szCs w:val="24"/>
        </w:rPr>
        <w:t xml:space="preserve"> Defendant's record retention and destruction policies, including the types of records maintained, the retention periods for each, and any departures from the standard policy during or after Plaintiff's involvement.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Marketing Versus Operations Worksheet</w:t>
      </w:r>
    </w:p>
    <w:p>
      <w:pPr>
        <w:spacing w:after="0" w:line="480"/>
      </w:pPr>
    </w:p>
    <w:p>
      <w:pPr>
        <w:spacing w:after="0" w:line="480"/>
      </w:pPr>
      <w:r>
        <w:rPr>
          <w:rFonts w:ascii="Times New Roman" w:cs="Times New Roman" w:eastAsia="Times New Roman" w:hAnsi="Times New Roman"/>
          <w:sz w:val="24"/>
          <w:szCs w:val="24"/>
        </w:rPr>
        <w:t xml:space="preserve">Create this document during discovery. It becomes a trial exhibit.</w:t>
      </w:r>
    </w:p>
    <w:p>
      <w:pPr>
        <w:spacing w:after="0" w:line="480"/>
        <w:ind w:firstLine="720"/>
      </w:pPr>
      <w:r>
        <w:rPr>
          <w:rFonts w:ascii="Times New Roman" w:cs="Times New Roman" w:eastAsia="Times New Roman" w:hAnsi="Times New Roman"/>
          <w:i/>
          <w:iCs/>
          <w:sz w:val="24"/>
          <w:szCs w:val="24"/>
        </w:rPr>
        <w:t xml:space="preserve">Column A: Marketing claim.</w:t>
      </w:r>
      <w:r>
        <w:rPr>
          <w:rFonts w:ascii="Times New Roman" w:cs="Times New Roman" w:eastAsia="Times New Roman" w:hAnsi="Times New Roman"/>
          <w:sz w:val="24"/>
          <w:szCs w:val="24"/>
        </w:rPr>
        <w:t xml:space="preserve"> The specific representation made to families, referral sources, or the public. Include the source—brochure, website, admissions presentation—and date.</w:t>
      </w:r>
    </w:p>
    <w:p>
      <w:pPr>
        <w:spacing w:after="0" w:line="480"/>
        <w:ind w:firstLine="720"/>
      </w:pPr>
      <w:r>
        <w:rPr>
          <w:rFonts w:ascii="Times New Roman" w:cs="Times New Roman" w:eastAsia="Times New Roman" w:hAnsi="Times New Roman"/>
          <w:i/>
          <w:iCs/>
          <w:sz w:val="24"/>
          <w:szCs w:val="24"/>
        </w:rPr>
        <w:t xml:space="preserve">Column B: Supporting document.</w:t>
      </w:r>
      <w:r>
        <w:rPr>
          <w:rFonts w:ascii="Times New Roman" w:cs="Times New Roman" w:eastAsia="Times New Roman" w:hAnsi="Times New Roman"/>
          <w:sz w:val="24"/>
          <w:szCs w:val="24"/>
        </w:rPr>
        <w:t xml:space="preserve"> The exhibit number for the marketing material containing the claim.</w:t>
      </w:r>
    </w:p>
    <w:p>
      <w:pPr>
        <w:spacing w:after="0" w:line="480"/>
        <w:ind w:firstLine="720"/>
      </w:pPr>
      <w:r>
        <w:rPr>
          <w:rFonts w:ascii="Times New Roman" w:cs="Times New Roman" w:eastAsia="Times New Roman" w:hAnsi="Times New Roman"/>
          <w:i/>
          <w:iCs/>
          <w:sz w:val="24"/>
          <w:szCs w:val="24"/>
        </w:rPr>
        <w:t xml:space="preserve">Column C: Operational reality.</w:t>
      </w:r>
      <w:r>
        <w:rPr>
          <w:rFonts w:ascii="Times New Roman" w:cs="Times New Roman" w:eastAsia="Times New Roman" w:hAnsi="Times New Roman"/>
          <w:sz w:val="24"/>
          <w:szCs w:val="24"/>
        </w:rPr>
        <w:t xml:space="preserve"> The actual conditions documented in internal records during the same period.</w:t>
      </w:r>
    </w:p>
    <w:p>
      <w:pPr>
        <w:spacing w:after="0" w:line="480"/>
        <w:ind w:firstLine="720"/>
      </w:pPr>
      <w:r>
        <w:rPr>
          <w:rFonts w:ascii="Times New Roman" w:cs="Times New Roman" w:eastAsia="Times New Roman" w:hAnsi="Times New Roman"/>
          <w:i/>
          <w:iCs/>
          <w:sz w:val="24"/>
          <w:szCs w:val="24"/>
        </w:rPr>
        <w:t xml:space="preserve">Column D: Supporting document.</w:t>
      </w:r>
      <w:r>
        <w:rPr>
          <w:rFonts w:ascii="Times New Roman" w:cs="Times New Roman" w:eastAsia="Times New Roman" w:hAnsi="Times New Roman"/>
          <w:sz w:val="24"/>
          <w:szCs w:val="24"/>
        </w:rPr>
        <w:t xml:space="preserve"> The exhibit number for the internal record that contradicts the marketing claim.</w:t>
      </w:r>
    </w:p>
    <w:p>
      <w:pPr>
        <w:spacing w:after="0" w:line="480"/>
        <w:ind w:firstLine="720"/>
      </w:pPr>
      <w:r>
        <w:rPr>
          <w:rFonts w:ascii="Times New Roman" w:cs="Times New Roman" w:eastAsia="Times New Roman" w:hAnsi="Times New Roman"/>
          <w:i/>
          <w:iCs/>
          <w:sz w:val="24"/>
          <w:szCs w:val="24"/>
        </w:rPr>
        <w:t xml:space="preserve">Column E: Witness testimony.</w:t>
      </w:r>
      <w:r>
        <w:rPr>
          <w:rFonts w:ascii="Times New Roman" w:cs="Times New Roman" w:eastAsia="Times New Roman" w:hAnsi="Times New Roman"/>
          <w:sz w:val="24"/>
          <w:szCs w:val="24"/>
        </w:rPr>
        <w:t xml:space="preserve"> Deposition testimony from staff, administrators, or the corporate representative that addresses the gap.</w:t>
      </w:r>
    </w:p>
    <w:p>
      <w:pPr>
        <w:spacing w:after="0" w:line="480"/>
        <w:ind w:firstLine="720"/>
      </w:pPr>
      <w:r>
        <w:rPr>
          <w:rFonts w:ascii="Times New Roman" w:cs="Times New Roman" w:eastAsia="Times New Roman" w:hAnsi="Times New Roman"/>
          <w:i/>
          <w:iCs/>
          <w:sz w:val="24"/>
          <w:szCs w:val="24"/>
        </w:rPr>
        <w:t xml:space="preserve">Column F: Trial use.</w:t>
      </w:r>
      <w:r>
        <w:rPr>
          <w:rFonts w:ascii="Times New Roman" w:cs="Times New Roman" w:eastAsia="Times New Roman" w:hAnsi="Times New Roman"/>
          <w:sz w:val="24"/>
          <w:szCs w:val="24"/>
        </w:rPr>
        <w:t xml:space="preserve"> How this comparison will be presented to the jury: side-by-side exhibit, impeachment of a specific witness, or closing argument theme.</w:t>
      </w:r>
    </w:p>
    <w:p>
      <w:pPr>
        <w:spacing w:after="0" w:line="480"/>
        <w:ind w:firstLine="720"/>
      </w:pPr>
      <w:r>
        <w:rPr>
          <w:rFonts w:ascii="Times New Roman" w:cs="Times New Roman" w:eastAsia="Times New Roman" w:hAnsi="Times New Roman"/>
          <w:sz w:val="24"/>
          <w:szCs w:val="24"/>
        </w:rPr>
        <w:t xml:space="preserve">Build this worksheet throughout discovery. By the time discovery closes, it should contain every provable gap between what the program promised and what it delivered. This single document organizes your fraud case, your marketing deposition, and your closing argument.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pPr>
      <w:r>
        <w:rPr>
          <w:rFonts w:ascii="Times New Roman" w:cs="Times New Roman" w:eastAsia="Times New Roman" w:hAnsi="Times New Roman"/>
          <w:sz w:val="24"/>
          <w:szCs w:val="24"/>
        </w:rPr>
        <w:t xml:space="preserve">Organize discovery by BITE category, not by discovery tool. Every document request, interrogatory, and deposition question maps to Behavior, Information, Thought, or Emotional Control. When discovery closes, your evidence is already organized for trial.</w:t>
      </w:r>
    </w:p>
    <w:p>
      <w:pPr>
        <w:spacing w:after="0" w:line="480"/>
        <w:ind w:firstLine="720"/>
      </w:pPr>
      <w:r>
        <w:rPr>
          <w:rFonts w:ascii="Times New Roman" w:cs="Times New Roman" w:eastAsia="Times New Roman" w:hAnsi="Times New Roman"/>
          <w:sz w:val="24"/>
          <w:szCs w:val="24"/>
        </w:rPr>
        <w:t xml:space="preserve">The goal of discovery is commitment, not information gathering. Lock the program into positions—admissions, denials, documents produced, documents withheld—that it will be held to at trial.</w:t>
      </w:r>
    </w:p>
    <w:p>
      <w:pPr>
        <w:spacing w:after="0" w:line="480"/>
        <w:ind w:firstLine="720"/>
      </w:pPr>
      <w:r>
        <w:rPr>
          <w:rFonts w:ascii="Times New Roman" w:cs="Times New Roman" w:eastAsia="Times New Roman" w:hAnsi="Times New Roman"/>
          <w:sz w:val="24"/>
          <w:szCs w:val="24"/>
        </w:rPr>
        <w:t xml:space="preserve">Behavior Control discovery targets: level system documentation, transport records, restraint and seclusion logs, staffing data, floor plans, and facility photographs.</w:t>
      </w:r>
    </w:p>
    <w:p>
      <w:pPr>
        <w:spacing w:after="0" w:line="480"/>
        <w:ind w:firstLine="720"/>
      </w:pPr>
      <w:r>
        <w:rPr>
          <w:rFonts w:ascii="Times New Roman" w:cs="Times New Roman" w:eastAsia="Times New Roman" w:hAnsi="Times New Roman"/>
          <w:sz w:val="24"/>
          <w:szCs w:val="24"/>
        </w:rPr>
        <w:t xml:space="preserve">Information Control discovery targets: marketing materials versus internal operations, letter censorship policies, phone monitoring procedures, parent communications, educational consultant records, and referral fee documentation.</w:t>
      </w:r>
    </w:p>
    <w:p>
      <w:pPr>
        <w:spacing w:after="0" w:line="480"/>
        <w:ind w:firstLine="720"/>
      </w:pPr>
      <w:r>
        <w:rPr>
          <w:rFonts w:ascii="Times New Roman" w:cs="Times New Roman" w:eastAsia="Times New Roman" w:hAnsi="Times New Roman"/>
          <w:sz w:val="24"/>
          <w:szCs w:val="24"/>
        </w:rPr>
        <w:t xml:space="preserve">Thought Control discovery targets: program philosophy documents, staff training manuals, group session curricula, peer reporting systems, and any ideology participants were required to adopt.</w:t>
      </w:r>
    </w:p>
    <w:p>
      <w:pPr>
        <w:spacing w:after="0" w:line="480"/>
        <w:ind w:firstLine="720"/>
      </w:pPr>
      <w:r>
        <w:rPr>
          <w:rFonts w:ascii="Times New Roman" w:cs="Times New Roman" w:eastAsia="Times New Roman" w:hAnsi="Times New Roman"/>
          <w:sz w:val="24"/>
          <w:szCs w:val="24"/>
        </w:rPr>
        <w:t xml:space="preserve">Emotional Control discovery targets: shaming practices, contact restrictions as punishment, privilege hierarchies conditioned on compliance, and exit interviews requiring affirmation of the program.</w:t>
      </w:r>
    </w:p>
    <w:p>
      <w:pPr>
        <w:spacing w:after="0" w:line="480"/>
        <w:ind w:firstLine="720"/>
      </w:pPr>
      <w:r>
        <w:rPr>
          <w:rFonts w:ascii="Times New Roman" w:cs="Times New Roman" w:eastAsia="Times New Roman" w:hAnsi="Times New Roman"/>
          <w:sz w:val="24"/>
          <w:szCs w:val="24"/>
        </w:rPr>
        <w:t xml:space="preserve">Depose from the outside in: former staff, educational consultant, transport company, then the 30(b)(6) corporate representative. The corporate representative's testimony binds the program.</w:t>
      </w:r>
    </w:p>
    <w:p>
      <w:pPr>
        <w:spacing w:after="0" w:line="480"/>
        <w:ind w:firstLine="720"/>
      </w:pPr>
      <w:r>
        <w:rPr>
          <w:rFonts w:ascii="Times New Roman" w:cs="Times New Roman" w:eastAsia="Times New Roman" w:hAnsi="Times New Roman"/>
          <w:sz w:val="24"/>
          <w:szCs w:val="24"/>
        </w:rPr>
        <w:t xml:space="preserve">The marketing-versus-operations comparison is the single most powerful discovery technique: lay the brochure next to the restraint log and ask the program to explain the difference.</w:t>
      </w:r>
    </w:p>
    <w:p>
      <w:pPr>
        <w:spacing w:after="0" w:line="480"/>
        <w:ind w:firstLine="720"/>
      </w:pPr>
      <w:r>
        <w:rPr>
          <w:rFonts w:ascii="Times New Roman" w:cs="Times New Roman" w:eastAsia="Times New Roman" w:hAnsi="Times New Roman"/>
          <w:sz w:val="24"/>
          <w:szCs w:val="24"/>
        </w:rPr>
        <w:t xml:space="preserve">AI tools can accelerate document categorization, deposition cross-referencing, gap analysis, and timeline construction—but every output must be verified against the actual evidence.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BITE-Mapped Discovery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2026-05-13T20:44:47.036Z</dcterms:created>
  <dcterms:modified xsi:type="dcterms:W3CDTF">2026-05-13T20:44:47.036Z</dcterms:modified>
</cp:coreProperties>
</file>

<file path=docProps/custom.xml><?xml version="1.0" encoding="utf-8"?>
<Properties xmlns="http://schemas.openxmlformats.org/officeDocument/2006/custom-properties" xmlns:vt="http://schemas.openxmlformats.org/officeDocument/2006/docPropsVTypes"/>
</file>