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PART III</w:t>
      </w:r>
    </w:p>
    <w:p>
      <w:pPr>
        <w:spacing w:after="0" w:line="480"/>
      </w:pPr>
    </w:p>
    <w:p>
      <w:pPr>
        <w:spacing w:after="0" w:line="480"/>
        <w:jc w:val="center"/>
      </w:pPr>
      <w:r>
        <w:rPr>
          <w:rFonts w:ascii="Times New Roman" w:cs="Times New Roman" w:eastAsia="Times New Roman" w:hAnsi="Times New Roman"/>
          <w:b/>
          <w:bCs/>
          <w:sz w:val="24"/>
          <w:szCs w:val="24"/>
        </w:rPr>
        <w:t xml:space="preserve">BUILDING THE CASE</w:t>
      </w:r>
    </w:p>
    <w:p>
      <w:pPr>
        <w:spacing w:after="0" w:line="480"/>
      </w:pPr>
    </w:p>
    <w:p>
      <w:pPr>
        <w:spacing w:after="0" w:line="480"/>
        <w:jc w:val="center"/>
      </w:pPr>
      <w:r>
        <w:rPr>
          <w:rFonts w:ascii="Times New Roman" w:cs="Times New Roman" w:eastAsia="Times New Roman" w:hAnsi="Times New Roman"/>
          <w:i/>
          <w:iCs/>
          <w:sz w:val="24"/>
          <w:szCs w:val="24"/>
        </w:rPr>
        <w:t xml:space="preserve">From first interview through complaint, discovery, experts, and defense strategy</w:t>
      </w:r>
    </w:p>
    <w:p>
      <w:pPr>
        <w:spacing w:after="0" w:line="480"/>
      </w:pPr>
    </w:p>
    <w:p>
      <w:r>
        <w:br w:type="page"/>
      </w:r>
    </w:p>
    <w:p>
      <w:pPr>
        <w:spacing w:after="0" w:line="480"/>
        <w:jc w:val="center"/>
      </w:pPr>
      <w:r>
        <w:rPr>
          <w:rFonts w:ascii="Times New Roman" w:cs="Times New Roman" w:eastAsia="Times New Roman" w:hAnsi="Times New Roman"/>
          <w:b/>
          <w:bCs/>
          <w:sz w:val="24"/>
          <w:szCs w:val="24"/>
        </w:rPr>
        <w:t xml:space="preserve">CHAPTER 10</w:t>
      </w:r>
    </w:p>
    <w:p>
      <w:pPr>
        <w:spacing w:after="0" w:line="480"/>
      </w:pPr>
    </w:p>
    <w:p>
      <w:pPr>
        <w:spacing w:after="0" w:line="480"/>
        <w:jc w:val="center"/>
      </w:pPr>
      <w:r>
        <w:rPr>
          <w:rFonts w:ascii="Times New Roman" w:cs="Times New Roman" w:eastAsia="Times New Roman" w:hAnsi="Times New Roman"/>
          <w:sz w:val="24"/>
          <w:szCs w:val="24"/>
        </w:rPr>
        <w:t xml:space="preserve">The First Interview</w:t>
      </w:r>
    </w:p>
    <w:p>
      <w:pPr>
        <w:spacing w:after="0" w:line="480"/>
        <w:jc w:val="center"/>
      </w:pPr>
      <w:r>
        <w:rPr>
          <w:rFonts w:ascii="Times New Roman" w:cs="Times New Roman" w:eastAsia="Times New Roman" w:hAnsi="Times New Roman"/>
          <w:i/>
          <w:iCs/>
          <w:sz w:val="24"/>
          <w:szCs w:val="24"/>
        </w:rPr>
        <w:t xml:space="preserve">Converting Narrative Chaos into Proof</w:t>
      </w:r>
    </w:p>
    <w:p>
      <w:pPr>
        <w:spacing w:after="0" w:line="480"/>
      </w:pPr>
    </w:p>
    <w:p>
      <w:pPr>
        <w:spacing w:after="0" w:line="480"/>
      </w:pPr>
      <w:r>
        <w:rPr>
          <w:rFonts w:ascii="Times New Roman" w:cs="Times New Roman" w:eastAsia="Times New Roman" w:hAnsi="Times New Roman"/>
          <w:sz w:val="24"/>
          <w:szCs w:val="24"/>
        </w:rPr>
        <w:t xml:space="preserve">The young woman sitting across from me had been talking for forty minutes without pausing. She had jumped from her enrollment at fifteen to her discharge at seventeen, back to something that happened in her second month, forward to a hospitalization six years later, sideways to a staff member she had not mentioned before, and then back to the transport—the night strangers came into her bedroom and put her in a van. Her narrative was a tangle. Her timeline was fractured. She contradicted herself twice, corrected herself three times, and at one point stopped mid-sentence to stare at the wall for nearly a minute.</w:t>
      </w:r>
    </w:p>
    <w:p>
      <w:pPr>
        <w:spacing w:after="0" w:line="480"/>
        <w:ind w:firstLine="720"/>
      </w:pPr>
      <w:r>
        <w:rPr>
          <w:rFonts w:ascii="Times New Roman" w:cs="Times New Roman" w:eastAsia="Times New Roman" w:hAnsi="Times New Roman"/>
          <w:sz w:val="24"/>
          <w:szCs w:val="24"/>
        </w:rPr>
        <w:t xml:space="preserve">She was not crazy. She was a survivor of a residential treatment program that had subjected her to two years of behavioral control, isolation, forced confessions, and peer surveillance. Her narrative was fragmented because trauma fragments narrative. Her contradictions were not lies—they were the natural product of a memory system that had been overwhelmed during the years when it was still developing. Her silence was not evasion. It was dissociation.</w:t>
      </w:r>
    </w:p>
    <w:p>
      <w:pPr>
        <w:spacing w:after="0" w:line="480"/>
        <w:ind w:firstLine="720"/>
      </w:pPr>
      <w:r>
        <w:rPr>
          <w:rFonts w:ascii="Times New Roman" w:cs="Times New Roman" w:eastAsia="Times New Roman" w:hAnsi="Times New Roman"/>
          <w:sz w:val="24"/>
          <w:szCs w:val="24"/>
        </w:rPr>
        <w:t xml:space="preserve">But if I had not understood that, I would have let her walk out of my office. And she would have become another survivor who tried to get help from the legal system and was told, directly or indirectly, that her story did not make sense.</w:t>
      </w:r>
    </w:p>
    <w:p>
      <w:pPr>
        <w:spacing w:after="0" w:line="480"/>
        <w:ind w:firstLine="720"/>
      </w:pPr>
      <w:r>
        <w:rPr>
          <w:rFonts w:ascii="Times New Roman" w:cs="Times New Roman" w:eastAsia="Times New Roman" w:hAnsi="Times New Roman"/>
          <w:sz w:val="24"/>
          <w:szCs w:val="24"/>
        </w:rPr>
        <w:t xml:space="preserve">The first interview in a TTI case is the most important hour you will spend on the case. It is where you decide whether to take it. It is where the client decides whether to trust you. And it is where, if you do it right, you lay the foundation for everything that follows—complaint, discovery, deposition, expert testimony, and trial.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TTI Clients Present Differently</w:t>
      </w:r>
    </w:p>
    <w:p>
      <w:pPr>
        <w:spacing w:after="0" w:line="480"/>
      </w:pPr>
    </w:p>
    <w:p>
      <w:pPr>
        <w:spacing w:after="0" w:line="480"/>
      </w:pPr>
      <w:r>
        <w:rPr>
          <w:rFonts w:ascii="Times New Roman" w:cs="Times New Roman" w:eastAsia="Times New Roman" w:hAnsi="Times New Roman"/>
          <w:sz w:val="24"/>
          <w:szCs w:val="24"/>
        </w:rPr>
        <w:t xml:space="preserve">If you are accustomed to personal injury intake, you are accustomed to a certain kind of client. A car accident victim can tell you the date, the intersection, the sequence of impacts. A medical malpractice plaintiff can identify the procedure, the complication, and when the symptoms began. These clients present linear narratives because they experienced linear events.</w:t>
      </w:r>
    </w:p>
    <w:p>
      <w:pPr>
        <w:spacing w:after="0" w:line="480"/>
        <w:ind w:firstLine="720"/>
      </w:pPr>
      <w:r>
        <w:rPr>
          <w:rFonts w:ascii="Times New Roman" w:cs="Times New Roman" w:eastAsia="Times New Roman" w:hAnsi="Times New Roman"/>
          <w:sz w:val="24"/>
          <w:szCs w:val="24"/>
        </w:rPr>
        <w:t xml:space="preserve">TTI survivors almost never present this way. There are several reasons, and understanding them is not optional—it is the difference between recognizing a viable case and dismissing one.</w:t>
      </w:r>
    </w:p>
    <w:p>
      <w:pPr>
        <w:spacing w:after="0" w:before="240" w:line="480"/>
      </w:pPr>
      <w:r>
        <w:rPr>
          <w:rFonts w:ascii="Times New Roman" w:cs="Times New Roman" w:eastAsia="Times New Roman" w:hAnsi="Times New Roman"/>
          <w:b/>
          <w:bCs/>
          <w:i/>
          <w:iCs/>
          <w:sz w:val="24"/>
          <w:szCs w:val="24"/>
        </w:rPr>
        <w:t xml:space="preserve">Trauma Fragments Memory</w:t>
      </w:r>
    </w:p>
    <w:p>
      <w:pPr>
        <w:spacing w:after="0" w:line="480"/>
        <w:ind w:firstLine="720"/>
      </w:pPr>
      <w:r>
        <w:rPr>
          <w:rFonts w:ascii="Times New Roman" w:cs="Times New Roman" w:eastAsia="Times New Roman" w:hAnsi="Times New Roman"/>
          <w:sz w:val="24"/>
          <w:szCs w:val="24"/>
        </w:rPr>
        <w:t xml:space="preserve">Complex trauma—the kind produced by prolonged exposure to coercive environments during adolescence—disrupts the brain's ability to encode and retrieve memories sequentially. Survivors may remember sensory details vividly—the smell of the isolation room, the sound of a door locking, the texture of the mat they slept on during wilderness—while being unable to place those details in a reliable chronological sequence. This is not fabrication. It is the neuroscience of traumatic memory, well-documented by van der Kolk, Herman, and Perry. The brain under sustained threat prioritizes survival encoding over narrative encoding.</w:t>
      </w:r>
    </w:p>
    <w:p>
      <w:pPr>
        <w:spacing w:after="0" w:before="240" w:line="480"/>
      </w:pPr>
      <w:r>
        <w:rPr>
          <w:rFonts w:ascii="Times New Roman" w:cs="Times New Roman" w:eastAsia="Times New Roman" w:hAnsi="Times New Roman"/>
          <w:b/>
          <w:bCs/>
          <w:i/>
          <w:iCs/>
          <w:sz w:val="24"/>
          <w:szCs w:val="24"/>
        </w:rPr>
        <w:t xml:space="preserve">The Program Deliberately Confused Them</w:t>
      </w:r>
    </w:p>
    <w:p>
      <w:pPr>
        <w:spacing w:after="0" w:line="480"/>
        <w:ind w:firstLine="720"/>
      </w:pPr>
      <w:r>
        <w:rPr>
          <w:rFonts w:ascii="Times New Roman" w:cs="Times New Roman" w:eastAsia="Times New Roman" w:hAnsi="Times New Roman"/>
          <w:sz w:val="24"/>
          <w:szCs w:val="24"/>
        </w:rPr>
        <w:t xml:space="preserve">TTI programs manipulate time, identity, and perception as control mechanisms. Level systems that reset progress without explanation. Rules that change arbitrarily. Punishments disconnected from any clear infraction. Forced confessions that require the child to accept the program's narrative as their own. By the time the child leaves, their internal timeline has been scrambled by design—not as an accidental byproduct of the program, but as a feature of its control architecture. The child who cannot construct a coherent account of what happened to them is a child who cannot complain effectively.</w:t>
      </w:r>
    </w:p>
    <w:p>
      <w:pPr>
        <w:spacing w:after="0" w:before="240" w:line="480"/>
      </w:pPr>
      <w:r>
        <w:rPr>
          <w:rFonts w:ascii="Times New Roman" w:cs="Times New Roman" w:eastAsia="Times New Roman" w:hAnsi="Times New Roman"/>
          <w:b/>
          <w:bCs/>
          <w:i/>
          <w:iCs/>
          <w:sz w:val="24"/>
          <w:szCs w:val="24"/>
        </w:rPr>
        <w:t xml:space="preserve">The Fawn Response</w:t>
      </w:r>
    </w:p>
    <w:p>
      <w:pPr>
        <w:spacing w:after="0" w:line="480"/>
        <w:ind w:firstLine="720"/>
      </w:pPr>
      <w:r>
        <w:rPr>
          <w:rFonts w:ascii="Times New Roman" w:cs="Times New Roman" w:eastAsia="Times New Roman" w:hAnsi="Times New Roman"/>
          <w:sz w:val="24"/>
          <w:szCs w:val="24"/>
        </w:rPr>
        <w:t xml:space="preserve">Walker's four trauma responses—fight, flight, freeze, and fawn—all appear in TTI survivors, but fawning is the one most likely to mislead a lawyer. Fawning is the survival strategy of compliance: agreeing with the person in authority, minimizing your own experience, telling the authority figure what you think they want to hear. A TTI survivor sitting across from a lawyer—another authority figure, in another institutional setting—may instinctively fawn. She may downplay the severity of what happened. She may say "it wasn't that bad" or "I probably deserved it" or "other kids had it worse." She is not being dishonest. She is performing the survival behavior the program trained into her.</w:t>
      </w:r>
    </w:p>
    <w:p>
      <w:pPr>
        <w:spacing w:after="0" w:before="240" w:line="480"/>
      </w:pPr>
      <w:r>
        <w:rPr>
          <w:rFonts w:ascii="Times New Roman" w:cs="Times New Roman" w:eastAsia="Times New Roman" w:hAnsi="Times New Roman"/>
          <w:b/>
          <w:bCs/>
          <w:i/>
          <w:iCs/>
          <w:sz w:val="24"/>
          <w:szCs w:val="24"/>
        </w:rPr>
        <w:t xml:space="preserve">Shame Distorts Disclosure</w:t>
      </w:r>
    </w:p>
    <w:p>
      <w:pPr>
        <w:spacing w:after="0" w:line="480"/>
        <w:ind w:firstLine="720"/>
      </w:pPr>
      <w:r>
        <w:rPr>
          <w:rFonts w:ascii="Times New Roman" w:cs="Times New Roman" w:eastAsia="Times New Roman" w:hAnsi="Times New Roman"/>
          <w:sz w:val="24"/>
          <w:szCs w:val="24"/>
        </w:rPr>
        <w:t xml:space="preserve">Many TTI survivors were told—explicitly, repeatedly, by people in authority—that they were responsible for their own experience. That they were broken. That they were manipulative. That if they told anyone what happened, no one would believe them because they were the kind of kid who ended up in a program. This internalized shame does not disappear when the survivor enters your office. It shapes what they tell you, how they tell it, and what they hold back. Expect it. Work around it. Do not mistake it for weakness of claim.</w:t>
      </w:r>
    </w:p>
    <w:p>
      <w:pPr>
        <w:spacing w:after="0" w:before="240" w:line="480"/>
      </w:pPr>
      <w:r>
        <w:rPr>
          <w:rFonts w:ascii="Times New Roman" w:cs="Times New Roman" w:eastAsia="Times New Roman" w:hAnsi="Times New Roman"/>
          <w:b/>
          <w:bCs/>
          <w:i/>
          <w:iCs/>
          <w:sz w:val="24"/>
          <w:szCs w:val="24"/>
        </w:rPr>
        <w:t xml:space="preserve">Normalization Obscures Harm</w:t>
      </w:r>
    </w:p>
    <w:p>
      <w:pPr>
        <w:spacing w:after="0" w:line="480"/>
        <w:ind w:firstLine="720"/>
      </w:pPr>
      <w:r>
        <w:rPr>
          <w:rFonts w:ascii="Times New Roman" w:cs="Times New Roman" w:eastAsia="Times New Roman" w:hAnsi="Times New Roman"/>
          <w:sz w:val="24"/>
          <w:szCs w:val="24"/>
        </w:rPr>
        <w:t xml:space="preserve">Survivors who spent months or years in a coercive program often do not recognize specific practices as abusive. A former wilderness participant may describe being denied food as a motivational tool, sleeping on the ground in freezing temperatures as a character-building exercise, or being forced to carry a heavy pack until she collapsed as a lesson in perseverance. She may not identify these as abuse because the program told her they were therapy. Your job is to hear the facts underneath the normalization and recognize the legal claims they support.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Trauma-Informed Intake: The Method</w:t>
      </w:r>
    </w:p>
    <w:p>
      <w:pPr>
        <w:spacing w:after="0" w:line="480"/>
      </w:pPr>
    </w:p>
    <w:p>
      <w:pPr>
        <w:spacing w:after="0" w:line="480"/>
      </w:pPr>
      <w:r>
        <w:rPr>
          <w:rFonts w:ascii="Times New Roman" w:cs="Times New Roman" w:eastAsia="Times New Roman" w:hAnsi="Times New Roman"/>
          <w:sz w:val="24"/>
          <w:szCs w:val="24"/>
        </w:rPr>
        <w:t xml:space="preserve">Trauma-informed intake is not about being soft. It is about being effective. A client who shuts down because your interview triggered a trauma response has not given you the information you need. A client who dissociates because you pressed too hard on a topic she was not ready to discuss has not helped your case. Trauma-informed intake is a method for getting the most complete, most accurate information from a client whose neurological wiring actively resists the kind of organized recall that litigation demands.</w:t>
      </w:r>
    </w:p>
    <w:p>
      <w:pPr>
        <w:spacing w:after="0" w:before="240" w:line="480"/>
      </w:pPr>
      <w:r>
        <w:rPr>
          <w:rFonts w:ascii="Times New Roman" w:cs="Times New Roman" w:eastAsia="Times New Roman" w:hAnsi="Times New Roman"/>
          <w:b/>
          <w:bCs/>
          <w:i/>
          <w:iCs/>
          <w:sz w:val="24"/>
          <w:szCs w:val="24"/>
        </w:rPr>
        <w:t xml:space="preserve">Control the Environment</w:t>
      </w:r>
    </w:p>
    <w:p>
      <w:pPr>
        <w:spacing w:after="0" w:line="480"/>
        <w:ind w:firstLine="720"/>
      </w:pPr>
      <w:r>
        <w:rPr>
          <w:rFonts w:ascii="Times New Roman" w:cs="Times New Roman" w:eastAsia="Times New Roman" w:hAnsi="Times New Roman"/>
          <w:sz w:val="24"/>
          <w:szCs w:val="24"/>
        </w:rPr>
        <w:t xml:space="preserve">Give the client choices from the moment they arrive. Where to sit. Whether the door is open or closed. Whether water is available. Whether they want to take breaks. These choices seem trivial, but for someone who spent months or years in an environment where every choice was made for them, the act of choosing is the first signal that this encounter is different.</w:t>
      </w:r>
    </w:p>
    <w:p>
      <w:pPr>
        <w:spacing w:after="0" w:before="240" w:line="480"/>
      </w:pPr>
      <w:r>
        <w:rPr>
          <w:rFonts w:ascii="Times New Roman" w:cs="Times New Roman" w:eastAsia="Times New Roman" w:hAnsi="Times New Roman"/>
          <w:b/>
          <w:bCs/>
          <w:i/>
          <w:iCs/>
          <w:sz w:val="24"/>
          <w:szCs w:val="24"/>
        </w:rPr>
        <w:t xml:space="preserve">Set the Frame</w:t>
      </w:r>
    </w:p>
    <w:p>
      <w:pPr>
        <w:spacing w:after="0" w:line="480"/>
        <w:ind w:firstLine="720"/>
      </w:pPr>
      <w:r>
        <w:rPr>
          <w:rFonts w:ascii="Times New Roman" w:cs="Times New Roman" w:eastAsia="Times New Roman" w:hAnsi="Times New Roman"/>
          <w:sz w:val="24"/>
          <w:szCs w:val="24"/>
        </w:rPr>
        <w:t xml:space="preserve">Before you ask a single substantive question, explain what will happen. Tell them how long the interview will last. Tell them that they can stop at any time. Tell them that there are no wrong answers. Tell them that you are not testing their memory and that gaps are normal. Say this explicitly: "The way you remember things—out of order, in fragments, with some parts vivid and some parts blank—is exactly what I expect from someone who went through what you went through. It does not mean your memory is bad. It means your brain was doing its job under impossible conditions."</w:t>
      </w:r>
    </w:p>
    <w:p>
      <w:pPr>
        <w:spacing w:after="0" w:before="240" w:line="480"/>
      </w:pPr>
      <w:r>
        <w:rPr>
          <w:rFonts w:ascii="Times New Roman" w:cs="Times New Roman" w:eastAsia="Times New Roman" w:hAnsi="Times New Roman"/>
          <w:b/>
          <w:bCs/>
          <w:i/>
          <w:iCs/>
          <w:sz w:val="24"/>
          <w:szCs w:val="24"/>
        </w:rPr>
        <w:t xml:space="preserve">Follow, Then Lead</w:t>
      </w:r>
    </w:p>
    <w:p>
      <w:pPr>
        <w:spacing w:after="0" w:line="480"/>
        <w:ind w:firstLine="720"/>
      </w:pPr>
      <w:r>
        <w:rPr>
          <w:rFonts w:ascii="Times New Roman" w:cs="Times New Roman" w:eastAsia="Times New Roman" w:hAnsi="Times New Roman"/>
          <w:sz w:val="24"/>
          <w:szCs w:val="24"/>
        </w:rPr>
        <w:t xml:space="preserve">Let the client begin where they want to begin. Do not force a chronological structure in the first pass. Whatever they lead with—the worst moment, the transport, the aftermath, a seemingly tangential detail about a staff member—is where their mind has organized access to the story. Start there. Listen. Take minimal notes. Focus on understanding.</w:t>
      </w:r>
    </w:p>
    <w:p>
      <w:pPr>
        <w:spacing w:after="0" w:line="480"/>
        <w:ind w:firstLine="720"/>
      </w:pPr>
      <w:r>
        <w:rPr>
          <w:rFonts w:ascii="Times New Roman" w:cs="Times New Roman" w:eastAsia="Times New Roman" w:hAnsi="Times New Roman"/>
          <w:sz w:val="24"/>
          <w:szCs w:val="24"/>
        </w:rPr>
        <w:t xml:space="preserve">After they have said what they need to say in their own order, you can begin to lead. Ask clarifying questions. Gently establish a rough chronology. Fill in gaps. But always return control to the client when you sense them tightening. The interview is a collaboration, not an interrogation.</w:t>
      </w:r>
    </w:p>
    <w:p>
      <w:pPr>
        <w:spacing w:after="0" w:before="240" w:line="480"/>
      </w:pPr>
      <w:r>
        <w:rPr>
          <w:rFonts w:ascii="Times New Roman" w:cs="Times New Roman" w:eastAsia="Times New Roman" w:hAnsi="Times New Roman"/>
          <w:b/>
          <w:bCs/>
          <w:i/>
          <w:iCs/>
          <w:sz w:val="24"/>
          <w:szCs w:val="24"/>
        </w:rPr>
        <w:t xml:space="preserve">Ask About the System, Not Just the Events</w:t>
      </w:r>
    </w:p>
    <w:p>
      <w:pPr>
        <w:spacing w:after="0" w:line="480"/>
        <w:ind w:firstLine="720"/>
      </w:pPr>
      <w:r>
        <w:rPr>
          <w:rFonts w:ascii="Times New Roman" w:cs="Times New Roman" w:eastAsia="Times New Roman" w:hAnsi="Times New Roman"/>
          <w:sz w:val="24"/>
          <w:szCs w:val="24"/>
        </w:rPr>
        <w:t xml:space="preserve">This is the critical distinction. An intake for a single-event tort asks: what happened to you? An intake for a TTI case asks: </w:t>
      </w:r>
      <w:r>
        <w:rPr>
          <w:rFonts w:ascii="Times New Roman" w:cs="Times New Roman" w:eastAsia="Times New Roman" w:hAnsi="Times New Roman"/>
          <w:i/>
          <w:iCs/>
          <w:sz w:val="24"/>
          <w:szCs w:val="24"/>
        </w:rPr>
        <w:t xml:space="preserve">how did the system work?</w:t>
      </w:r>
      <w:r>
        <w:rPr>
          <w:rFonts w:ascii="Times New Roman" w:cs="Times New Roman" w:eastAsia="Times New Roman" w:hAnsi="Times New Roman"/>
          <w:sz w:val="24"/>
          <w:szCs w:val="24"/>
        </w:rPr>
        <w:t xml:space="preserve"> Your questions should draw out the operational architecture of the program—the level system, the communication restrictions, the punishment hierarchy, the language the program used for its own practices. You are not just documenting what happened to this client. You are mapping the coercive system that produced the harm. The system is the defendant.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Five Things You Need from the First Interview</w:t>
      </w:r>
    </w:p>
    <w:p>
      <w:pPr>
        <w:spacing w:after="0" w:line="480"/>
      </w:pPr>
    </w:p>
    <w:p>
      <w:pPr>
        <w:spacing w:after="0" w:line="480"/>
      </w:pPr>
      <w:r>
        <w:rPr>
          <w:rFonts w:ascii="Times New Roman" w:cs="Times New Roman" w:eastAsia="Times New Roman" w:hAnsi="Times New Roman"/>
          <w:sz w:val="24"/>
          <w:szCs w:val="24"/>
        </w:rPr>
        <w:t xml:space="preserve">Every TTI intake should produce five categories of information. You may not get all five in the first sitting. But you should be working toward each one.</w:t>
      </w:r>
    </w:p>
    <w:p>
      <w:pPr>
        <w:spacing w:after="0" w:before="240" w:line="480"/>
      </w:pPr>
      <w:r>
        <w:rPr>
          <w:rFonts w:ascii="Times New Roman" w:cs="Times New Roman" w:eastAsia="Times New Roman" w:hAnsi="Times New Roman"/>
          <w:b/>
          <w:bCs/>
          <w:i/>
          <w:iCs/>
          <w:sz w:val="24"/>
          <w:szCs w:val="24"/>
        </w:rPr>
        <w:t xml:space="preserve">1. The Chronology</w:t>
      </w:r>
    </w:p>
    <w:p>
      <w:pPr>
        <w:spacing w:after="0" w:line="480"/>
        <w:ind w:firstLine="720"/>
      </w:pPr>
      <w:r>
        <w:rPr>
          <w:rFonts w:ascii="Times New Roman" w:cs="Times New Roman" w:eastAsia="Times New Roman" w:hAnsi="Times New Roman"/>
          <w:sz w:val="24"/>
          <w:szCs w:val="24"/>
        </w:rPr>
        <w:t xml:space="preserve">A rough timeline of the client's involvement with the program. When were they enrolled? When were they discharged? Were they in multiple programs? What were the major events or phases? Do not push for precision on dates—push for sequence. What happened first, second, third. You will build the precise chronology later through records and corroboration. What you need now is the skeleton.</w:t>
      </w:r>
    </w:p>
    <w:p>
      <w:pPr>
        <w:spacing w:after="0" w:before="240" w:line="480"/>
      </w:pPr>
      <w:r>
        <w:rPr>
          <w:rFonts w:ascii="Times New Roman" w:cs="Times New Roman" w:eastAsia="Times New Roman" w:hAnsi="Times New Roman"/>
          <w:b/>
          <w:bCs/>
          <w:i/>
          <w:iCs/>
          <w:sz w:val="24"/>
          <w:szCs w:val="24"/>
        </w:rPr>
        <w:t xml:space="preserve">2. The Entity Map</w:t>
      </w:r>
    </w:p>
    <w:p>
      <w:pPr>
        <w:spacing w:after="0" w:line="480"/>
        <w:ind w:firstLine="720"/>
      </w:pPr>
      <w:r>
        <w:rPr>
          <w:rFonts w:ascii="Times New Roman" w:cs="Times New Roman" w:eastAsia="Times New Roman" w:hAnsi="Times New Roman"/>
          <w:sz w:val="24"/>
          <w:szCs w:val="24"/>
        </w:rPr>
        <w:t xml:space="preserve">Who ran this program? Who owned it? Who referred the client? Was there a parent company, an affiliated network, or a corporate structure that connected this program to others? Was a transport company involved? Who was the educational consultant? The entity map determines who you can sue and where the money is. Start building it in the first interview.</w:t>
      </w:r>
    </w:p>
    <w:p>
      <w:pPr>
        <w:spacing w:after="0" w:line="480"/>
        <w:ind w:firstLine="720"/>
      </w:pPr>
      <w:r>
        <w:rPr>
          <w:rFonts w:ascii="Times New Roman" w:cs="Times New Roman" w:eastAsia="Times New Roman" w:hAnsi="Times New Roman"/>
          <w:sz w:val="24"/>
          <w:szCs w:val="24"/>
        </w:rPr>
        <w:t xml:space="preserve">TTI entity structures are often deliberately complex. A residential treatment center may be operated by one LLC, owned by another, managed by a third, and licensed under a fourth. The real estate is held by a separate entity. The transport company is a nominally independent contractor that works exclusively with programs in the same corporate family. Private equity firms have acquired and consolidated TTI programs, adding additional layers of corporate insulation. Your job is to trace every thread until you find the entity with assets—and the entity with insurance.</w:t>
      </w:r>
    </w:p>
    <w:p>
      <w:pPr>
        <w:spacing w:after="0" w:before="240" w:line="480"/>
      </w:pPr>
      <w:r>
        <w:rPr>
          <w:rFonts w:ascii="Times New Roman" w:cs="Times New Roman" w:eastAsia="Times New Roman" w:hAnsi="Times New Roman"/>
          <w:b/>
          <w:bCs/>
          <w:i/>
          <w:iCs/>
          <w:sz w:val="24"/>
          <w:szCs w:val="24"/>
        </w:rPr>
        <w:t xml:space="preserve">3. The Control Map</w:t>
      </w:r>
    </w:p>
    <w:p>
      <w:pPr>
        <w:spacing w:after="0" w:line="480"/>
        <w:ind w:firstLine="720"/>
      </w:pPr>
      <w:r>
        <w:rPr>
          <w:rFonts w:ascii="Times New Roman" w:cs="Times New Roman" w:eastAsia="Times New Roman" w:hAnsi="Times New Roman"/>
          <w:sz w:val="24"/>
          <w:szCs w:val="24"/>
        </w:rPr>
        <w:t xml:space="preserve">This is unique to TTI cases. The control map documents how the program exercised behavioral, information, thought, and emotional control over the client—the BITE framework from Part I. Ask about daily schedules. Ask about rules. Ask about what happened when rules were broken. Ask about communication restrictions. Ask about the level system. Ask about isolation, restraint, forced labor, forced confessions, and peer surveillance. Ask about the language the program used.</w:t>
      </w:r>
    </w:p>
    <w:p>
      <w:pPr>
        <w:spacing w:after="0" w:line="480"/>
        <w:ind w:firstLine="720"/>
      </w:pPr>
      <w:r>
        <w:rPr>
          <w:rFonts w:ascii="Times New Roman" w:cs="Times New Roman" w:eastAsia="Times New Roman" w:hAnsi="Times New Roman"/>
          <w:sz w:val="24"/>
          <w:szCs w:val="24"/>
        </w:rPr>
        <w:t xml:space="preserve">The control map is not a narrative. It is a grid. BITE category by BITE category, you are documenting the coercive system the client experienced. This grid will become your complaint structure, your discovery architecture, and your trial framework.</w:t>
      </w:r>
    </w:p>
    <w:p>
      <w:pPr>
        <w:spacing w:after="0" w:before="240" w:line="480"/>
      </w:pPr>
      <w:r>
        <w:rPr>
          <w:rFonts w:ascii="Times New Roman" w:cs="Times New Roman" w:eastAsia="Times New Roman" w:hAnsi="Times New Roman"/>
          <w:b/>
          <w:bCs/>
          <w:i/>
          <w:iCs/>
          <w:sz w:val="24"/>
          <w:szCs w:val="24"/>
        </w:rPr>
        <w:t xml:space="preserve">4. The Damages Map</w:t>
      </w:r>
    </w:p>
    <w:p>
      <w:pPr>
        <w:spacing w:after="0" w:line="480"/>
        <w:ind w:firstLine="720"/>
      </w:pPr>
      <w:r>
        <w:rPr>
          <w:rFonts w:ascii="Times New Roman" w:cs="Times New Roman" w:eastAsia="Times New Roman" w:hAnsi="Times New Roman"/>
          <w:sz w:val="24"/>
          <w:szCs w:val="24"/>
        </w:rPr>
        <w:t xml:space="preserve">What has this client's life looked like since leaving the program? Employment history. Relationships. Education. Mental health treatment. Substance use. Physical health consequences. Financial impact. You are not diagnosing anything in the first interview. You are identifying the categories of harm that will need expert testimony, medical records, and quantification. The damages map tells you what kind of case this is: a case about a broken career, a broken marriage, a broken body, a broken mind—or, in many TTI cases, all of these at once.</w:t>
      </w:r>
    </w:p>
    <w:p>
      <w:pPr>
        <w:spacing w:after="0" w:before="240" w:line="480"/>
      </w:pPr>
      <w:r>
        <w:rPr>
          <w:rFonts w:ascii="Times New Roman" w:cs="Times New Roman" w:eastAsia="Times New Roman" w:hAnsi="Times New Roman"/>
          <w:b/>
          <w:bCs/>
          <w:i/>
          <w:iCs/>
          <w:sz w:val="24"/>
          <w:szCs w:val="24"/>
        </w:rPr>
        <w:t xml:space="preserve">5. Corroboration Leads</w:t>
      </w:r>
    </w:p>
    <w:p>
      <w:pPr>
        <w:spacing w:after="0" w:line="480"/>
        <w:ind w:firstLine="720"/>
      </w:pPr>
      <w:r>
        <w:rPr>
          <w:rFonts w:ascii="Times New Roman" w:cs="Times New Roman" w:eastAsia="Times New Roman" w:hAnsi="Times New Roman"/>
          <w:sz w:val="24"/>
          <w:szCs w:val="24"/>
        </w:rPr>
        <w:t xml:space="preserve">Who else was there? Who else might have records? Are there other survivors the client is in contact with? Are there former staff members who left under bad terms? Are there regulatory actions, media reports, or prior lawsuits against this program? Every corroboration lead is a potential thread that, if pulled, can transform an individual case into a pattern case—and pattern cases are the ones that produce systemic accountability.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TTI-Specific Intake: The Questions That Matter</w:t>
      </w:r>
    </w:p>
    <w:p>
      <w:pPr>
        <w:spacing w:after="0" w:line="480"/>
      </w:pPr>
    </w:p>
    <w:p>
      <w:pPr>
        <w:spacing w:after="0" w:line="480"/>
      </w:pPr>
      <w:r>
        <w:rPr>
          <w:rFonts w:ascii="Times New Roman" w:cs="Times New Roman" w:eastAsia="Times New Roman" w:hAnsi="Times New Roman"/>
          <w:sz w:val="24"/>
          <w:szCs w:val="24"/>
        </w:rPr>
        <w:t xml:space="preserve">The BITE model provides the framework. These questions draw out the facts.</w:t>
      </w:r>
    </w:p>
    <w:p>
      <w:pPr>
        <w:spacing w:after="0" w:before="240" w:line="480"/>
      </w:pPr>
      <w:r>
        <w:rPr>
          <w:rFonts w:ascii="Times New Roman" w:cs="Times New Roman" w:eastAsia="Times New Roman" w:hAnsi="Times New Roman"/>
          <w:b/>
          <w:bCs/>
          <w:i/>
          <w:iCs/>
          <w:sz w:val="24"/>
          <w:szCs w:val="24"/>
        </w:rPr>
        <w:t xml:space="preserve">Behavior Control</w:t>
      </w:r>
    </w:p>
    <w:p>
      <w:pPr>
        <w:spacing w:after="0" w:line="480"/>
        <w:ind w:firstLine="720"/>
      </w:pPr>
      <w:r>
        <w:rPr>
          <w:rFonts w:ascii="Times New Roman" w:cs="Times New Roman" w:eastAsia="Times New Roman" w:hAnsi="Times New Roman"/>
          <w:sz w:val="24"/>
          <w:szCs w:val="24"/>
        </w:rPr>
        <w:t xml:space="preserve">"Walk me through a typical day from the moment you woke up to the moment you went to sleep." "Were there rules about what you could eat, wear, or do during free time? What happened if you broke them?" "Was there a system of levels, phases, or ranks? How did you move up or down?" "Were you ever physically restrained, placed in isolation, or confined to a specific area?" "Were there rules about who you could talk to, sit with, or spend time with?"</w:t>
      </w:r>
    </w:p>
    <w:p>
      <w:pPr>
        <w:spacing w:after="0" w:before="240" w:line="480"/>
      </w:pPr>
      <w:r>
        <w:rPr>
          <w:rFonts w:ascii="Times New Roman" w:cs="Times New Roman" w:eastAsia="Times New Roman" w:hAnsi="Times New Roman"/>
          <w:b/>
          <w:bCs/>
          <w:i/>
          <w:iCs/>
          <w:sz w:val="24"/>
          <w:szCs w:val="24"/>
        </w:rPr>
        <w:t xml:space="preserve">Information Control</w:t>
      </w:r>
    </w:p>
    <w:p>
      <w:pPr>
        <w:spacing w:after="0" w:line="480"/>
        <w:ind w:firstLine="720"/>
      </w:pPr>
      <w:r>
        <w:rPr>
          <w:rFonts w:ascii="Times New Roman" w:cs="Times New Roman" w:eastAsia="Times New Roman" w:hAnsi="Times New Roman"/>
          <w:sz w:val="24"/>
          <w:szCs w:val="24"/>
        </w:rPr>
        <w:t xml:space="preserve">"Were you allowed to call home? How often? Was anyone listening?" "Could you send and receive mail? Was it read before it was given to you?" "Were you allowed to use the internet, watch television, or read outside materials?" "What were you told about what your parents knew? What were your parents told about what was happening to you?" "Were there things you were told not to talk about with outsiders?"</w:t>
      </w:r>
    </w:p>
    <w:p>
      <w:pPr>
        <w:spacing w:after="0" w:before="240" w:line="480"/>
      </w:pPr>
      <w:r>
        <w:rPr>
          <w:rFonts w:ascii="Times New Roman" w:cs="Times New Roman" w:eastAsia="Times New Roman" w:hAnsi="Times New Roman"/>
          <w:b/>
          <w:bCs/>
          <w:i/>
          <w:iCs/>
          <w:sz w:val="24"/>
          <w:szCs w:val="24"/>
        </w:rPr>
        <w:t xml:space="preserve">Thought Control</w:t>
      </w:r>
    </w:p>
    <w:p>
      <w:pPr>
        <w:spacing w:after="0" w:line="480"/>
        <w:ind w:firstLine="720"/>
      </w:pPr>
      <w:r>
        <w:rPr>
          <w:rFonts w:ascii="Times New Roman" w:cs="Times New Roman" w:eastAsia="Times New Roman" w:hAnsi="Times New Roman"/>
          <w:sz w:val="24"/>
          <w:szCs w:val="24"/>
        </w:rPr>
        <w:t xml:space="preserve">"Was there a philosophy or belief system you were expected to adopt?" "Were there group sessions where you were expected to confess, share, or be confronted by peers?" "Were there terms or phrases that everyone used—insider language that outsiders would not understand?" "Were you told that your feelings, perceptions, or memories were wrong?" "Were you told that resistance to the program was evidence of your illness or deficiency?"</w:t>
      </w:r>
    </w:p>
    <w:p>
      <w:pPr>
        <w:spacing w:after="0" w:before="240" w:line="480"/>
      </w:pPr>
      <w:r>
        <w:rPr>
          <w:rFonts w:ascii="Times New Roman" w:cs="Times New Roman" w:eastAsia="Times New Roman" w:hAnsi="Times New Roman"/>
          <w:b/>
          <w:bCs/>
          <w:i/>
          <w:iCs/>
          <w:sz w:val="24"/>
          <w:szCs w:val="24"/>
        </w:rPr>
        <w:t xml:space="preserve">Emotional Control</w:t>
      </w:r>
    </w:p>
    <w:p>
      <w:pPr>
        <w:spacing w:after="0" w:line="480"/>
        <w:ind w:firstLine="720"/>
      </w:pPr>
      <w:r>
        <w:rPr>
          <w:rFonts w:ascii="Times New Roman" w:cs="Times New Roman" w:eastAsia="Times New Roman" w:hAnsi="Times New Roman"/>
          <w:sz w:val="24"/>
          <w:szCs w:val="24"/>
        </w:rPr>
        <w:t xml:space="preserve">"Were you ever made to feel that you deserved what was happening to you?" "Were there punishments for showing certain emotions—anger, sadness, fear?" "Were there rewards for reporting other residents?" "Were you ever made to watch someone else being punished?" "What happened when you cried? What happened when you asked to leave?"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Screening: When Is a TTI Case Commercially Viable?</w:t>
      </w:r>
    </w:p>
    <w:p>
      <w:pPr>
        <w:spacing w:after="0" w:line="480"/>
      </w:pPr>
    </w:p>
    <w:p>
      <w:pPr>
        <w:spacing w:after="0" w:line="480"/>
      </w:pPr>
      <w:r>
        <w:rPr>
          <w:rFonts w:ascii="Times New Roman" w:cs="Times New Roman" w:eastAsia="Times New Roman" w:hAnsi="Times New Roman"/>
          <w:sz w:val="24"/>
          <w:szCs w:val="24"/>
        </w:rPr>
        <w:t xml:space="preserve">Not every TTI case is one you should take. Contingency-fee litigation requires an honest assessment of whether the case can be won, whether the damages justify the investment, and whether there is a collectible defendant. Here are the factors that matter.</w:t>
      </w:r>
    </w:p>
    <w:p>
      <w:pPr>
        <w:spacing w:after="0" w:line="480"/>
        <w:ind w:firstLine="720"/>
      </w:pPr>
      <w:r>
        <w:rPr>
          <w:rFonts w:ascii="Times New Roman" w:cs="Times New Roman" w:eastAsia="Times New Roman" w:hAnsi="Times New Roman"/>
          <w:i/>
          <w:iCs/>
          <w:sz w:val="24"/>
          <w:szCs w:val="24"/>
        </w:rPr>
        <w:t xml:space="preserve">Statute of limitations.</w:t>
      </w:r>
      <w:r>
        <w:rPr>
          <w:rFonts w:ascii="Times New Roman" w:cs="Times New Roman" w:eastAsia="Times New Roman" w:hAnsi="Times New Roman"/>
          <w:sz w:val="24"/>
          <w:szCs w:val="24"/>
        </w:rPr>
        <w:t xml:space="preserve"> This is the threshold question. If the client's claims are time-barred and no exception applies, the case cannot proceed regardless of its merits. But do not stop at the obvious analysis. Look for revival windows, discovery rules that start the clock when the survivor understood the connection between the program and their injury, and tolling doctrines for minority or fraudulent concealment. The SOL landscape for TTI claims is evolving rapidly.</w:t>
      </w:r>
    </w:p>
    <w:p>
      <w:pPr>
        <w:spacing w:after="0" w:line="480"/>
        <w:ind w:firstLine="720"/>
      </w:pPr>
      <w:r>
        <w:rPr>
          <w:rFonts w:ascii="Times New Roman" w:cs="Times New Roman" w:eastAsia="Times New Roman" w:hAnsi="Times New Roman"/>
          <w:i/>
          <w:iCs/>
          <w:sz w:val="24"/>
          <w:szCs w:val="24"/>
        </w:rPr>
        <w:t xml:space="preserve">Pattern evidence.</w:t>
      </w:r>
      <w:r>
        <w:rPr>
          <w:rFonts w:ascii="Times New Roman" w:cs="Times New Roman" w:eastAsia="Times New Roman" w:hAnsi="Times New Roman"/>
          <w:sz w:val="24"/>
          <w:szCs w:val="24"/>
        </w:rPr>
        <w:t xml:space="preserve"> A case with a single plaintiff alleging a single incident is harder to win than a case where you can demonstrate a pattern of harm across multiple survivors over time. Pattern evidence transforms the narrative from "something bad happened to this person" to "this program was designed to produce harm." Check r/troubledteens, Breaking Code Silence databases, HEAL listings, prior litigation, and regulatory history.</w:t>
      </w:r>
    </w:p>
    <w:p>
      <w:pPr>
        <w:spacing w:after="0" w:line="480"/>
        <w:ind w:firstLine="720"/>
      </w:pPr>
      <w:r>
        <w:rPr>
          <w:rFonts w:ascii="Times New Roman" w:cs="Times New Roman" w:eastAsia="Times New Roman" w:hAnsi="Times New Roman"/>
          <w:i/>
          <w:iCs/>
          <w:sz w:val="24"/>
          <w:szCs w:val="24"/>
        </w:rPr>
        <w:t xml:space="preserve">Collectability.</w:t>
      </w:r>
      <w:r>
        <w:rPr>
          <w:rFonts w:ascii="Times New Roman" w:cs="Times New Roman" w:eastAsia="Times New Roman" w:hAnsi="Times New Roman"/>
          <w:sz w:val="24"/>
          <w:szCs w:val="24"/>
        </w:rPr>
        <w:t xml:space="preserve"> Can the defendant pay a judgment? An individual staff member with no assets is not a viable primary defendant. The institutional defendant—the program, its parent company, the private equity firm—is where the money is. Map the corporate structure and identify insurance. A case with no path to insurance coverage or collectible assets is a case you may need to decline, regardless of the liability.</w:t>
      </w:r>
    </w:p>
    <w:p>
      <w:pPr>
        <w:spacing w:after="0" w:line="480"/>
        <w:ind w:firstLine="720"/>
      </w:pPr>
      <w:r>
        <w:rPr>
          <w:rFonts w:ascii="Times New Roman" w:cs="Times New Roman" w:eastAsia="Times New Roman" w:hAnsi="Times New Roman"/>
          <w:i/>
          <w:iCs/>
          <w:sz w:val="24"/>
          <w:szCs w:val="24"/>
        </w:rPr>
        <w:t xml:space="preserve">Client readiness.</w:t>
      </w:r>
      <w:r>
        <w:rPr>
          <w:rFonts w:ascii="Times New Roman" w:cs="Times New Roman" w:eastAsia="Times New Roman" w:hAnsi="Times New Roman"/>
          <w:sz w:val="24"/>
          <w:szCs w:val="24"/>
        </w:rPr>
        <w:t xml:space="preserve"> Is the client psychologically prepared for the demands of litigation? Are they in treatment? Do they have a support system? A client who is actively in crisis, who does not have therapeutic support, or who has unrealistic expectations about the legal process may need more time before litigation serves them. This is not a permanent rejection—it is a timing question.</w:t>
      </w:r>
    </w:p>
    <w:p>
      <w:pPr>
        <w:spacing w:after="0" w:line="480"/>
        <w:ind w:firstLine="720"/>
      </w:pPr>
      <w:r>
        <w:rPr>
          <w:rFonts w:ascii="Times New Roman" w:cs="Times New Roman" w:eastAsia="Times New Roman" w:hAnsi="Times New Roman"/>
          <w:i/>
          <w:iCs/>
          <w:sz w:val="24"/>
          <w:szCs w:val="24"/>
        </w:rPr>
        <w:t xml:space="preserve">Damages magnitude.</w:t>
      </w:r>
      <w:r>
        <w:rPr>
          <w:rFonts w:ascii="Times New Roman" w:cs="Times New Roman" w:eastAsia="Times New Roman" w:hAnsi="Times New Roman"/>
          <w:sz w:val="24"/>
          <w:szCs w:val="24"/>
        </w:rPr>
        <w:t xml:space="preserve"> TTI cases are expensive to litigate. Expert witnesses, multi-state discovery, depositions, and document review make these cases more resource-intensive than standard personal injury. The damages need to justify the investment. Look for documented mental health treatment, employment disruption, educational derailment, relationship destruction, and the developmental theft framework described in Chapter 3.</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Red Flags That Make a Case Stronger</w:t>
      </w:r>
    </w:p>
    <w:p>
      <w:pPr>
        <w:spacing w:after="0" w:line="480"/>
      </w:pPr>
    </w:p>
    <w:p>
      <w:pPr>
        <w:spacing w:after="0" w:line="480"/>
      </w:pPr>
      <w:r>
        <w:rPr>
          <w:rFonts w:ascii="Times New Roman" w:cs="Times New Roman" w:eastAsia="Times New Roman" w:hAnsi="Times New Roman"/>
          <w:sz w:val="24"/>
          <w:szCs w:val="24"/>
        </w:rPr>
        <w:t xml:space="preserve">Counterintuitively, certain red flags in the client's presentation are actually indicators of a strong case.</w:t>
      </w:r>
    </w:p>
    <w:p>
      <w:pPr>
        <w:spacing w:after="0" w:line="480"/>
        <w:ind w:firstLine="720"/>
      </w:pPr>
      <w:r>
        <w:rPr>
          <w:rFonts w:ascii="Times New Roman" w:cs="Times New Roman" w:eastAsia="Times New Roman" w:hAnsi="Times New Roman"/>
          <w:i/>
          <w:iCs/>
          <w:sz w:val="24"/>
          <w:szCs w:val="24"/>
        </w:rPr>
        <w:t xml:space="preserve">Multiple programs.</w:t>
      </w:r>
      <w:r>
        <w:rPr>
          <w:rFonts w:ascii="Times New Roman" w:cs="Times New Roman" w:eastAsia="Times New Roman" w:hAnsi="Times New Roman"/>
          <w:sz w:val="24"/>
          <w:szCs w:val="24"/>
        </w:rPr>
        <w:t xml:space="preserve"> A client who was sent to two, three, or four programs is a client whose parents were told, repeatedly, that the solution was more programming. Each transfer is another enrollment agreement, another set of representations, another entity in the chain. Multiple placements also suggest that the first program failed—and that the referral network sent the child deeper into the system rather than out of it.</w:t>
      </w:r>
    </w:p>
    <w:p>
      <w:pPr>
        <w:spacing w:after="0" w:line="480"/>
        <w:ind w:firstLine="720"/>
      </w:pPr>
      <w:r>
        <w:rPr>
          <w:rFonts w:ascii="Times New Roman" w:cs="Times New Roman" w:eastAsia="Times New Roman" w:hAnsi="Times New Roman"/>
          <w:i/>
          <w:iCs/>
          <w:sz w:val="24"/>
          <w:szCs w:val="24"/>
        </w:rPr>
        <w:t xml:space="preserve">Fragmented narrative.</w:t>
      </w:r>
      <w:r>
        <w:rPr>
          <w:rFonts w:ascii="Times New Roman" w:cs="Times New Roman" w:eastAsia="Times New Roman" w:hAnsi="Times New Roman"/>
          <w:sz w:val="24"/>
          <w:szCs w:val="24"/>
        </w:rPr>
        <w:t xml:space="preserve"> As discussed above, fragmented recall is a hallmark of complex trauma, not a sign of fabrication. A client who tells a perfectly organized, emotionally flat story about years of coercive control is more likely performing than remembering. The messy intake is often the honest one.</w:t>
      </w:r>
    </w:p>
    <w:p>
      <w:pPr>
        <w:spacing w:after="0" w:line="480"/>
        <w:ind w:firstLine="720"/>
      </w:pPr>
      <w:r>
        <w:rPr>
          <w:rFonts w:ascii="Times New Roman" w:cs="Times New Roman" w:eastAsia="Times New Roman" w:hAnsi="Times New Roman"/>
          <w:i/>
          <w:iCs/>
          <w:sz w:val="24"/>
          <w:szCs w:val="24"/>
        </w:rPr>
        <w:t xml:space="preserve">Minimization.</w:t>
      </w:r>
      <w:r>
        <w:rPr>
          <w:rFonts w:ascii="Times New Roman" w:cs="Times New Roman" w:eastAsia="Times New Roman" w:hAnsi="Times New Roman"/>
          <w:sz w:val="24"/>
          <w:szCs w:val="24"/>
        </w:rPr>
        <w:t xml:space="preserve"> A client who says "it wasn't that bad" while describing practices that constitute false imprisonment, battery, and fraud is showing you the program's last line of defense: the internalized belief that their experience was deserved. This minimization, documented in your intake notes, becomes powerful evidence at trial—evidence that the program's coercive control extended beyond discharge.</w:t>
      </w:r>
    </w:p>
    <w:p>
      <w:pPr>
        <w:spacing w:after="0" w:line="480"/>
        <w:ind w:firstLine="720"/>
      </w:pPr>
      <w:r>
        <w:rPr>
          <w:rFonts w:ascii="Times New Roman" w:cs="Times New Roman" w:eastAsia="Times New Roman" w:hAnsi="Times New Roman"/>
          <w:i/>
          <w:iCs/>
          <w:sz w:val="24"/>
          <w:szCs w:val="24"/>
        </w:rPr>
        <w:t xml:space="preserve">Other survivors already speaking.</w:t>
      </w:r>
      <w:r>
        <w:rPr>
          <w:rFonts w:ascii="Times New Roman" w:cs="Times New Roman" w:eastAsia="Times New Roman" w:hAnsi="Times New Roman"/>
          <w:sz w:val="24"/>
          <w:szCs w:val="24"/>
        </w:rPr>
        <w:t xml:space="preserve"> If the client found you because other survivors of the same program are already public, you have the beginning of pattern evidence. And if those survivors have already filed suit, you may have access to discovery that has already been produced—documents, depositions, and expert reports that give you a head start.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Ninety-Minute Intake Framework</w:t>
      </w:r>
    </w:p>
    <w:p>
      <w:pPr>
        <w:spacing w:after="0" w:line="480"/>
      </w:pPr>
    </w:p>
    <w:p>
      <w:pPr>
        <w:spacing w:after="0" w:line="480"/>
      </w:pPr>
      <w:r>
        <w:rPr>
          <w:rFonts w:ascii="Times New Roman" w:cs="Times New Roman" w:eastAsia="Times New Roman" w:hAnsi="Times New Roman"/>
          <w:sz w:val="24"/>
          <w:szCs w:val="24"/>
        </w:rPr>
        <w:t xml:space="preserve">The following framework is designed for a ninety-minute first interview. Adjust based on client presentation, but preserve the structure—it ensures you get all five outputs without retraumatizing the client.</w:t>
      </w:r>
    </w:p>
    <w:p>
      <w:pPr>
        <w:spacing w:after="0" w:line="480"/>
        <w:ind w:firstLine="720"/>
      </w:pPr>
      <w:r>
        <w:rPr>
          <w:rFonts w:ascii="Times New Roman" w:cs="Times New Roman" w:eastAsia="Times New Roman" w:hAnsi="Times New Roman"/>
          <w:i/>
          <w:iCs/>
          <w:sz w:val="24"/>
          <w:szCs w:val="24"/>
        </w:rPr>
        <w:t xml:space="preserve">Minutes zero through ten: Environment and frame-setting.</w:t>
      </w:r>
      <w:r>
        <w:rPr>
          <w:rFonts w:ascii="Times New Roman" w:cs="Times New Roman" w:eastAsia="Times New Roman" w:hAnsi="Times New Roman"/>
          <w:sz w:val="24"/>
          <w:szCs w:val="24"/>
        </w:rPr>
        <w:t xml:space="preserve"> Offer choices—seating, door open or closed, water, breaks. Explain the interview structure, the timeline, and the client's right to stop at any point. Normalize fragmented memory. Say explicitly: "There are no wrong answers, and I am not testing your recall. Gaps are normal and expected."</w:t>
      </w:r>
    </w:p>
    <w:p>
      <w:pPr>
        <w:spacing w:after="0" w:line="480"/>
        <w:ind w:firstLine="720"/>
      </w:pPr>
      <w:r>
        <w:rPr>
          <w:rFonts w:ascii="Times New Roman" w:cs="Times New Roman" w:eastAsia="Times New Roman" w:hAnsi="Times New Roman"/>
          <w:i/>
          <w:iCs/>
          <w:sz w:val="24"/>
          <w:szCs w:val="24"/>
        </w:rPr>
        <w:t xml:space="preserve">Minutes ten through forty: Open narrative.</w:t>
      </w:r>
      <w:r>
        <w:rPr>
          <w:rFonts w:ascii="Times New Roman" w:cs="Times New Roman" w:eastAsia="Times New Roman" w:hAnsi="Times New Roman"/>
          <w:sz w:val="24"/>
          <w:szCs w:val="24"/>
        </w:rPr>
        <w:t xml:space="preserve"> Let the client tell their story in their own order. Take minimal notes—focus on listening. Note emotional peaks, avoidance patterns, and system-level details the client mentions without recognizing their significance. The client who says "they just made us sit in a circle and say what we did wrong" has just described thought control. The client who says "we weren't allowed to talk to anyone below our level" has just described behavioral and information control. Listen for the system inside the story.</w:t>
      </w:r>
    </w:p>
    <w:p>
      <w:pPr>
        <w:spacing w:after="0" w:line="480"/>
        <w:ind w:firstLine="720"/>
      </w:pPr>
      <w:r>
        <w:rPr>
          <w:rFonts w:ascii="Times New Roman" w:cs="Times New Roman" w:eastAsia="Times New Roman" w:hAnsi="Times New Roman"/>
          <w:i/>
          <w:iCs/>
          <w:sz w:val="24"/>
          <w:szCs w:val="24"/>
        </w:rPr>
        <w:t xml:space="preserve">Minutes forty through seventy: Guided exploration.</w:t>
      </w:r>
      <w:r>
        <w:rPr>
          <w:rFonts w:ascii="Times New Roman" w:cs="Times New Roman" w:eastAsia="Times New Roman" w:hAnsi="Times New Roman"/>
          <w:sz w:val="24"/>
          <w:szCs w:val="24"/>
        </w:rPr>
        <w:t xml:space="preserve"> Work through the five categories: chronology, entity map, control map, damages map, corroboration leads. Use the client's own narrative as anchor points. "You mentioned being put in isolation after the phone call—can you tell me more about what isolation looked like?" "You said your parents were told you were doing well—who told them that, and how?" This is where you convert raw narrative into structured information.</w:t>
      </w:r>
    </w:p>
    <w:p>
      <w:pPr>
        <w:spacing w:after="0" w:line="480"/>
        <w:ind w:firstLine="720"/>
      </w:pPr>
      <w:r>
        <w:rPr>
          <w:rFonts w:ascii="Times New Roman" w:cs="Times New Roman" w:eastAsia="Times New Roman" w:hAnsi="Times New Roman"/>
          <w:i/>
          <w:iCs/>
          <w:sz w:val="24"/>
          <w:szCs w:val="24"/>
        </w:rPr>
        <w:t xml:space="preserve">Minutes seventy through eighty: Corroboration and next steps.</w:t>
      </w:r>
      <w:r>
        <w:rPr>
          <w:rFonts w:ascii="Times New Roman" w:cs="Times New Roman" w:eastAsia="Times New Roman" w:hAnsi="Times New Roman"/>
          <w:sz w:val="24"/>
          <w:szCs w:val="24"/>
        </w:rPr>
        <w:t xml:space="preserve"> Ask about other survivors, documentary evidence, regulatory history. Ask if they are aware of online communities where survivors of their specific program have shared experiences. Explain what happens next in the evaluation process.</w:t>
      </w:r>
    </w:p>
    <w:p>
      <w:pPr>
        <w:spacing w:after="0" w:line="480"/>
        <w:ind w:firstLine="720"/>
      </w:pPr>
      <w:r>
        <w:rPr>
          <w:rFonts w:ascii="Times New Roman" w:cs="Times New Roman" w:eastAsia="Times New Roman" w:hAnsi="Times New Roman"/>
          <w:i/>
          <w:iCs/>
          <w:sz w:val="24"/>
          <w:szCs w:val="24"/>
        </w:rPr>
        <w:t xml:space="preserve">Minutes eighty through ninety: Client questions and closure.</w:t>
      </w:r>
      <w:r>
        <w:rPr>
          <w:rFonts w:ascii="Times New Roman" w:cs="Times New Roman" w:eastAsia="Times New Roman" w:hAnsi="Times New Roman"/>
          <w:sz w:val="24"/>
          <w:szCs w:val="24"/>
        </w:rPr>
        <w:t xml:space="preserve"> Let the client ask anything. Reiterate that their fragmented recall is normal and does not weaken their case. Provide information about trauma-informed therapists if they are not already in treatment. End with a concrete next step, even if it is only "I will review what you have told me and call you by Friday."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Entity Mapping: Following the Money and the Liability</w:t>
      </w:r>
    </w:p>
    <w:p>
      <w:pPr>
        <w:spacing w:after="0" w:line="480"/>
      </w:pPr>
    </w:p>
    <w:p>
      <w:pPr>
        <w:spacing w:after="0" w:line="480"/>
      </w:pPr>
      <w:r>
        <w:rPr>
          <w:rFonts w:ascii="Times New Roman" w:cs="Times New Roman" w:eastAsia="Times New Roman" w:hAnsi="Times New Roman"/>
          <w:sz w:val="24"/>
          <w:szCs w:val="24"/>
        </w:rPr>
        <w:t xml:space="preserve">One of the most important outputs of the intake phase is the entity map—a visual or narrative diagram of every corporate entity, individual, and relationship connected to the program. In TTI cases, this map is often shockingly complex, and that complexity is not accidental.</w:t>
      </w:r>
    </w:p>
    <w:p>
      <w:pPr>
        <w:spacing w:after="0" w:line="480"/>
        <w:ind w:firstLine="720"/>
      </w:pPr>
      <w:r>
        <w:rPr>
          <w:rFonts w:ascii="Times New Roman" w:cs="Times New Roman" w:eastAsia="Times New Roman" w:hAnsi="Times New Roman"/>
          <w:sz w:val="24"/>
          <w:szCs w:val="24"/>
        </w:rPr>
        <w:t xml:space="preserve">Begin the entity map in the first interview. Ask the client what names appeared on their paperwork—the enrollment agreement, the billing statements, the correspondence. Search the secretary of state databases in every state where the program operated. Pull tax filings—IRS Form 990s are available through ProPublica's Nonprofit Explorer for any program claiming tax-exempt status, and they disclose revenue, executive compensation, related organizations, and sometimes litigation reserves. Contact the state licensing agency for the program's license file. Search PACER and state court dockets for prior lawsuits.</w:t>
      </w:r>
    </w:p>
    <w:p>
      <w:pPr>
        <w:spacing w:after="0" w:line="480"/>
        <w:ind w:firstLine="720"/>
      </w:pPr>
      <w:r>
        <w:rPr>
          <w:rFonts w:ascii="Times New Roman" w:cs="Times New Roman" w:eastAsia="Times New Roman" w:hAnsi="Times New Roman"/>
          <w:sz w:val="24"/>
          <w:szCs w:val="24"/>
        </w:rPr>
        <w:t xml:space="preserve">The entity map should identify every potential defendant and every potential source of insurance. In TTI cases, the map typically includes: the program entity itself, any parent company or holding company, affiliated programs under the same corporate umbrella, the educational consultant and her business entity, the transport company, any private equity firm that owns or owned the program, and the individual directors and officers whose decisions created the conditions of harm.</w:t>
      </w:r>
    </w:p>
    <w:p>
      <w:pPr>
        <w:spacing w:after="0" w:line="480"/>
        <w:ind w:firstLine="720"/>
      </w:pPr>
      <w:r>
        <w:rPr>
          <w:rFonts w:ascii="Times New Roman" w:cs="Times New Roman" w:eastAsia="Times New Roman" w:hAnsi="Times New Roman"/>
          <w:sz w:val="24"/>
          <w:szCs w:val="24"/>
        </w:rPr>
        <w:t xml:space="preserve">Insurance is the other half of the collectability equation. During intake, ask whether the client has any knowledge of the program's insurance carriers. Ask about marketing materials that referenced insurance or bonding. Ask about accreditation—programs accredited by JCAHO, CARF, or state-specific bodies typically carry liability insurance as a condition of accreditation. Once litigation begins, you can compel disclosure of all insurance policies that may provide coverage—and in TTI cases, those policies are often where the money is.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TTI survivors present differently from standard personal injury clients: fragmented memory, fawn responses, shame-distorted disclosure, minimization, and normalized harm. These are not weaknesses in the client. They are evidence of the coercive system's effectiveness.</w:t>
      </w:r>
    </w:p>
    <w:p>
      <w:pPr>
        <w:spacing w:after="0" w:line="480"/>
        <w:ind w:firstLine="720"/>
      </w:pPr>
      <w:r>
        <w:rPr>
          <w:rFonts w:ascii="Times New Roman" w:cs="Times New Roman" w:eastAsia="Times New Roman" w:hAnsi="Times New Roman"/>
          <w:sz w:val="24"/>
          <w:szCs w:val="24"/>
        </w:rPr>
        <w:t xml:space="preserve">Trauma-informed intake is a method, not a softness: control the environment, set the frame, follow then lead, and ask about the system rather than just the events.</w:t>
      </w:r>
    </w:p>
    <w:p>
      <w:pPr>
        <w:spacing w:after="0" w:line="480"/>
        <w:ind w:firstLine="720"/>
      </w:pPr>
      <w:r>
        <w:rPr>
          <w:rFonts w:ascii="Times New Roman" w:cs="Times New Roman" w:eastAsia="Times New Roman" w:hAnsi="Times New Roman"/>
          <w:sz w:val="24"/>
          <w:szCs w:val="24"/>
        </w:rPr>
        <w:t xml:space="preserve">Every TTI intake should produce five outputs: chronology, entity map, control map (BITE-mapped), damages map, and corroboration leads. These five categories structure everything that follows.</w:t>
      </w:r>
    </w:p>
    <w:p>
      <w:pPr>
        <w:spacing w:after="0" w:line="480"/>
        <w:ind w:firstLine="720"/>
      </w:pPr>
      <w:r>
        <w:rPr>
          <w:rFonts w:ascii="Times New Roman" w:cs="Times New Roman" w:eastAsia="Times New Roman" w:hAnsi="Times New Roman"/>
          <w:sz w:val="24"/>
          <w:szCs w:val="24"/>
        </w:rPr>
        <w:t xml:space="preserve">TTI-specific intake questions organized by BITE category draw out the operational architecture of the program's coercive system—the facts that will become your complaint structure, your discovery architecture, and your trial framework.</w:t>
      </w:r>
    </w:p>
    <w:p>
      <w:pPr>
        <w:spacing w:after="0" w:line="480"/>
        <w:ind w:firstLine="720"/>
      </w:pPr>
      <w:r>
        <w:rPr>
          <w:rFonts w:ascii="Times New Roman" w:cs="Times New Roman" w:eastAsia="Times New Roman" w:hAnsi="Times New Roman"/>
          <w:sz w:val="24"/>
          <w:szCs w:val="24"/>
        </w:rPr>
        <w:t xml:space="preserve">Screening criteria for commercial viability: statute of limitations, pattern evidence, collectability (entity structure and insurance), client readiness, and damages magnitude.</w:t>
      </w:r>
    </w:p>
    <w:p>
      <w:pPr>
        <w:spacing w:after="0" w:line="480"/>
        <w:ind w:firstLine="720"/>
      </w:pPr>
      <w:r>
        <w:rPr>
          <w:rFonts w:ascii="Times New Roman" w:cs="Times New Roman" w:eastAsia="Times New Roman" w:hAnsi="Times New Roman"/>
          <w:sz w:val="24"/>
          <w:szCs w:val="24"/>
        </w:rPr>
        <w:t xml:space="preserve">Red flags that strengthen a case: multiple programs, fragmented narrative, minimization, and other survivors already speaking publicly. The messy intake is often the honest one, and the client who says "it wasn't that bad" is showing you the program's control still operating.</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The First Interview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2026-05-08T05:22:46.726Z</dcterms:created>
  <dcterms:modified xsi:type="dcterms:W3CDTF">2026-05-08T05:22:46.726Z</dcterms:modified>
</cp:coreProperties>
</file>

<file path=docProps/custom.xml><?xml version="1.0" encoding="utf-8"?>
<Properties xmlns="http://schemas.openxmlformats.org/officeDocument/2006/custom-properties" xmlns:vt="http://schemas.openxmlformats.org/officeDocument/2006/docPropsVTypes"/>
</file>