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jc w:val="center"/>
      </w:pPr>
      <w:r>
        <w:rPr>
          <w:rFonts w:ascii="Times New Roman" w:cs="Times New Roman" w:eastAsia="Times New Roman" w:hAnsi="Times New Roman"/>
          <w:b/>
          <w:bCs/>
          <w:sz w:val="24"/>
          <w:szCs w:val="24"/>
        </w:rPr>
        <w:t xml:space="preserve">PART V</w:t>
      </w:r>
    </w:p>
    <w:p>
      <w:pPr>
        <w:spacing w:after="0" w:line="480"/>
      </w:pPr>
    </w:p>
    <w:p>
      <w:pPr>
        <w:spacing w:after="0" w:line="480"/>
        <w:jc w:val="center"/>
      </w:pPr>
      <w:r>
        <w:rPr>
          <w:rFonts w:ascii="Times New Roman" w:cs="Times New Roman" w:eastAsia="Times New Roman" w:hAnsi="Times New Roman"/>
          <w:b/>
          <w:bCs/>
          <w:sz w:val="24"/>
          <w:szCs w:val="24"/>
        </w:rPr>
        <w:t xml:space="preserve">THE ROAD AHEAD</w:t>
      </w:r>
    </w:p>
    <w:p>
      <w:pPr>
        <w:spacing w:after="0" w:line="480"/>
      </w:pPr>
    </w:p>
    <w:p>
      <w:pPr>
        <w:spacing w:after="0" w:line="480"/>
        <w:jc w:val="center"/>
      </w:pPr>
      <w:r>
        <w:rPr>
          <w:rFonts w:ascii="Times New Roman" w:cs="Times New Roman" w:eastAsia="Times New Roman" w:hAnsi="Times New Roman"/>
          <w:i/>
          <w:iCs/>
          <w:sz w:val="24"/>
          <w:szCs w:val="24"/>
        </w:rPr>
        <w:t xml:space="preserve">From Individual Cases to Systemic Change</w:t>
      </w: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pageBreakBefore/>
        <w:spacing w:after="0" w:line="480"/>
      </w:pPr>
      <w:r>
        <w:rPr>
          <w:rFonts w:ascii="Times New Roman" w:cs="Times New Roman" w:eastAsia="Times New Roman" w:hAnsi="Times New Roman"/>
          <w:sz w:val="24"/>
          <w:szCs w:val="24"/>
        </w:rPr>
        <w:t xml:space="preserve"/>
      </w:r>
    </w:p>
    <w:p>
      <w:pPr>
        <w:spacing w:after="0" w:line="480"/>
        <w:jc w:val="center"/>
      </w:pPr>
      <w:r>
        <w:rPr>
          <w:rFonts w:ascii="Times New Roman" w:cs="Times New Roman" w:eastAsia="Times New Roman" w:hAnsi="Times New Roman"/>
          <w:b/>
          <w:bCs/>
          <w:sz w:val="24"/>
          <w:szCs w:val="24"/>
        </w:rPr>
        <w:t xml:space="preserve">CHAPTER 23</w:t>
      </w:r>
    </w:p>
    <w:p>
      <w:pPr>
        <w:spacing w:after="0" w:line="480"/>
      </w:pPr>
    </w:p>
    <w:p>
      <w:pPr>
        <w:spacing w:after="0" w:line="480"/>
        <w:jc w:val="center"/>
      </w:pPr>
      <w:r>
        <w:rPr>
          <w:rFonts w:ascii="Times New Roman" w:cs="Times New Roman" w:eastAsia="Times New Roman" w:hAnsi="Times New Roman"/>
          <w:sz w:val="24"/>
          <w:szCs w:val="24"/>
        </w:rPr>
        <w:t xml:space="preserve">The Road Ahead</w:t>
      </w:r>
    </w:p>
    <w:p>
      <w:pPr>
        <w:spacing w:after="0" w:line="480"/>
        <w:jc w:val="center"/>
      </w:pPr>
      <w:r>
        <w:rPr>
          <w:rFonts w:ascii="Times New Roman" w:cs="Times New Roman" w:eastAsia="Times New Roman" w:hAnsi="Times New Roman"/>
          <w:i/>
          <w:iCs/>
          <w:sz w:val="24"/>
          <w:szCs w:val="24"/>
        </w:rPr>
        <w:t xml:space="preserve">Changing the Law, Building the Movement, and the Work That Remains</w:t>
      </w:r>
    </w:p>
    <w:p>
      <w:pPr>
        <w:spacing w:after="0" w:line="480"/>
      </w:pPr>
    </w:p>
    <w:p>
      <w:pPr>
        <w:spacing w:after="0" w:line="480"/>
      </w:pPr>
      <w:r>
        <w:rPr>
          <w:rFonts w:ascii="Times New Roman" w:cs="Times New Roman" w:eastAsia="Times New Roman" w:hAnsi="Times New Roman"/>
          <w:sz w:val="24"/>
          <w:szCs w:val="24"/>
        </w:rPr>
        <w:t xml:space="preserve">You did not choose easy work.</w:t>
      </w:r>
    </w:p>
    <w:p>
      <w:pPr>
        <w:spacing w:after="0" w:line="480"/>
        <w:ind w:firstLine="720"/>
      </w:pPr>
      <w:r>
        <w:rPr>
          <w:rFonts w:ascii="Times New Roman" w:cs="Times New Roman" w:eastAsia="Times New Roman" w:hAnsi="Times New Roman"/>
          <w:sz w:val="24"/>
          <w:szCs w:val="24"/>
        </w:rPr>
        <w:t xml:space="preserve">You chose to sit across from people whose childhoods were stolen, whose trust was weaponized, whose bodies and minds bear the marks of programs designed to exploit them. You chose to translate their suffering into a language that courts will hear, that juries will understand, that programs can no longer dismiss. You chose to fight opponents with deeper pockets, longer timelines, and an institutional memory calibrated to outlast individual plaintiffs. You chose this knowing that most of your colleagues would never understand what these cases cost—not just in billable hours, but in the weight you carry home.</w:t>
      </w:r>
    </w:p>
    <w:p>
      <w:pPr>
        <w:spacing w:after="0" w:line="480"/>
        <w:ind w:firstLine="720"/>
      </w:pPr>
      <w:r>
        <w:rPr>
          <w:rFonts w:ascii="Times New Roman" w:cs="Times New Roman" w:eastAsia="Times New Roman" w:hAnsi="Times New Roman"/>
          <w:sz w:val="24"/>
          <w:szCs w:val="24"/>
        </w:rPr>
        <w:t xml:space="preserve">This book was written for you. Not because you needed permission to do this work, but because you deserved a map. What you have read in these pages is not a formula. It is a framework—one built from practice, from victories and defeats, from the collective wisdom of practitioners who came before and the survivors who taught us what justice actually looks like from the other side of the table.</w:t>
      </w:r>
    </w:p>
    <w:p>
      <w:pPr>
        <w:spacing w:after="0" w:line="480"/>
        <w:ind w:firstLine="720"/>
      </w:pPr>
      <w:r>
        <w:rPr>
          <w:rFonts w:ascii="Times New Roman" w:cs="Times New Roman" w:eastAsia="Times New Roman" w:hAnsi="Times New Roman"/>
          <w:sz w:val="24"/>
          <w:szCs w:val="24"/>
        </w:rPr>
        <w:t xml:space="preserve">This final chapter looks beyond the individual case. It surveys the regulatory landscape that allows TTI programs to operate with minimal oversight, identifies the legal theories that are reshaping institutional abuse law, describes the movement infrastructure that transforms isolated litigation into systemic change, and closes with a letter to the practitioner who will carry this work forward.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Regulatory Landscape: Why TTI Programs Still Operate</w:t>
      </w:r>
    </w:p>
    <w:p>
      <w:pPr>
        <w:spacing w:after="0" w:line="480"/>
      </w:pPr>
    </w:p>
    <w:p>
      <w:pPr>
        <w:spacing w:after="0" w:line="480"/>
      </w:pPr>
      <w:r>
        <w:rPr>
          <w:rFonts w:ascii="Times New Roman" w:cs="Times New Roman" w:eastAsia="Times New Roman" w:hAnsi="Times New Roman"/>
          <w:sz w:val="24"/>
          <w:szCs w:val="24"/>
        </w:rPr>
        <w:t xml:space="preserve">Litigation changes individual outcomes. Legislation changes systems.</w:t>
      </w:r>
    </w:p>
    <w:p>
      <w:pPr>
        <w:spacing w:after="0" w:line="480"/>
        <w:ind w:firstLine="720"/>
      </w:pPr>
      <w:r>
        <w:rPr>
          <w:rFonts w:ascii="Times New Roman" w:cs="Times New Roman" w:eastAsia="Times New Roman" w:hAnsi="Times New Roman"/>
          <w:sz w:val="24"/>
          <w:szCs w:val="24"/>
        </w:rPr>
        <w:t xml:space="preserve">The troubled teen industry is the most under-regulated institutional setting in the United States. In many states, youth residential programs can operate with minimal licensing requirements, no mandatory staff-to-resident ratios, no restrictions on the use of restraint and isolation beyond general child abuse statutes, and no requirement that staff possess any clinical credentials. Programs routinely operate across state lines—recruiting in one state, operating in another, and incorporating in a third—exploiting regulatory fragmentation to avoid meaningful oversight.</w:t>
      </w:r>
    </w:p>
    <w:p>
      <w:pPr>
        <w:spacing w:after="0" w:line="480"/>
        <w:ind w:firstLine="720"/>
      </w:pPr>
      <w:r>
        <w:rPr>
          <w:rFonts w:ascii="Times New Roman" w:cs="Times New Roman" w:eastAsia="Times New Roman" w:hAnsi="Times New Roman"/>
          <w:sz w:val="24"/>
          <w:szCs w:val="24"/>
        </w:rPr>
        <w:t xml:space="preserve">Across the TTI, the same regulatory failure pattern repeats. Regulation exists but is under-enforced—agencies charged with inspections lack the funding, staffing, or political will to conduct meaningful oversight. Self-regulation replaces public accountability—accreditation bodies are funded by the programs they accredit, creating a mask of legitimacy that conceals a conflict of interest. Regulatory fragmentation creates gaps—state licensing, federal funding requirements, accreditation standards, and professional licensing boards each have partial authority and none has complete responsibility. And complaint mechanisms are designed to fail—programs train staff to document incidents in ways that minimize regulatory exposure, categorize restraints as therapeutic holds, classify isolation as quiet time, and use internal grievance procedures that absorb complaints without producing external accountability.</w:t>
      </w:r>
    </w:p>
    <w:p>
      <w:pPr>
        <w:spacing w:after="0" w:before="240" w:line="480"/>
      </w:pPr>
      <w:r>
        <w:rPr>
          <w:rFonts w:ascii="Times New Roman" w:cs="Times New Roman" w:eastAsia="Times New Roman" w:hAnsi="Times New Roman"/>
          <w:b/>
          <w:bCs/>
          <w:i/>
          <w:iCs/>
          <w:sz w:val="24"/>
          <w:szCs w:val="24"/>
        </w:rPr>
        <w:t xml:space="preserve">The Legislative Opportunities</w:t>
      </w:r>
    </w:p>
    <w:p>
      <w:pPr>
        <w:spacing w:after="0" w:line="480"/>
        <w:ind w:firstLine="720"/>
      </w:pPr>
      <w:r>
        <w:rPr>
          <w:rFonts w:ascii="Times New Roman" w:cs="Times New Roman" w:eastAsia="Times New Roman" w:hAnsi="Times New Roman"/>
          <w:sz w:val="24"/>
          <w:szCs w:val="24"/>
        </w:rPr>
        <w:t xml:space="preserve">The evidence you gather in TTI litigation directly supports legislative reform. At the federal level, bills have been introduced to establish minimum standards for youth residential programs that receive federal funding, to create a federal complaint database, and to require state licensing of all programs that accept out-of-state placements. At the state level, the priorities include mandatory licensure for all youth residential programs regardless of how they describe their services, mandatory reporting of restraint and isolation incidents to a centralized database, minimum staff qualification requirements including background checks and training in de-escalation and trauma-informed care, prohibition of practices that constitute coercive control under the BITE model framework, and independent oversight mechanisms that do not rely on self-reporting.</w:t>
      </w:r>
    </w:p>
    <w:p>
      <w:pPr>
        <w:spacing w:after="0" w:line="480"/>
        <w:ind w:firstLine="720"/>
      </w:pPr>
      <w:r>
        <w:rPr>
          <w:rFonts w:ascii="Times New Roman" w:cs="Times New Roman" w:eastAsia="Times New Roman" w:hAnsi="Times New Roman"/>
          <w:sz w:val="24"/>
          <w:szCs w:val="24"/>
        </w:rPr>
        <w:t xml:space="preserve">Every case you resolve produces evidence that no regulator has seen. The incident reports, the staffing records, the training materials, the marketing-versus-reality contrast—all of it demonstrates the need for regulation in a language that legislators understand: specific cases, specific harms, specific regulatory failures that allowed the harm to occur.</w:t>
      </w:r>
    </w:p>
    <w:p>
      <w:pPr>
        <w:spacing w:after="0" w:before="240" w:line="480"/>
      </w:pPr>
      <w:r>
        <w:rPr>
          <w:rFonts w:ascii="Times New Roman" w:cs="Times New Roman" w:eastAsia="Times New Roman" w:hAnsi="Times New Roman"/>
          <w:b/>
          <w:bCs/>
          <w:i/>
          <w:iCs/>
          <w:sz w:val="24"/>
          <w:szCs w:val="24"/>
        </w:rPr>
        <w:t xml:space="preserve">Statute of Limitations Reform</w:t>
      </w:r>
    </w:p>
    <w:p>
      <w:pPr>
        <w:spacing w:after="0" w:line="480"/>
        <w:ind w:firstLine="720"/>
      </w:pPr>
      <w:r>
        <w:rPr>
          <w:rFonts w:ascii="Times New Roman" w:cs="Times New Roman" w:eastAsia="Times New Roman" w:hAnsi="Times New Roman"/>
          <w:sz w:val="24"/>
          <w:szCs w:val="24"/>
        </w:rPr>
        <w:t xml:space="preserve">Of all the legislative reforms available, statute of limitations reform is the most important and the most contested. Statutes of limitations are the single greatest barrier to TTI litigation. They protect abusive programs more effectively than any defense strategy.</w:t>
      </w:r>
    </w:p>
    <w:p>
      <w:pPr>
        <w:spacing w:after="0" w:line="480"/>
        <w:ind w:firstLine="720"/>
      </w:pPr>
      <w:r>
        <w:rPr>
          <w:rFonts w:ascii="Times New Roman" w:cs="Times New Roman" w:eastAsia="Times New Roman" w:hAnsi="Times New Roman"/>
          <w:sz w:val="24"/>
          <w:szCs w:val="24"/>
        </w:rPr>
        <w:t xml:space="preserve">The problem is structural. TTI abuse—by its nature—produces delayed disclosure. The coercive system suppresses complaint while the survivor is inside the program. The trauma response suppresses memory and understanding after the survivor leaves. The shame the program cultivated prevents the survivor from speaking. And the cultural assumption that parents who send children to programs are acting in their best interest prevents the survivor from recognizing that what happened was actionable. By the time the survivor understands what was done and has the psychological capacity to pursue accountability, years or decades may have passed.</w:t>
      </w:r>
    </w:p>
    <w:p>
      <w:pPr>
        <w:spacing w:after="0" w:line="480"/>
        <w:ind w:firstLine="720"/>
      </w:pPr>
      <w:r>
        <w:rPr>
          <w:rFonts w:ascii="Times New Roman" w:cs="Times New Roman" w:eastAsia="Times New Roman" w:hAnsi="Times New Roman"/>
          <w:sz w:val="24"/>
          <w:szCs w:val="24"/>
        </w:rPr>
        <w:t xml:space="preserve">The reforms that address this structural problem include revival windows that temporarily reopen the statute of limitations for previously time-barred claims, discovery rules that start the limitations period when the survivor understands the connection between the program experience and the injury, extended limitation periods for claims against institutional defendants, and elimination of the limitations period entirely for childhood abuse in institutional settings. Each reform faces organized opposition from programs, insurance carriers, and the business lobby. But the argument that the institution which designed a system to suppress complaint cannot then claim surprise when the complaint arrives late is powerful—and the evidence from your cases provides the factual foundation for making it.</w:t>
      </w:r>
    </w:p>
    <w:p>
      <w:pPr>
        <w:spacing w:after="0" w:before="240" w:line="480"/>
      </w:pPr>
      <w:r>
        <w:rPr>
          <w:rFonts w:ascii="Times New Roman" w:cs="Times New Roman" w:eastAsia="Times New Roman" w:hAnsi="Times New Roman"/>
          <w:b/>
          <w:bCs/>
          <w:i/>
          <w:iCs/>
          <w:sz w:val="24"/>
          <w:szCs w:val="24"/>
        </w:rPr>
        <w:t xml:space="preserve">Turning Litigation into Legislation</w:t>
      </w:r>
    </w:p>
    <w:p>
      <w:pPr>
        <w:spacing w:after="0" w:line="480"/>
        <w:ind w:firstLine="720"/>
      </w:pPr>
      <w:r>
        <w:rPr>
          <w:rFonts w:ascii="Times New Roman" w:cs="Times New Roman" w:eastAsia="Times New Roman" w:hAnsi="Times New Roman"/>
          <w:sz w:val="24"/>
          <w:szCs w:val="24"/>
        </w:rPr>
        <w:t xml:space="preserve">The institutional abuse lawyer who wants to move from litigation to legislative advocacy needs to do three things: identify the specific regulatory gap your case revealed, build a coalition of survivor organizations, professional associations, media partners, and sympathetic legislators, and provide the evidence in a form that legislators can use. When you testify before a legislative committee, you are telling the same story you would tell a jury—adapted for a different audience. The legislators are the heroes. The regulatory gap is the problem. You are the guide. The proposed legislation is the plan. Frame it as a specific reform, not a general aspiration. Specificity is power.</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Evolving Law of TTI Litigation</w:t>
      </w:r>
    </w:p>
    <w:p>
      <w:pPr>
        <w:spacing w:after="0" w:line="480"/>
      </w:pPr>
    </w:p>
    <w:p>
      <w:pPr>
        <w:spacing w:after="0" w:line="480"/>
      </w:pPr>
      <w:r>
        <w:rPr>
          <w:rFonts w:ascii="Times New Roman" w:cs="Times New Roman" w:eastAsia="Times New Roman" w:hAnsi="Times New Roman"/>
          <w:sz w:val="24"/>
          <w:szCs w:val="24"/>
        </w:rPr>
        <w:t xml:space="preserve">The law of institutional abuse is being written right now.</w:t>
      </w:r>
    </w:p>
    <w:p>
      <w:pPr>
        <w:spacing w:after="0" w:line="480"/>
        <w:ind w:firstLine="720"/>
      </w:pPr>
      <w:r>
        <w:rPr>
          <w:rFonts w:ascii="Times New Roman" w:cs="Times New Roman" w:eastAsia="Times New Roman" w:hAnsi="Times New Roman"/>
          <w:sz w:val="24"/>
          <w:szCs w:val="24"/>
        </w:rPr>
        <w:t xml:space="preserve">A generation ago, the phrase 'institutional abuse' did not appear in legal databases. The cases existed, but the legal theories were borrowed from adjacent practice areas: standard negligence, ordinary premises liability, garden-variety assault and battery. The institutional system that produced the harm was invisible to the legal framework. That is changing. Across the country, plaintiff's lawyers are developing legal theories that recognize institutional abuse as a distinct category of harm—one that requires its own analytical framework, its own expert testimony, its own damages model, and its own trial methodology.</w:t>
      </w:r>
    </w:p>
    <w:p>
      <w:pPr>
        <w:spacing w:after="0" w:before="240" w:line="480"/>
      </w:pPr>
      <w:r>
        <w:rPr>
          <w:rFonts w:ascii="Times New Roman" w:cs="Times New Roman" w:eastAsia="Times New Roman" w:hAnsi="Times New Roman"/>
          <w:b/>
          <w:bCs/>
          <w:i/>
          <w:iCs/>
          <w:sz w:val="24"/>
          <w:szCs w:val="24"/>
        </w:rPr>
        <w:t xml:space="preserve">The Coercive Control Revolution</w:t>
      </w:r>
    </w:p>
    <w:p>
      <w:pPr>
        <w:spacing w:after="0" w:line="480"/>
        <w:ind w:firstLine="720"/>
      </w:pPr>
      <w:r>
        <w:rPr>
          <w:rFonts w:ascii="Times New Roman" w:cs="Times New Roman" w:eastAsia="Times New Roman" w:hAnsi="Times New Roman"/>
          <w:sz w:val="24"/>
          <w:szCs w:val="24"/>
        </w:rPr>
        <w:t xml:space="preserve">The most significant legal development is the growing recognition of coercive control as a cognizable legal harm. Two parallel developments are driving this change. First, the domestic violence field's successful advocacy for coercive control statutes has created a legal framework that recognizes patterns of controlling behavior as independently harmful—even in the absence of physical violence. The analytical framework these statutes establish is directly transferable to the TTI context. The BITE model, which documents the specific mechanisms of institutional coercive control, provides the evidentiary framework that these statutes require.</w:t>
      </w:r>
    </w:p>
    <w:p>
      <w:pPr>
        <w:spacing w:after="0" w:line="480"/>
        <w:ind w:firstLine="720"/>
      </w:pPr>
      <w:r>
        <w:rPr>
          <w:rFonts w:ascii="Times New Roman" w:cs="Times New Roman" w:eastAsia="Times New Roman" w:hAnsi="Times New Roman"/>
          <w:sz w:val="24"/>
          <w:szCs w:val="24"/>
        </w:rPr>
        <w:t xml:space="preserve">Second, the Trafficking Victims Protection Act and its state analogs have expanded the definition of trafficking to include nonphysical forms of coercion. TTI cases fit within these expanded definitions: the program recruits vulnerable children, transports them (often across state lines), isolates them, controls their compliance, and profits from their captivity. The trafficking cause of action brings significant advantages: enhanced damages, longer statutes of limitations, attorney fee provisions, and in some jurisdictions, a private right of action that bypasses traditional tort limitations.</w:t>
      </w:r>
    </w:p>
    <w:p>
      <w:pPr>
        <w:spacing w:after="0" w:before="240" w:line="480"/>
      </w:pPr>
      <w:r>
        <w:rPr>
          <w:rFonts w:ascii="Times New Roman" w:cs="Times New Roman" w:eastAsia="Times New Roman" w:hAnsi="Times New Roman"/>
          <w:b/>
          <w:bCs/>
          <w:i/>
          <w:iCs/>
          <w:sz w:val="24"/>
          <w:szCs w:val="24"/>
        </w:rPr>
        <w:t xml:space="preserve">Expanding Organizational Liability</w:t>
      </w:r>
    </w:p>
    <w:p>
      <w:pPr>
        <w:spacing w:after="0" w:line="480"/>
        <w:ind w:firstLine="720"/>
      </w:pPr>
      <w:r>
        <w:rPr>
          <w:rFonts w:ascii="Times New Roman" w:cs="Times New Roman" w:eastAsia="Times New Roman" w:hAnsi="Times New Roman"/>
          <w:sz w:val="24"/>
          <w:szCs w:val="24"/>
        </w:rPr>
        <w:t xml:space="preserve">The coercive-system theory described throughout this book pushes organizational liability in a new direction. Under this theory, the program is liable not merely for failing to prevent individual misconduct but for designing and operating a system that was inherently harmful. The restraint policy was the problem, not the individual who applied the restraint. The isolation protocol was the problem, not the staff member who locked the door. The level system was the problem, not the counselor who denied privileges. This reframing shifts the liability analysis from the employee to the organization and supports punitive damages based on institutional decision-making.</w:t>
      </w:r>
    </w:p>
    <w:p>
      <w:pPr>
        <w:spacing w:after="0" w:line="480"/>
        <w:ind w:firstLine="720"/>
      </w:pPr>
      <w:r>
        <w:rPr>
          <w:rFonts w:ascii="Times New Roman" w:cs="Times New Roman" w:eastAsia="Times New Roman" w:hAnsi="Times New Roman"/>
          <w:sz w:val="24"/>
          <w:szCs w:val="24"/>
        </w:rPr>
        <w:t xml:space="preserve">TTI cases increasingly involve corporate structures designed to shield the parent entity from liability—programs operating through individual LLCs while the same family or investment group controls the entire network. Piercing the corporate veil, alter ego theory, agency theory, and joint enterprise liability are the tools for reaching the corporate parent. The entity map you built during discovery, as described in Chapter 12, is essential for this analysis.</w:t>
      </w:r>
    </w:p>
    <w:p>
      <w:pPr>
        <w:spacing w:after="0" w:before="240" w:line="480"/>
      </w:pPr>
      <w:r>
        <w:rPr>
          <w:rFonts w:ascii="Times New Roman" w:cs="Times New Roman" w:eastAsia="Times New Roman" w:hAnsi="Times New Roman"/>
          <w:b/>
          <w:bCs/>
          <w:i/>
          <w:iCs/>
          <w:sz w:val="24"/>
          <w:szCs w:val="24"/>
        </w:rPr>
        <w:t xml:space="preserve">Unresolved Questions</w:t>
      </w:r>
    </w:p>
    <w:p>
      <w:pPr>
        <w:spacing w:after="0" w:line="480"/>
        <w:ind w:firstLine="720"/>
      </w:pPr>
      <w:r>
        <w:rPr>
          <w:rFonts w:ascii="Times New Roman" w:cs="Times New Roman" w:eastAsia="Times New Roman" w:hAnsi="Times New Roman"/>
          <w:sz w:val="24"/>
          <w:szCs w:val="24"/>
        </w:rPr>
        <w:t xml:space="preserve">Several fundamental questions remain unresolved, and the next generation of TTI cases will need to answer them. Is the BITE model admissible as expert testimony under Daubert? Every case that presents BITE model testimony is contributing to that precedent. Can coercive control constitute an independent tort in the institutional context? The first appellate decision recognizing it will transform the field. What is the appropriate damages model for developmental theft—the loss of milestones, education, and identity formation that occurs during critical developmental windows? And how do trafficking statutes apply when the institution presents itself as therapeutic rather than exploitative? The practitioners who are litigating these cases right now are defining the answers.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Building the Movement</w:t>
      </w:r>
    </w:p>
    <w:p>
      <w:pPr>
        <w:spacing w:after="0" w:line="480"/>
      </w:pPr>
    </w:p>
    <w:p>
      <w:pPr>
        <w:spacing w:after="0" w:line="480"/>
      </w:pPr>
      <w:r>
        <w:rPr>
          <w:rFonts w:ascii="Times New Roman" w:cs="Times New Roman" w:eastAsia="Times New Roman" w:hAnsi="Times New Roman"/>
          <w:sz w:val="24"/>
          <w:szCs w:val="24"/>
        </w:rPr>
        <w:t xml:space="preserve">One case changes one life. A movement changes the system.</w:t>
      </w:r>
    </w:p>
    <w:p>
      <w:pPr>
        <w:spacing w:after="0" w:line="480"/>
        <w:ind w:firstLine="720"/>
      </w:pPr>
      <w:r>
        <w:rPr>
          <w:rFonts w:ascii="Times New Roman" w:cs="Times New Roman" w:eastAsia="Times New Roman" w:hAnsi="Times New Roman"/>
          <w:sz w:val="24"/>
          <w:szCs w:val="24"/>
        </w:rPr>
        <w:t xml:space="preserve">The TTI reform movement already exists in fragmented form. Survivor organizations like Unsilenced have built communities that share information, identify abusive programs, and support each other through litigation and advocacy. But the legal infrastructure that connects practitioners, organizes evidence, and makes the collective knowledge of the field accessible to every lawyer who takes a case has not yet been fully built.</w:t>
      </w:r>
    </w:p>
    <w:p>
      <w:pPr>
        <w:spacing w:after="0" w:before="240" w:line="480"/>
      </w:pPr>
      <w:r>
        <w:rPr>
          <w:rFonts w:ascii="Times New Roman" w:cs="Times New Roman" w:eastAsia="Times New Roman" w:hAnsi="Times New Roman"/>
          <w:b/>
          <w:bCs/>
          <w:i/>
          <w:iCs/>
          <w:sz w:val="24"/>
          <w:szCs w:val="24"/>
        </w:rPr>
        <w:t xml:space="preserve">The Practitioner Network</w:t>
      </w:r>
    </w:p>
    <w:p>
      <w:pPr>
        <w:spacing w:after="0" w:line="480"/>
        <w:ind w:firstLine="720"/>
      </w:pPr>
      <w:r>
        <w:rPr>
          <w:rFonts w:ascii="Times New Roman" w:cs="Times New Roman" w:eastAsia="Times New Roman" w:hAnsi="Times New Roman"/>
          <w:sz w:val="24"/>
          <w:szCs w:val="24"/>
        </w:rPr>
        <w:t xml:space="preserve">The most immediately impactful thing the TTI litigation bar can build is a shared knowledge network—a practitioner community where lawyers handling TTI cases can share pleadings, discovery strategies, expert contacts, verdict and settlement data, and lessons learned. A lawyer in Utah handling a case against a wilderness program should be able to find the cross-examination outline a lawyer in Florida used against a similar program. A lawyer in Montana should be able to find the BITE model admissibility brief a lawyer in California filed. The cross-institutional insight becomes operational through shared resources.</w:t>
      </w:r>
    </w:p>
    <w:p>
      <w:pPr>
        <w:spacing w:after="0" w:line="480"/>
        <w:ind w:firstLine="720"/>
      </w:pPr>
      <w:r>
        <w:rPr>
          <w:rFonts w:ascii="Times New Roman" w:cs="Times New Roman" w:eastAsia="Times New Roman" w:hAnsi="Times New Roman"/>
          <w:sz w:val="24"/>
          <w:szCs w:val="24"/>
        </w:rPr>
        <w:t xml:space="preserve">This infrastructure is already emerging. Attorney directories connecting survivor-informed practitioners across multiple states—Nevada, California, Utah, Washington, and growing—provide the mechanism for co-counsel referrals, coordinated discovery, and the kind of multi-front litigation pressure that forces systemic change rather than individual settlement. Sponsorship-tiered directories give practitioners access to training materials, privileged archive tools, co-counsel networking, and certification designations that signal their commitment to trauma-informed TTI practice. The economics work: when the network delivers cases, expert referrals, and practice resources, the cost of participation is trivial against the value of connection.</w:t>
      </w:r>
    </w:p>
    <w:p>
      <w:pPr>
        <w:spacing w:after="0" w:before="240" w:line="480"/>
      </w:pPr>
      <w:r>
        <w:rPr>
          <w:rFonts w:ascii="Times New Roman" w:cs="Times New Roman" w:eastAsia="Times New Roman" w:hAnsi="Times New Roman"/>
          <w:b/>
          <w:bCs/>
          <w:i/>
          <w:iCs/>
          <w:sz w:val="24"/>
          <w:szCs w:val="24"/>
        </w:rPr>
        <w:t xml:space="preserve">The Expert Bench</w:t>
      </w:r>
    </w:p>
    <w:p>
      <w:pPr>
        <w:spacing w:after="0" w:line="480"/>
        <w:ind w:firstLine="720"/>
      </w:pPr>
      <w:r>
        <w:rPr>
          <w:rFonts w:ascii="Times New Roman" w:cs="Times New Roman" w:eastAsia="Times New Roman" w:hAnsi="Times New Roman"/>
          <w:sz w:val="24"/>
          <w:szCs w:val="24"/>
        </w:rPr>
        <w:t xml:space="preserve">TTI litigation requires experts that most practice areas do not: coercive control specialists, psychologists with training in complex trauma and institutional settings, industry experts who can testify about standards of care in residential treatment. The supply of qualified experts is limited, and building it is a collective responsibility. The practitioner network should maintain a shared expert database, and every Daubert victory on BITE model or coercive control testimony creates precedent that makes the next expert's admissibility easier to establish.</w:t>
      </w:r>
    </w:p>
    <w:p>
      <w:pPr>
        <w:spacing w:after="0" w:before="240" w:line="480"/>
      </w:pPr>
      <w:r>
        <w:rPr>
          <w:rFonts w:ascii="Times New Roman" w:cs="Times New Roman" w:eastAsia="Times New Roman" w:hAnsi="Times New Roman"/>
          <w:b/>
          <w:bCs/>
          <w:i/>
          <w:iCs/>
          <w:sz w:val="24"/>
          <w:szCs w:val="24"/>
        </w:rPr>
        <w:t xml:space="preserve">The Survivor Advisory Network</w:t>
      </w:r>
    </w:p>
    <w:p>
      <w:pPr>
        <w:spacing w:after="0" w:line="480"/>
        <w:ind w:firstLine="720"/>
      </w:pPr>
      <w:r>
        <w:rPr>
          <w:rFonts w:ascii="Times New Roman" w:cs="Times New Roman" w:eastAsia="Times New Roman" w:hAnsi="Times New Roman"/>
          <w:sz w:val="24"/>
          <w:szCs w:val="24"/>
        </w:rPr>
        <w:t xml:space="preserve">No movement for TTI accountability can succeed without the people who experienced the programs firsthand. Survivors are not just clients. They are witnesses, advocates, educators, and—in many cases—the people who understand how the programs operate better than any expert or lawyer ever will. The survivor advisory network should include former clients from programs across the TTI, creating the connections that strengthen the movement's insight and its collective voice. Organizations like Unsilenced already serve this function and should be central to the network's structure.</w:t>
      </w:r>
    </w:p>
    <w:p>
      <w:pPr>
        <w:spacing w:after="0" w:line="480"/>
        <w:ind w:firstLine="720"/>
      </w:pPr>
      <w:r>
        <w:rPr>
          <w:rFonts w:ascii="Times New Roman" w:cs="Times New Roman" w:eastAsia="Times New Roman" w:hAnsi="Times New Roman"/>
          <w:sz w:val="24"/>
          <w:szCs w:val="24"/>
        </w:rPr>
        <w:t xml:space="preserve">The scale of existing survivor networks is remarkable. Over forty thousand survivors have already connected through advocacy organizations, creating an infrastructure for survey-driven pattern detection, whistleblower identification, and ethical routing of opt-in respondents to qualified attorneys. These networks can identify former participants and former staff of specific programs, corroborate patterns across facilities operated by the same corporate entity, and connect practitioners with witnesses whose experiences strengthen the evidentiary record. Volunteer dig teams—trained investigators who submit public records requests, track corporate filings, and build facility timelines—accelerate case development in ways that traditional investigation cannot match, often obtaining records that law firms have been denied because public records requests from advocacy organizations are processed differently than requests from attorneys involved in active litigation.</w:t>
      </w:r>
    </w:p>
    <w:p>
      <w:pPr>
        <w:spacing w:after="0" w:before="240" w:line="480"/>
      </w:pPr>
      <w:r>
        <w:rPr>
          <w:rFonts w:ascii="Times New Roman" w:cs="Times New Roman" w:eastAsia="Times New Roman" w:hAnsi="Times New Roman"/>
          <w:b/>
          <w:bCs/>
          <w:i/>
          <w:iCs/>
          <w:sz w:val="24"/>
          <w:szCs w:val="24"/>
        </w:rPr>
        <w:t xml:space="preserve">Technology as Infrastructure</w:t>
      </w:r>
    </w:p>
    <w:p>
      <w:pPr>
        <w:spacing w:after="0" w:line="480"/>
        <w:ind w:firstLine="720"/>
      </w:pPr>
      <w:r>
        <w:rPr>
          <w:rFonts w:ascii="Times New Roman" w:cs="Times New Roman" w:eastAsia="Times New Roman" w:hAnsi="Times New Roman"/>
          <w:sz w:val="24"/>
          <w:szCs w:val="24"/>
        </w:rPr>
        <w:t xml:space="preserve">The TTI reform movement needs a case intelligence platform where lawyers can search a database of TTI defendants—by name, by corporate parent, by state—and find every prior complaint, regulatory finding, lawsuit, and settlement involving that program. The platform should include a document repository of model pleadings and trial materials, a verdict and settlement database, an expert witness directory, and AI-powered research capabilities. The technology exists today. What is needed is the organizational infrastructure to build it.</w:t>
      </w:r>
    </w:p>
    <w:p>
      <w:pPr>
        <w:spacing w:after="0" w:line="480"/>
        <w:ind w:firstLine="720"/>
      </w:pPr>
      <w:r>
        <w:rPr>
          <w:rFonts w:ascii="Times New Roman" w:cs="Times New Roman" w:eastAsia="Times New Roman" w:hAnsi="Times New Roman"/>
          <w:sz w:val="24"/>
          <w:szCs w:val="24"/>
        </w:rPr>
        <w:t xml:space="preserve">That infrastructure is being built now. AI-driven archives ingesting documents nightly across twenty-eight states—DHHS reports, public records requests, licensing histories, litigation records, ownership structures—are creating a searchable corpus that will eventually exceed a hundred thousand documents. The backend includes historical cases and precedents dating back decades, enabling attorneys to trace patterns of abuse, staff migration, and corporate restructuring across time and jurisdictions. When this archive is fully operational, it will transform the economics of TTI litigation: the weeks of investigation that currently precede every new case will compress to hours of targeted research against a comprehensive knowledge base.</w:t>
      </w:r>
    </w:p>
    <w:p>
      <w:pPr>
        <w:spacing w:after="0" w:before="240" w:line="480"/>
      </w:pPr>
      <w:r>
        <w:rPr>
          <w:rFonts w:ascii="Times New Roman" w:cs="Times New Roman" w:eastAsia="Times New Roman" w:hAnsi="Times New Roman"/>
          <w:b/>
          <w:bCs/>
          <w:i/>
          <w:iCs/>
          <w:sz w:val="24"/>
          <w:szCs w:val="24"/>
        </w:rPr>
        <w:t xml:space="preserve">Attorney Education and Training</w:t>
      </w:r>
    </w:p>
    <w:p>
      <w:pPr>
        <w:spacing w:after="0" w:line="480"/>
        <w:ind w:firstLine="720"/>
      </w:pPr>
      <w:r>
        <w:rPr>
          <w:rFonts w:ascii="Times New Roman" w:cs="Times New Roman" w:eastAsia="Times New Roman" w:hAnsi="Times New Roman"/>
          <w:sz w:val="24"/>
          <w:szCs w:val="24"/>
        </w:rPr>
        <w:t xml:space="preserve">The TTI litigation bar will not grow through books alone. It will grow through sustained, accessible training that meets attorneys where they are. Monthly Zoom sessions—co-presented by experienced practitioners and survivor leaders—provide ongoing education without the cost and time commitment of national conferences. State trial lawyer association presentations put TTI litigation methodologies in front of practitioners who handle personal injury and civil rights cases but have never considered institutional abuse. Trial Lawyers College and university programs provide intensive immersion for lawyers who want to specialize. The training pipeline should operate on multiple timescales: a two-hour CLE introduction for attorneys who are curious, a full-day workshop for attorneys who have a case, and an ongoing mentorship network for attorneys who are building a TTI practice.</w:t>
      </w:r>
    </w:p>
    <w:p>
      <w:pPr>
        <w:spacing w:after="0" w:line="480"/>
        <w:ind w:firstLine="720"/>
      </w:pPr>
      <w:r>
        <w:rPr>
          <w:rFonts w:ascii="Times New Roman" w:cs="Times New Roman" w:eastAsia="Times New Roman" w:hAnsi="Times New Roman"/>
          <w:sz w:val="24"/>
          <w:szCs w:val="24"/>
        </w:rPr>
        <w:t xml:space="preserve">Survivor co-presentation is essential—not as a token gesture but as a pedagogical methodology. When a survivor stands next to a trial lawyer and describes the same case from the other side of the relationship, attorneys learn things that no textbook can teach. They learn what it feels like to be a client in these cases. They learn what trauma-informed representation actually looks like from the recipient's perspective. They learn why certain approaches to witness preparation, settlement negotiation, and courtroom presentation either empower or retraumatize the people they are supposed to serve.</w:t>
      </w:r>
    </w:p>
    <w:p>
      <w:pPr>
        <w:spacing w:after="0" w:before="240" w:line="480"/>
      </w:pPr>
      <w:r>
        <w:rPr>
          <w:rFonts w:ascii="Times New Roman" w:cs="Times New Roman" w:eastAsia="Times New Roman" w:hAnsi="Times New Roman"/>
          <w:b/>
          <w:bCs/>
          <w:i/>
          <w:iCs/>
          <w:sz w:val="24"/>
          <w:szCs w:val="24"/>
        </w:rPr>
        <w:t xml:space="preserve">The Media Strategy</w:t>
      </w:r>
    </w:p>
    <w:p>
      <w:pPr>
        <w:spacing w:after="0" w:line="480"/>
        <w:ind w:firstLine="720"/>
      </w:pPr>
      <w:r>
        <w:rPr>
          <w:rFonts w:ascii="Times New Roman" w:cs="Times New Roman" w:eastAsia="Times New Roman" w:hAnsi="Times New Roman"/>
          <w:sz w:val="24"/>
          <w:szCs w:val="24"/>
        </w:rPr>
        <w:t xml:space="preserve">Public awareness drives legislative reform, regulatory action, and case development. The media strategy must shift from individual stories—</w:t>
      </w:r>
      <w:r>
        <w:rPr>
          <w:rFonts w:ascii="Times New Roman" w:cs="Times New Roman" w:eastAsia="Times New Roman" w:hAnsi="Times New Roman"/>
          <w:i/>
          <w:iCs/>
          <w:sz w:val="24"/>
          <w:szCs w:val="24"/>
        </w:rPr>
        <w:t xml:space="preserve">this program abused this child</w:t>
      </w:r>
      <w:r>
        <w:rPr>
          <w:rFonts w:ascii="Times New Roman" w:cs="Times New Roman" w:eastAsia="Times New Roman" w:hAnsi="Times New Roman"/>
          <w:sz w:val="24"/>
          <w:szCs w:val="24"/>
        </w:rPr>
        <w:t xml:space="preserve">—to systemic narrative: programs across the industry are using the same mechanisms of coercive control, the regulatory system is failing to prevent it, and the legal system is developing the tools to hold them accountable. This systemic narrative connects individual stories into a pattern that demands a systemic response. Invest in long-term relationships with journalists who cover the beat consistently and who understand the BITE model, the coercive-system theory, and the regulatory landscape.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What the Survivors Need from You</w:t>
      </w:r>
    </w:p>
    <w:p>
      <w:pPr>
        <w:spacing w:after="0" w:line="480"/>
      </w:pPr>
    </w:p>
    <w:p>
      <w:pPr>
        <w:spacing w:after="0" w:line="480"/>
      </w:pPr>
      <w:r>
        <w:rPr>
          <w:rFonts w:ascii="Times New Roman" w:cs="Times New Roman" w:eastAsia="Times New Roman" w:hAnsi="Times New Roman"/>
          <w:sz w:val="24"/>
          <w:szCs w:val="24"/>
        </w:rPr>
        <w:t xml:space="preserve">Every survivor who walks into your office has already overcome something extraordinary just by showing up.</w:t>
      </w:r>
    </w:p>
    <w:p>
      <w:pPr>
        <w:spacing w:after="0" w:line="480"/>
        <w:ind w:firstLine="720"/>
      </w:pPr>
      <w:r>
        <w:rPr>
          <w:rFonts w:ascii="Times New Roman" w:cs="Times New Roman" w:eastAsia="Times New Roman" w:hAnsi="Times New Roman"/>
          <w:sz w:val="24"/>
          <w:szCs w:val="24"/>
        </w:rPr>
        <w:t xml:space="preserve">They have survived the program. They have survived the aftermath—the years of symptoms, broken relationships, lost opportunities, and self-doubt that TTI abuse leaves in its wake. They have survived the silence, the minimization, the gaslighting that tells them their experience was not that bad, that they are being dramatic, that they should have gotten over it by now. And then they walked into your office, which required them to trust a professional—to trust an institution, in a sense—one more time.</w:t>
      </w:r>
    </w:p>
    <w:p>
      <w:pPr>
        <w:spacing w:after="0" w:line="480"/>
        <w:ind w:firstLine="720"/>
      </w:pPr>
      <w:r>
        <w:rPr>
          <w:rFonts w:ascii="Times New Roman" w:cs="Times New Roman" w:eastAsia="Times New Roman" w:hAnsi="Times New Roman"/>
          <w:sz w:val="24"/>
          <w:szCs w:val="24"/>
        </w:rPr>
        <w:t xml:space="preserve">Do not waste that trust.</w:t>
      </w:r>
    </w:p>
    <w:p>
      <w:pPr>
        <w:spacing w:after="0" w:line="480"/>
        <w:ind w:firstLine="720"/>
      </w:pPr>
      <w:r>
        <w:rPr>
          <w:rFonts w:ascii="Times New Roman" w:cs="Times New Roman" w:eastAsia="Times New Roman" w:hAnsi="Times New Roman"/>
          <w:sz w:val="24"/>
          <w:szCs w:val="24"/>
        </w:rPr>
        <w:t xml:space="preserve">What survivors need from you is not perfection. They need honesty about what the legal process can and cannot deliver. They need transparency about the timeline, the costs, the emotional demands, and the realistic range of outcomes. They need you to believe them—not with performative outrage, but with the steady conviction that comes from understanding exactly how these programs work and why your client's account is consistent with everything the evidence reveals. They need you to see them as whole people, not as case files or damage models.</w:t>
      </w:r>
    </w:p>
    <w:p>
      <w:pPr>
        <w:spacing w:after="0" w:line="480"/>
        <w:ind w:firstLine="720"/>
      </w:pPr>
      <w:r>
        <w:rPr>
          <w:rFonts w:ascii="Times New Roman" w:cs="Times New Roman" w:eastAsia="Times New Roman" w:hAnsi="Times New Roman"/>
          <w:sz w:val="24"/>
          <w:szCs w:val="24"/>
        </w:rPr>
        <w:t xml:space="preserve">They also need you to understand something that is easy to forget in the heat of trial preparation: for most survivors, the litigation is not about money. It is about being heard. It is about a system—a court, a jury, a judge—looking at what happened and saying, officially and publicly, </w:t>
      </w:r>
      <w:r>
        <w:rPr>
          <w:rFonts w:ascii="Times New Roman" w:cs="Times New Roman" w:eastAsia="Times New Roman" w:hAnsi="Times New Roman"/>
          <w:i/>
          <w:iCs/>
          <w:sz w:val="24"/>
          <w:szCs w:val="24"/>
        </w:rPr>
        <w:t xml:space="preserve">this was wrong.</w:t>
      </w:r>
      <w:r>
        <w:rPr>
          <w:rFonts w:ascii="Times New Roman" w:cs="Times New Roman" w:eastAsia="Times New Roman" w:hAnsi="Times New Roman"/>
          <w:sz w:val="24"/>
          <w:szCs w:val="24"/>
        </w:rPr>
        <w:t xml:space="preserve"> The monetary award is important because it is the language of accountability that programs understand. But the verdict itself—the act of a community of strangers affirming that what happened mattered—is often more healing than the dollar amount that accompanies it.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Cost and the Calling</w:t>
      </w:r>
    </w:p>
    <w:p>
      <w:pPr>
        <w:spacing w:after="0" w:line="480"/>
      </w:pPr>
    </w:p>
    <w:p>
      <w:pPr>
        <w:spacing w:after="0" w:line="480"/>
      </w:pPr>
      <w:r>
        <w:rPr>
          <w:rFonts w:ascii="Times New Roman" w:cs="Times New Roman" w:eastAsia="Times New Roman" w:hAnsi="Times New Roman"/>
          <w:sz w:val="24"/>
          <w:szCs w:val="24"/>
        </w:rPr>
        <w:t xml:space="preserve">I will not pretend that this work does not exact a price.</w:t>
      </w:r>
    </w:p>
    <w:p>
      <w:pPr>
        <w:spacing w:after="0" w:line="480"/>
        <w:ind w:firstLine="720"/>
      </w:pPr>
      <w:r>
        <w:rPr>
          <w:rFonts w:ascii="Times New Roman" w:cs="Times New Roman" w:eastAsia="Times New Roman" w:hAnsi="Times New Roman"/>
          <w:sz w:val="24"/>
          <w:szCs w:val="24"/>
        </w:rPr>
        <w:t xml:space="preserve">You will hear stories that you cannot unhear. You will sit with rage that has no adequate outlet. You will carry details of abuse that your family and friends cannot comprehend. You will lose cases that you should have won, and you will wonder whether the system is capable of delivering the justice you promised your clients. You will experience vicarious trauma, compassion fatigue, and the specific loneliness of doing work that most people would rather not think about.</w:t>
      </w:r>
    </w:p>
    <w:p>
      <w:pPr>
        <w:spacing w:after="0" w:line="480"/>
        <w:ind w:firstLine="720"/>
      </w:pPr>
      <w:r>
        <w:rPr>
          <w:rFonts w:ascii="Times New Roman" w:cs="Times New Roman" w:eastAsia="Times New Roman" w:hAnsi="Times New Roman"/>
          <w:sz w:val="24"/>
          <w:szCs w:val="24"/>
        </w:rPr>
        <w:t xml:space="preserve">Name it. Plan for it. Build your practice with the assumption that it will happen, not the hope that it will not. Therapy—not as a crisis response but as a maintenance practice. Peer support—a small group of colleagues who understand the work and can hold the weight with you. AI-assisted preparation—to reduce the hours you spend immersed in the most devastating material. Practice boundaries—the recognition that working eighty-hour weeks on these cases is not dedication but self-destruction. And the hardest one: the willingness to take a break, to step away for a season, to come back stronger rather than pushing through until there is nothing left.</w:t>
      </w:r>
    </w:p>
    <w:p>
      <w:pPr>
        <w:spacing w:after="0" w:line="480"/>
        <w:ind w:firstLine="720"/>
      </w:pPr>
      <w:r>
        <w:rPr>
          <w:rFonts w:ascii="Times New Roman" w:cs="Times New Roman" w:eastAsia="Times New Roman" w:hAnsi="Times New Roman"/>
          <w:sz w:val="24"/>
          <w:szCs w:val="24"/>
        </w:rPr>
        <w:t xml:space="preserve">You are not expendable. The movement cannot afford to lose you. And the survivors who have not yet found their way to your office need you to still be here when they arrive.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Moral Argument</w:t>
      </w:r>
    </w:p>
    <w:p>
      <w:pPr>
        <w:spacing w:after="0" w:line="480"/>
      </w:pPr>
    </w:p>
    <w:p>
      <w:pPr>
        <w:spacing w:after="0" w:line="480"/>
      </w:pPr>
      <w:r>
        <w:rPr>
          <w:rFonts w:ascii="Times New Roman" w:cs="Times New Roman" w:eastAsia="Times New Roman" w:hAnsi="Times New Roman"/>
          <w:sz w:val="24"/>
          <w:szCs w:val="24"/>
        </w:rPr>
        <w:t xml:space="preserve">This book has been deliberately practical. But underneath all of it is a moral argument that deserves to be stated plainly.</w:t>
      </w:r>
    </w:p>
    <w:p>
      <w:pPr>
        <w:spacing w:after="0" w:line="480"/>
        <w:ind w:firstLine="720"/>
      </w:pPr>
      <w:r>
        <w:rPr>
          <w:rFonts w:ascii="Times New Roman" w:cs="Times New Roman" w:eastAsia="Times New Roman" w:hAnsi="Times New Roman"/>
          <w:sz w:val="24"/>
          <w:szCs w:val="24"/>
        </w:rPr>
        <w:t xml:space="preserve">We live in a society that entrusts its most vulnerable young people to programs that operate with minimal oversight, enormous financial incentives, and a structural power imbalance that makes abuse not just possible but predictable. When that abuse occurs, the legal system responds with statutes of limitations that expire before survivors are developmentally capable of understanding what happened to them, damage caps that treat institutional abuse as less serious than a car accident, and evidentiary rules that privilege program documentation over survivor testimony. This is not an accident. It is a policy choice. And it is a policy choice that can be changed.</w:t>
      </w:r>
    </w:p>
    <w:p>
      <w:pPr>
        <w:spacing w:after="0" w:line="480"/>
        <w:ind w:firstLine="720"/>
      </w:pPr>
      <w:r>
        <w:rPr>
          <w:rFonts w:ascii="Times New Roman" w:cs="Times New Roman" w:eastAsia="Times New Roman" w:hAnsi="Times New Roman"/>
          <w:sz w:val="24"/>
          <w:szCs w:val="24"/>
        </w:rPr>
        <w:t xml:space="preserve">Every case you bring is an argument for that change. Every verdict you win establishes precedent. Every settlement you negotiate creates financial consequences that alter program behavior. Every deposition you take builds a record. Every motion you file advances a legal theory. And every survivor you represent adds their voice to a growing chorus that the current system of TTI accountability is inadequate.</w:t>
      </w:r>
    </w:p>
    <w:p>
      <w:pPr>
        <w:spacing w:after="0" w:line="480"/>
        <w:ind w:firstLine="720"/>
      </w:pPr>
      <w:r>
        <w:rPr>
          <w:rFonts w:ascii="Times New Roman" w:cs="Times New Roman" w:eastAsia="Times New Roman" w:hAnsi="Times New Roman"/>
          <w:sz w:val="24"/>
          <w:szCs w:val="24"/>
        </w:rPr>
        <w:t xml:space="preserve">You are not just litigating cases. You are building the evidentiary foundation for a different world—one in which programs that hold power over children are subject to meaningful oversight, genuine accountability, and consequences that make abuse economically irrational. That world does not exist yet. But it is closer than it was before, and every practitioner who picks up this book and does the work brings it closer still.</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line="480"/>
      </w:pPr>
      <w:r>
        <w:rPr>
          <w:rFonts w:ascii="Times New Roman" w:cs="Times New Roman" w:eastAsia="Times New Roman" w:hAnsi="Times New Roman"/>
          <w:sz w:val="24"/>
          <w:szCs w:val="24"/>
        </w:rPr>
        <w:t xml:space="preserve">There is a moment in every TTI case that no legal textbook prepares you for. It comes after the verdict, after the appeals, after the settlement conference—sometimes years after. Your client calls you, or sends a letter, or stops by the office unannounced. And they tell you something that has nothing to do with the dollar amount or the legal precedent. They tell you that for the first time, they believe what happened to them was not their fault. They tell you that they told their children about it, and their children understood. They tell you that they sleep through the night now, or that they went back to school, or that they are able to hold a job, or that they laughed—really laughed—for the first time in years.</w:t>
      </w:r>
    </w:p>
    <w:p>
      <w:pPr>
        <w:spacing w:after="0" w:line="480"/>
        <w:ind w:firstLine="720"/>
      </w:pPr>
      <w:r>
        <w:rPr>
          <w:rFonts w:ascii="Times New Roman" w:cs="Times New Roman" w:eastAsia="Times New Roman" w:hAnsi="Times New Roman"/>
          <w:sz w:val="24"/>
          <w:szCs w:val="24"/>
        </w:rPr>
        <w:t xml:space="preserve">That is what you are fighting for. Not the verdict, though the verdict matters. Not the money, though the money matters. You are fighting for the moment when a human being who was told by a program that they were worthless, broken, and deserving of what happened to them looks you in the eye and says: </w:t>
      </w:r>
      <w:r>
        <w:rPr>
          <w:rFonts w:ascii="Times New Roman" w:cs="Times New Roman" w:eastAsia="Times New Roman" w:hAnsi="Times New Roman"/>
          <w:i/>
          <w:iCs/>
          <w:sz w:val="24"/>
          <w:szCs w:val="24"/>
        </w:rPr>
        <w:t xml:space="preserve">I know that is not true.</w:t>
      </w:r>
    </w:p>
    <w:p>
      <w:pPr>
        <w:spacing w:after="0" w:line="480"/>
        <w:ind w:firstLine="720"/>
      </w:pPr>
      <w:r>
        <w:rPr>
          <w:rFonts w:ascii="Times New Roman" w:cs="Times New Roman" w:eastAsia="Times New Roman" w:hAnsi="Times New Roman"/>
          <w:sz w:val="24"/>
          <w:szCs w:val="24"/>
        </w:rPr>
        <w:t xml:space="preserve">The road ahead is long. The opponents are well-funded. The legal landscape is still evolving. The emotional demands are enormous. But you are not alone. You are part of a community of practitioners who share your commitment, a tradition of advocacy that stretches back to the first lawyer who stood up and said that what a program did to a vulnerable child was wrong, and a movement that is gaining strength with every case that is filed, every verdict that is returned, and every survivor who finds the courage to come forward.</w:t>
      </w:r>
    </w:p>
    <w:p>
      <w:pPr>
        <w:spacing w:after="0" w:line="480"/>
        <w:ind w:firstLine="720"/>
      </w:pPr>
      <w:r>
        <w:rPr>
          <w:rFonts w:ascii="Times New Roman" w:cs="Times New Roman" w:eastAsia="Times New Roman" w:hAnsi="Times New Roman"/>
          <w:sz w:val="24"/>
          <w:szCs w:val="24"/>
        </w:rPr>
        <w:t xml:space="preserve">Pick up the phone. Take the case. Do the work.</w:t>
      </w:r>
    </w:p>
    <w:p>
      <w:pPr>
        <w:spacing w:after="0" w:line="480"/>
        <w:ind w:firstLine="720"/>
      </w:pPr>
      <w:r>
        <w:rPr>
          <w:rFonts w:ascii="Times New Roman" w:cs="Times New Roman" w:eastAsia="Times New Roman" w:hAnsi="Times New Roman"/>
          <w:sz w:val="24"/>
          <w:szCs w:val="24"/>
        </w:rPr>
        <w:t xml:space="preserve">They are waiting for you.</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line="480"/>
        <w:jc w:val="center"/>
      </w:pPr>
      <w:r>
        <w:rPr>
          <w:rFonts w:ascii="Times New Roman" w:cs="Times New Roman" w:eastAsia="Times New Roman" w:hAnsi="Times New Roman"/>
          <w:i/>
          <w:iCs/>
          <w:sz w:val="24"/>
          <w:szCs w:val="24"/>
        </w:rPr>
        <w:t xml:space="preserve">End of Part V</w:t>
      </w:r>
    </w:p>
    <w:p>
      <w:pPr>
        <w:spacing w:after="0" w:line="480"/>
      </w:pPr>
    </w:p>
    <w:p>
      <w:pPr>
        <w:spacing w:after="0" w:line="480"/>
        <w:jc w:val="center"/>
      </w:pPr>
      <w:r>
        <w:rPr>
          <w:rFonts w:ascii="Times New Roman" w:cs="Times New Roman" w:eastAsia="Times New Roman" w:hAnsi="Times New Roman"/>
          <w:i/>
          <w:iCs/>
          <w:sz w:val="24"/>
          <w:szCs w:val="24"/>
        </w:rPr>
        <w:t xml:space="preserve">End of Breaking the System: TTI Edition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The Road Ahead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2026-05-13T20:45:14.123Z</dcterms:created>
  <dcterms:modified xsi:type="dcterms:W3CDTF">2026-05-13T20:45:14.123Z</dcterms:modified>
</cp:coreProperties>
</file>

<file path=docProps/custom.xml><?xml version="1.0" encoding="utf-8"?>
<Properties xmlns="http://schemas.openxmlformats.org/officeDocument/2006/custom-properties" xmlns:vt="http://schemas.openxmlformats.org/officeDocument/2006/docPropsVTypes"/>
</file>