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20</w:t>
      </w:r>
    </w:p>
    <w:p>
      <w:pPr>
        <w:spacing w:after="0" w:line="480"/>
      </w:pPr>
    </w:p>
    <w:p>
      <w:pPr>
        <w:spacing w:after="0" w:line="480"/>
        <w:jc w:val="center"/>
      </w:pPr>
      <w:r>
        <w:rPr>
          <w:rFonts w:ascii="Times New Roman" w:cs="Times New Roman" w:eastAsia="Times New Roman" w:hAnsi="Times New Roman"/>
          <w:sz w:val="24"/>
          <w:szCs w:val="24"/>
        </w:rPr>
        <w:t xml:space="preserve">Presenting to Every Audience</w:t>
      </w:r>
    </w:p>
    <w:p>
      <w:pPr>
        <w:spacing w:after="0" w:line="480"/>
        <w:jc w:val="center"/>
      </w:pPr>
      <w:r>
        <w:rPr>
          <w:rFonts w:ascii="Times New Roman" w:cs="Times New Roman" w:eastAsia="Times New Roman" w:hAnsi="Times New Roman"/>
          <w:i/>
          <w:iCs/>
          <w:sz w:val="24"/>
          <w:szCs w:val="24"/>
        </w:rPr>
        <w:t xml:space="preserve">The Discipline of Persuasion Beyond the Courtroom</w:t>
      </w:r>
    </w:p>
    <w:p>
      <w:pPr>
        <w:spacing w:after="0" w:line="480"/>
      </w:pPr>
    </w:p>
    <w:p>
      <w:pPr>
        <w:spacing w:after="0" w:line="480"/>
      </w:pPr>
      <w:r>
        <w:rPr>
          <w:rFonts w:ascii="Times New Roman" w:cs="Times New Roman" w:eastAsia="Times New Roman" w:hAnsi="Times New Roman"/>
          <w:sz w:val="24"/>
          <w:szCs w:val="24"/>
        </w:rPr>
        <w:t xml:space="preserve">Every TTI case tells the same underlying story. A family trusted a program. That program betrayed that trust through coercion, isolation, and abuse. A child was harmed. The program resisted accountability. You fight for that child's vindication.</w:t>
      </w:r>
    </w:p>
    <w:p>
      <w:pPr>
        <w:spacing w:after="0" w:line="480"/>
        <w:ind w:firstLine="720"/>
      </w:pPr>
      <w:r>
        <w:rPr>
          <w:rFonts w:ascii="Times New Roman" w:cs="Times New Roman" w:eastAsia="Times New Roman" w:hAnsi="Times New Roman"/>
          <w:sz w:val="24"/>
          <w:szCs w:val="24"/>
        </w:rPr>
        <w:t xml:space="preserve">But here is what changes: how you tell that story. The facts do not shift. What shifts is the frame—which part of the truth you lead with, which incentive you activate, which version of the hero's journey you invite your audience to enter. The evidence remains constant. The narrative adapts.</w:t>
      </w:r>
    </w:p>
    <w:p>
      <w:pPr>
        <w:spacing w:after="0" w:line="480"/>
        <w:ind w:firstLine="720"/>
      </w:pPr>
      <w:r>
        <w:rPr>
          <w:rFonts w:ascii="Times New Roman" w:cs="Times New Roman" w:eastAsia="Times New Roman" w:hAnsi="Times New Roman"/>
          <w:sz w:val="24"/>
          <w:szCs w:val="24"/>
        </w:rPr>
        <w:t xml:space="preserve">Walk into a trial and your jurors are ordinary citizens being asked to protect the community. Walk into a motion hearing and your judge is a neutral arbiter weighing legal standards. Walk into mediation and your mediator is a dealmaker calculating closure. Walk into a legislative hearing and your legislator is a politician measuring political risk. Walk into a family meeting and your audience is parents carrying guilt they may never articulate. Each of these audiences is on a different journey. Each has different fears, different professional pressures, different emotional needs. The truth you are offering them is the same. The door you walk through—the language you speak, the hero's role you offer them—is different for each one.</w:t>
      </w:r>
    </w:p>
    <w:p>
      <w:pPr>
        <w:spacing w:after="0" w:line="480"/>
        <w:ind w:firstLine="720"/>
      </w:pPr>
      <w:r>
        <w:rPr>
          <w:rFonts w:ascii="Times New Roman" w:cs="Times New Roman" w:eastAsia="Times New Roman" w:hAnsi="Times New Roman"/>
          <w:sz w:val="24"/>
          <w:szCs w:val="24"/>
        </w:rPr>
        <w:t xml:space="preserve">This chapter teaches you to practice persuasion as a discipline, not a performance. Persuasion is not spin. It is the deliberate work of understanding what your audience needs to hear, why they need to hear it, and how to translate your case into a frame that serves both the truth and the audience simultaneously. This is the work that separates the trial lawyer who wins cases from the advocate who changes a system.</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Universal Principle: Incentives, Not Arguments</w:t>
      </w:r>
    </w:p>
    <w:p>
      <w:pPr>
        <w:spacing w:after="0" w:line="480"/>
      </w:pPr>
    </w:p>
    <w:p>
      <w:pPr>
        <w:spacing w:after="0" w:line="480"/>
      </w:pPr>
      <w:r>
        <w:rPr>
          <w:rFonts w:ascii="Times New Roman" w:cs="Times New Roman" w:eastAsia="Times New Roman" w:hAnsi="Times New Roman"/>
          <w:sz w:val="24"/>
          <w:szCs w:val="24"/>
        </w:rPr>
        <w:t xml:space="preserve">Before you open your mouth in any setting, ask yourself one question: What does my audience need?</w:t>
      </w:r>
    </w:p>
    <w:p>
      <w:pPr>
        <w:spacing w:after="0" w:line="480"/>
        <w:ind w:firstLine="720"/>
      </w:pPr>
      <w:r>
        <w:rPr>
          <w:rFonts w:ascii="Times New Roman" w:cs="Times New Roman" w:eastAsia="Times New Roman" w:hAnsi="Times New Roman"/>
          <w:sz w:val="24"/>
          <w:szCs w:val="24"/>
        </w:rPr>
        <w:t xml:space="preserve">Not what you want them to believe. Not what the evidence proves. What they need—to feel, to believe, to do. What do they need to become in order to act on behalf of your client?</w:t>
      </w:r>
    </w:p>
    <w:p>
      <w:pPr>
        <w:spacing w:after="0" w:line="480"/>
        <w:ind w:firstLine="720"/>
      </w:pPr>
      <w:r>
        <w:rPr>
          <w:rFonts w:ascii="Times New Roman" w:cs="Times New Roman" w:eastAsia="Times New Roman" w:hAnsi="Times New Roman"/>
          <w:sz w:val="24"/>
          <w:szCs w:val="24"/>
        </w:rPr>
        <w:t xml:space="preserve">People do not think in pure logic. They think through frames, metaphors, and narratives that feel true before they check whether they are true. Language shapes reason. The way you present an idea—the words you choose, the story you tell, the incentive structure you make visible—determines how your audience will process that idea. You can have the strongest evidence in the world and still lose if your audience does not have a reason to believe you, if the frame you offer contradicts the frames they already hold. Facts alone do not persuade. Frames do. Frames provide permission to believe the facts.</w:t>
      </w:r>
    </w:p>
    <w:p>
      <w:pPr>
        <w:spacing w:after="0" w:line="480"/>
        <w:ind w:firstLine="720"/>
      </w:pPr>
      <w:r>
        <w:rPr>
          <w:rFonts w:ascii="Times New Roman" w:cs="Times New Roman" w:eastAsia="Times New Roman" w:hAnsi="Times New Roman"/>
          <w:sz w:val="24"/>
          <w:szCs w:val="24"/>
        </w:rPr>
        <w:t xml:space="preserve">People respond to incentives. Not the incentives you think they have—the incentives that actually move them, the ones operating beneath conscious awareness. A parent does not install a child's car seat because of a logical argument about physics. She does it because she is terrified of losing her child. A judge does not grant a motion because you cited every applicable case. She grants it because she is afraid of reversal on appeal, because her professional reputation depends on getting the law right.</w:t>
      </w:r>
    </w:p>
    <w:p>
      <w:pPr>
        <w:spacing w:after="0" w:line="480"/>
        <w:ind w:firstLine="720"/>
      </w:pPr>
      <w:r>
        <w:rPr>
          <w:rFonts w:ascii="Times New Roman" w:cs="Times New Roman" w:eastAsia="Times New Roman" w:hAnsi="Times New Roman"/>
          <w:sz w:val="24"/>
          <w:szCs w:val="24"/>
        </w:rPr>
        <w:t xml:space="preserve">The first law of persuasion: never make your audience feel stupid or wrong. When you walk into a courtroom and your opening statement contradicts what a juror believes about institutions—that parents who send children to programs are good parents, that programs staffed by adults must be safe—you are not just correcting her. You are outshining her. You are saying, in effect, that what she thought was true is not. Her first instinct is to resist you, not believe you. She will defend her earlier belief because accepting your evidence means admitting she was fooled—or worse, that she is foolish. She will protect her identity by rejecting your frame.</w:t>
      </w:r>
    </w:p>
    <w:p>
      <w:pPr>
        <w:spacing w:after="0" w:line="480"/>
        <w:ind w:firstLine="720"/>
      </w:pPr>
      <w:r>
        <w:rPr>
          <w:rFonts w:ascii="Times New Roman" w:cs="Times New Roman" w:eastAsia="Times New Roman" w:hAnsi="Times New Roman"/>
          <w:sz w:val="24"/>
          <w:szCs w:val="24"/>
        </w:rPr>
        <w:t xml:space="preserve">The principle: Before you open your mouth, understand what your audience needs to feel, believe, and do—and why. Once you understand the incentive, you can frame the truth in a way that activates it. You are not lying. You are translating. You are choosing which elements of the truth to emphasize, which story to tell, which journey to invite your audience to take. You are removing the barriers between them and the truth by framing that truth through their own concerns.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StoryBrand Frame: Every Audience Is the Hero</w:t>
      </w:r>
    </w:p>
    <w:p>
      <w:pPr>
        <w:spacing w:after="0" w:line="480"/>
      </w:pPr>
    </w:p>
    <w:p>
      <w:pPr>
        <w:spacing w:after="0" w:line="480"/>
      </w:pPr>
      <w:r>
        <w:rPr>
          <w:rFonts w:ascii="Times New Roman" w:cs="Times New Roman" w:eastAsia="Times New Roman" w:hAnsi="Times New Roman"/>
          <w:sz w:val="24"/>
          <w:szCs w:val="24"/>
        </w:rPr>
        <w:t xml:space="preserve">The StoryBrand framework solved a problem that had plagued communicators for decades: most advocacy fails because it is focused on the advocate, not the audience.</w:t>
      </w:r>
    </w:p>
    <w:p>
      <w:pPr>
        <w:spacing w:after="0" w:line="480"/>
        <w:ind w:firstLine="720"/>
      </w:pPr>
      <w:r>
        <w:rPr>
          <w:rFonts w:ascii="Times New Roman" w:cs="Times New Roman" w:eastAsia="Times New Roman" w:hAnsi="Times New Roman"/>
          <w:sz w:val="24"/>
          <w:szCs w:val="24"/>
        </w:rPr>
        <w:t xml:space="preserve">Transfer that insight to TTI litigation. Your audience is always the hero. Never the spectator. Never the supporting character. The hero. Your job is not to be the hero. Your job is to show them their own heroism and invite them into it—to help them understand what they can become by deciding your case, settling your case, passing your legislation, or telling your story.</w:t>
      </w:r>
    </w:p>
    <w:p>
      <w:pPr>
        <w:spacing w:after="0" w:line="480"/>
        <w:ind w:firstLine="720"/>
      </w:pPr>
      <w:r>
        <w:rPr>
          <w:rFonts w:ascii="Times New Roman" w:cs="Times New Roman" w:eastAsia="Times New Roman" w:hAnsi="Times New Roman"/>
          <w:sz w:val="24"/>
          <w:szCs w:val="24"/>
        </w:rPr>
        <w:t xml:space="preserve">The Hero's Journey maps the audience's emotional trajectory. The hero starts in the ordinary world, content and unaware. She receives a call to adventure—something that disrupts her world and forces her to change. She crosses a threshold into unknown territory, faces trials that test her courage. With help from a guide, she defeats the shadow—the villain, the obstacle. She returns to the ordinary world transformed, carrying an elixir that changes not just her life but her entire community.</w:t>
      </w:r>
    </w:p>
    <w:p>
      <w:pPr>
        <w:spacing w:after="0" w:line="480"/>
        <w:ind w:firstLine="720"/>
      </w:pPr>
      <w:r>
        <w:rPr>
          <w:rFonts w:ascii="Times New Roman" w:cs="Times New Roman" w:eastAsia="Times New Roman" w:hAnsi="Times New Roman"/>
          <w:sz w:val="24"/>
          <w:szCs w:val="24"/>
        </w:rPr>
        <w:t xml:space="preserve">In TTI cases, every audience is on a version of this journey. The frame changes. The hero changes. The call to action changes. But the structure is eternal. You are not the hero. You are the guide—the mentor who helps the audience see the path.</w:t>
      </w:r>
    </w:p>
    <w:p>
      <w:pPr>
        <w:spacing w:after="0" w:before="240" w:line="480"/>
      </w:pPr>
      <w:r>
        <w:rPr>
          <w:rFonts w:ascii="Times New Roman" w:cs="Times New Roman" w:eastAsia="Times New Roman" w:hAnsi="Times New Roman"/>
          <w:b/>
          <w:bCs/>
          <w:i/>
          <w:iCs/>
          <w:sz w:val="24"/>
          <w:szCs w:val="24"/>
        </w:rPr>
        <w:t xml:space="preserve">The Juror's Journey</w:t>
      </w:r>
    </w:p>
    <w:p>
      <w:pPr>
        <w:spacing w:after="0" w:line="480"/>
        <w:ind w:firstLine="720"/>
      </w:pPr>
      <w:r>
        <w:rPr>
          <w:rFonts w:ascii="Times New Roman" w:cs="Times New Roman" w:eastAsia="Times New Roman" w:hAnsi="Times New Roman"/>
          <w:sz w:val="24"/>
          <w:szCs w:val="24"/>
        </w:rPr>
        <w:t xml:space="preserve">From ordinary citizen to protector of the community. The call to adventure is the case itself—a story of harm that only she can remedy. The trials she faces are doubt, fear, conflicting evidence, and institutional credibility. The shadow is the TTI program that hid the truth and the system that allowed harm to continue. Her return with the elixir is the verdict—she carries justice back to her community, affirming that children matter, that programs can be held accountable, that she has the power to create change.</w:t>
      </w:r>
    </w:p>
    <w:p>
      <w:pPr>
        <w:spacing w:after="0" w:before="240" w:line="480"/>
      </w:pPr>
      <w:r>
        <w:rPr>
          <w:rFonts w:ascii="Times New Roman" w:cs="Times New Roman" w:eastAsia="Times New Roman" w:hAnsi="Times New Roman"/>
          <w:b/>
          <w:bCs/>
          <w:i/>
          <w:iCs/>
          <w:sz w:val="24"/>
          <w:szCs w:val="24"/>
        </w:rPr>
        <w:t xml:space="preserve">The Judge's Journey</w:t>
      </w:r>
    </w:p>
    <w:p>
      <w:pPr>
        <w:spacing w:after="0" w:line="480"/>
        <w:ind w:firstLine="720"/>
      </w:pPr>
      <w:r>
        <w:rPr>
          <w:rFonts w:ascii="Times New Roman" w:cs="Times New Roman" w:eastAsia="Times New Roman" w:hAnsi="Times New Roman"/>
          <w:sz w:val="24"/>
          <w:szCs w:val="24"/>
        </w:rPr>
        <w:t xml:space="preserve">From neutral arbiter to guardian of the law. The call to adventure is a motion that forces her to decide a point of law—whether expert testimony on coercive control in TTI programs is admissible, whether the program's conduct meets the statutory definition of the harm alleged. The trials are precedent and policy. The shadow is legal error and reversal. Her return with the elixir is the order that protects the record and advances the law for future survivors.</w:t>
      </w:r>
    </w:p>
    <w:p>
      <w:pPr>
        <w:spacing w:after="0" w:before="240" w:line="480"/>
      </w:pPr>
      <w:r>
        <w:rPr>
          <w:rFonts w:ascii="Times New Roman" w:cs="Times New Roman" w:eastAsia="Times New Roman" w:hAnsi="Times New Roman"/>
          <w:b/>
          <w:bCs/>
          <w:i/>
          <w:iCs/>
          <w:sz w:val="24"/>
          <w:szCs w:val="24"/>
        </w:rPr>
        <w:t xml:space="preserve">The Mediator's Journey</w:t>
      </w:r>
    </w:p>
    <w:p>
      <w:pPr>
        <w:spacing w:after="0" w:line="480"/>
        <w:ind w:firstLine="720"/>
      </w:pPr>
      <w:r>
        <w:rPr>
          <w:rFonts w:ascii="Times New Roman" w:cs="Times New Roman" w:eastAsia="Times New Roman" w:hAnsi="Times New Roman"/>
          <w:sz w:val="24"/>
          <w:szCs w:val="24"/>
        </w:rPr>
        <w:t xml:space="preserve">From dealmaker to architect of resolution. The call to adventure is an impasse that seems unsolvable—a TTI program's insurer refusing to acknowledge the depth of harm, a plaintiff whose anger makes negotiation feel impossible. The trials are competing interests and institutional stubbornness. The shadow is a failed mediation. Her return with the elixir is the settlement—she transforms conflict into accountability.</w:t>
      </w:r>
    </w:p>
    <w:p>
      <w:pPr>
        <w:spacing w:after="0" w:before="240" w:line="480"/>
      </w:pPr>
      <w:r>
        <w:rPr>
          <w:rFonts w:ascii="Times New Roman" w:cs="Times New Roman" w:eastAsia="Times New Roman" w:hAnsi="Times New Roman"/>
          <w:b/>
          <w:bCs/>
          <w:i/>
          <w:iCs/>
          <w:sz w:val="24"/>
          <w:szCs w:val="24"/>
        </w:rPr>
        <w:t xml:space="preserve">The Legislator's Journey</w:t>
      </w:r>
    </w:p>
    <w:p>
      <w:pPr>
        <w:spacing w:after="0" w:line="480"/>
        <w:ind w:firstLine="720"/>
      </w:pPr>
      <w:r>
        <w:rPr>
          <w:rFonts w:ascii="Times New Roman" w:cs="Times New Roman" w:eastAsia="Times New Roman" w:hAnsi="Times New Roman"/>
          <w:sz w:val="24"/>
          <w:szCs w:val="24"/>
        </w:rPr>
        <w:t xml:space="preserve">From politician to reformer. The call to adventure is a crisis in her district—families harmed, programs failing, constituents demanding change. The trials are political pressure and industry lobbying. The shadow is inaction and continued harm. Her return with the elixir is the law—she protects future generations and becomes the legislator who acted when it mattered.</w:t>
      </w:r>
    </w:p>
    <w:p>
      <w:pPr>
        <w:spacing w:after="0" w:before="240" w:line="480"/>
      </w:pPr>
      <w:r>
        <w:rPr>
          <w:rFonts w:ascii="Times New Roman" w:cs="Times New Roman" w:eastAsia="Times New Roman" w:hAnsi="Times New Roman"/>
          <w:b/>
          <w:bCs/>
          <w:i/>
          <w:iCs/>
          <w:sz w:val="24"/>
          <w:szCs w:val="24"/>
        </w:rPr>
        <w:t xml:space="preserve">The Journalist's Journey</w:t>
      </w:r>
    </w:p>
    <w:p>
      <w:pPr>
        <w:spacing w:after="0" w:line="480"/>
        <w:ind w:firstLine="720"/>
      </w:pPr>
      <w:r>
        <w:rPr>
          <w:rFonts w:ascii="Times New Roman" w:cs="Times New Roman" w:eastAsia="Times New Roman" w:hAnsi="Times New Roman"/>
          <w:sz w:val="24"/>
          <w:szCs w:val="24"/>
        </w:rPr>
        <w:t xml:space="preserve">From reporter to truth-teller. The call to adventure is a story that exposes a system. The trials are source protection and editorial skepticism. The shadow is silence and secrecy. Her return with the elixir is the published story—she informs the public and shifts the conversation about how we treat vulnerable children.</w:t>
      </w:r>
    </w:p>
    <w:p>
      <w:pPr>
        <w:spacing w:after="0" w:line="480"/>
        <w:ind w:firstLine="720"/>
      </w:pPr>
      <w:r>
        <w:rPr>
          <w:rFonts w:ascii="Times New Roman" w:cs="Times New Roman" w:eastAsia="Times New Roman" w:hAnsi="Times New Roman"/>
          <w:sz w:val="24"/>
          <w:szCs w:val="24"/>
        </w:rPr>
        <w:t xml:space="preserve">When you frame your case this way, you are not asking these audiences to care about you. You are inviting them to see themselves as the hero of their own story—and showing them how participating in your case is their call to adventure. You are showing them who they can become.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Judge: Educating Outside the Jury's Presence</w:t>
      </w:r>
    </w:p>
    <w:p>
      <w:pPr>
        <w:spacing w:after="0" w:line="480"/>
      </w:pPr>
    </w:p>
    <w:p>
      <w:pPr>
        <w:spacing w:after="0" w:line="480"/>
      </w:pPr>
      <w:r>
        <w:rPr>
          <w:rFonts w:ascii="Times New Roman" w:cs="Times New Roman" w:eastAsia="Times New Roman" w:hAnsi="Times New Roman"/>
          <w:sz w:val="24"/>
          <w:szCs w:val="24"/>
        </w:rPr>
        <w:t xml:space="preserve">Motion hearings are not administrative hurdles. They are persuasion opportunities—moments when you can shape the legal landscape of your case before the jury enters the room.</w:t>
      </w:r>
    </w:p>
    <w:p>
      <w:pPr>
        <w:spacing w:after="0" w:line="480"/>
        <w:ind w:firstLine="720"/>
      </w:pPr>
      <w:r>
        <w:rPr>
          <w:rFonts w:ascii="Times New Roman" w:cs="Times New Roman" w:eastAsia="Times New Roman" w:hAnsi="Times New Roman"/>
          <w:sz w:val="24"/>
          <w:szCs w:val="24"/>
        </w:rPr>
        <w:t xml:space="preserve">Every motion in limine shapes what the jury will hear. Every Daubert hearing determines whether your expert can testify about coercive control, BITE model dynamics, and the institutional patterns described in Chapters 7 through 9. Every summary judgment argument determines whether the case survives to trial. These hearings are the foundation of your trial strategy.</w:t>
      </w:r>
    </w:p>
    <w:p>
      <w:pPr>
        <w:spacing w:after="0" w:line="480"/>
        <w:ind w:firstLine="720"/>
      </w:pPr>
      <w:r>
        <w:rPr>
          <w:rFonts w:ascii="Times New Roman" w:cs="Times New Roman" w:eastAsia="Times New Roman" w:hAnsi="Times New Roman"/>
          <w:sz w:val="24"/>
          <w:szCs w:val="24"/>
        </w:rPr>
        <w:t xml:space="preserve">When you win a motion, you have expanded what you can argue to the jury. You have created a legal pathway for your themes. When you lose a motion, you have still planted seeds—the judge has heard your legal theory. Even if she does not rule your way, you have created a record for appeal and shaped how the judge understands the case going forward.</w:t>
      </w:r>
    </w:p>
    <w:p>
      <w:pPr>
        <w:spacing w:after="0" w:line="480"/>
        <w:ind w:firstLine="720"/>
      </w:pPr>
      <w:r>
        <w:rPr>
          <w:rFonts w:ascii="Times New Roman" w:cs="Times New Roman" w:eastAsia="Times New Roman" w:hAnsi="Times New Roman"/>
          <w:sz w:val="24"/>
          <w:szCs w:val="24"/>
        </w:rPr>
        <w:t xml:space="preserve">The judge's incentive structure differs fundamentally from the juror's. A juror cares about doing the right thing. A judge cares about getting the law right. She cares about reversal risk, about having her decisions upheld. She cares about managing her docket efficiently.</w:t>
      </w:r>
    </w:p>
    <w:p>
      <w:pPr>
        <w:spacing w:after="0" w:line="480"/>
        <w:ind w:firstLine="720"/>
      </w:pPr>
      <w:r>
        <w:rPr>
          <w:rFonts w:ascii="Times New Roman" w:cs="Times New Roman" w:eastAsia="Times New Roman" w:hAnsi="Times New Roman"/>
          <w:sz w:val="24"/>
          <w:szCs w:val="24"/>
        </w:rPr>
        <w:t xml:space="preserve">Enter through the judge's door, not yours. Do not walk into a motion hearing arguing that TTI programs are morally outrageous. Walk in arguing that the law recognizes coercive control as a form of abuse, that expert testimony on institutional dynamics is admissible under Daubert, that the defendant's conduct meets the statutory definition of the harm alleged. You are still telling the truth. But you are entering through the door of law, precedent, and appellate risk—the door that matters to this audience.</w:t>
      </w:r>
    </w:p>
    <w:p>
      <w:pPr>
        <w:spacing w:after="0" w:line="480"/>
        <w:ind w:firstLine="720"/>
      </w:pPr>
      <w:r>
        <w:rPr>
          <w:rFonts w:ascii="Times New Roman" w:cs="Times New Roman" w:eastAsia="Times New Roman" w:hAnsi="Times New Roman"/>
          <w:sz w:val="24"/>
          <w:szCs w:val="24"/>
        </w:rPr>
        <w:t xml:space="preserve">Use motion practice to build a record. Every question you ask in a Daubert hearing, every document you introduce in summary judgment briefing, every argument you make in a pre-trial conference—you are creating a record that supports your trial themes. If the judge denies your motion, you have a record for appeal. If she grants it, you have authority for trial. Either way, you have used the judge's arena to sharpen your case and educate her about your theory.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Mediator: Leveraging the Three-Way Dynamic</w:t>
      </w:r>
    </w:p>
    <w:p>
      <w:pPr>
        <w:spacing w:after="0" w:line="480"/>
      </w:pPr>
    </w:p>
    <w:p>
      <w:pPr>
        <w:spacing w:after="0" w:line="480"/>
      </w:pPr>
      <w:r>
        <w:rPr>
          <w:rFonts w:ascii="Times New Roman" w:cs="Times New Roman" w:eastAsia="Times New Roman" w:hAnsi="Times New Roman"/>
          <w:sz w:val="24"/>
          <w:szCs w:val="24"/>
        </w:rPr>
        <w:t xml:space="preserve">Mediators want resolution. That is their core incentive. Not fairness, not truth—resolution.</w:t>
      </w:r>
    </w:p>
    <w:p>
      <w:pPr>
        <w:spacing w:after="0" w:line="480"/>
        <w:ind w:firstLine="720"/>
      </w:pPr>
      <w:r>
        <w:rPr>
          <w:rFonts w:ascii="Times New Roman" w:cs="Times New Roman" w:eastAsia="Times New Roman" w:hAnsi="Times New Roman"/>
          <w:sz w:val="24"/>
          <w:szCs w:val="24"/>
        </w:rPr>
        <w:t xml:space="preserve">A mediator's reputation is built on closed cases. Understanding this incentive transforms your mediation strategy. You are not trying to convince the mediator that your case is just. You are showing her that resolution is possible—and that you are the reasonable party making resolution achievable.</w:t>
      </w:r>
    </w:p>
    <w:p>
      <w:pPr>
        <w:spacing w:after="0" w:line="480"/>
        <w:ind w:firstLine="720"/>
      </w:pPr>
      <w:r>
        <w:rPr>
          <w:rFonts w:ascii="Times New Roman" w:cs="Times New Roman" w:eastAsia="Times New Roman" w:hAnsi="Times New Roman"/>
          <w:sz w:val="24"/>
          <w:szCs w:val="24"/>
        </w:rPr>
        <w:t xml:space="preserve">Name the mediator's concern before she voices it. 'I know you are probably thinking this case is too emotionally charged for rational negotiation.' 'You are probably concerned that my client's demand seems high given the liability questions.' By naming her concern, you demonstrate empathy and disarm resistance. You are also controlling the frame—showing the mediator that you understand her position, that you are reasonable, that you are not the problem. The TTI program's conduct is.</w:t>
      </w:r>
    </w:p>
    <w:p>
      <w:pPr>
        <w:spacing w:after="0" w:line="480"/>
        <w:ind w:firstLine="720"/>
      </w:pPr>
      <w:r>
        <w:rPr>
          <w:rFonts w:ascii="Times New Roman" w:cs="Times New Roman" w:eastAsia="Times New Roman" w:hAnsi="Times New Roman"/>
          <w:sz w:val="24"/>
          <w:szCs w:val="24"/>
        </w:rPr>
        <w:t xml:space="preserve">Separate the people from the problem. The problem is not the defendant sitting across the table. The problem is the TTI program and its systems—the institutional culture described in Chapters 7 through 9. The defendant is someone operating within those systems. This reframe takes personal animosity out of the negotiation and puts the focus where it belongs: on systemic accountability. The mediator can work with this frame. Systems can change. Numbers can be paid.</w:t>
      </w:r>
    </w:p>
    <w:p>
      <w:pPr>
        <w:spacing w:after="0" w:line="480"/>
        <w:ind w:firstLine="720"/>
      </w:pPr>
      <w:r>
        <w:rPr>
          <w:rFonts w:ascii="Times New Roman" w:cs="Times New Roman" w:eastAsia="Times New Roman" w:hAnsi="Times New Roman"/>
          <w:sz w:val="24"/>
          <w:szCs w:val="24"/>
        </w:rPr>
        <w:t xml:space="preserve">Your pre-mediation brief is not a legal document. It is a narrative document. It tells the story of your client, starting with life before the program, moving through the harm itself, and ending with the person your client is now. The demand is not just a number—it is a preview of your trial story. It shows the mediator what this case looks like in front of a jury, what emotions are at stake, what truth is at issue.</w:t>
      </w:r>
    </w:p>
    <w:p>
      <w:pPr>
        <w:spacing w:after="0" w:line="480"/>
        <w:ind w:firstLine="720"/>
      </w:pPr>
      <w:r>
        <w:rPr>
          <w:rFonts w:ascii="Times New Roman" w:cs="Times New Roman" w:eastAsia="Times New Roman" w:hAnsi="Times New Roman"/>
          <w:sz w:val="24"/>
          <w:szCs w:val="24"/>
        </w:rPr>
        <w:t xml:space="preserve">Present your case preparation as so thorough, so deep, so professional that the mediator believes you are genuinely prepared to try this case. Not that you want to try it—that you are ready. When a mediator believes a lawyer is truly trial-ready, the settlement dynamics shift completely. The mediator knows the defendant faces real trial risk. She becomes your ally in persuading the defendant to settle.</w:t>
      </w:r>
    </w:p>
    <w:p>
      <w:pPr>
        <w:spacing w:after="0" w:line="480"/>
        <w:ind w:firstLine="720"/>
      </w:pPr>
      <w:r>
        <w:rPr>
          <w:rFonts w:ascii="Times New Roman" w:cs="Times New Roman" w:eastAsia="Times New Roman" w:hAnsi="Times New Roman"/>
          <w:sz w:val="24"/>
          <w:szCs w:val="24"/>
        </w:rPr>
        <w:t xml:space="preserve">The three-way settlement dynamic—carrier pressure, institutional pressure, and individual pressure—becomes your strategic toolkit. Understand which pressure point moves the needle with this particular defendant. Sometimes the mediator can pressure through economic reality—the cost of trial exceeds settlement authority. Sometimes through fear of public exposure and media attention. Sometimes through the program's actual desire to avoid the spotlight on its practices. Chapter 21 will address settlement strategy in greater depth, but understanding that mediation is an audience-specific performance—not just a negotiation—is the foundation.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Other Lawyers: CLE, Referrals, and Building the Movement</w:t>
      </w:r>
    </w:p>
    <w:p>
      <w:pPr>
        <w:spacing w:after="0" w:line="480"/>
      </w:pPr>
    </w:p>
    <w:p>
      <w:pPr>
        <w:spacing w:after="0" w:line="480"/>
      </w:pPr>
      <w:r>
        <w:rPr>
          <w:rFonts w:ascii="Times New Roman" w:cs="Times New Roman" w:eastAsia="Times New Roman" w:hAnsi="Times New Roman"/>
          <w:sz w:val="24"/>
          <w:szCs w:val="24"/>
        </w:rPr>
        <w:t xml:space="preserve">Presenting to other lawyers at CLEs, bar meetings, and informal referral conversations builds your practice and advances the TTI reform movement simultaneously.</w:t>
      </w:r>
    </w:p>
    <w:p>
      <w:pPr>
        <w:spacing w:after="0" w:line="480"/>
        <w:ind w:firstLine="720"/>
      </w:pPr>
      <w:r>
        <w:rPr>
          <w:rFonts w:ascii="Times New Roman" w:cs="Times New Roman" w:eastAsia="Times New Roman" w:hAnsi="Times New Roman"/>
          <w:sz w:val="24"/>
          <w:szCs w:val="24"/>
        </w:rPr>
        <w:t xml:space="preserve">The audience incentive is straightforward: other lawyers want to learn something they can use Monday morning. They do not want theory. They want tools. Checklists. Frameworks. Things they can take back to their offices and deploy with clients. When you teach the BITE model methodology—the systems approach to institutional abuse, the way coercive control operates in TTI programs—other lawyers remember that lesson. When you share checklists for investigating TTI defendants, when you give away frameworks for expert witness selection and case strategy, you are building trust. Trust generates referrals. Generosity breeds loyalty.</w:t>
      </w:r>
    </w:p>
    <w:p>
      <w:pPr>
        <w:spacing w:after="0" w:line="480"/>
        <w:ind w:firstLine="720"/>
      </w:pPr>
      <w:r>
        <w:rPr>
          <w:rFonts w:ascii="Times New Roman" w:cs="Times New Roman" w:eastAsia="Times New Roman" w:hAnsi="Times New Roman"/>
          <w:sz w:val="24"/>
          <w:szCs w:val="24"/>
        </w:rPr>
        <w:t xml:space="preserve">Give massive value first. The lawyers attending your CLE are not there because they need you. They are interested in the topic. Give them more than they expected. Show them how to think about TTI abuse differently—not as isolated incidents but as predictable products of institutional design. Teach them to see the pattern beneath the surface, the systems that create vulnerability. Then let them know you are available when they get a case. That is how you build a network. That is how you build a movement.</w:t>
      </w:r>
    </w:p>
    <w:p>
      <w:pPr>
        <w:spacing w:after="0" w:line="480"/>
        <w:ind w:firstLine="720"/>
      </w:pPr>
      <w:r>
        <w:rPr>
          <w:rFonts w:ascii="Times New Roman" w:cs="Times New Roman" w:eastAsia="Times New Roman" w:hAnsi="Times New Roman"/>
          <w:sz w:val="24"/>
          <w:szCs w:val="24"/>
        </w:rPr>
        <w:t xml:space="preserve">The secondary benefit: when you teach, you learn. Every time you present to a room of lawyers, you refine your own framework. You hear questions you had not considered. You anticipate objections you had not fully thought through. You discover gaps in your own thinking. You leave each CLE sharper than you arrived, with a deeper understanding of your case theory and a wider network of allies who can co-counsel, refer cases, and share intelligence about TTI defendants.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Media: Shaping the Systemic Narrative</w:t>
      </w:r>
    </w:p>
    <w:p>
      <w:pPr>
        <w:spacing w:after="0" w:line="480"/>
      </w:pPr>
    </w:p>
    <w:p>
      <w:pPr>
        <w:spacing w:after="0" w:line="480"/>
      </w:pPr>
      <w:r>
        <w:rPr>
          <w:rFonts w:ascii="Times New Roman" w:cs="Times New Roman" w:eastAsia="Times New Roman" w:hAnsi="Times New Roman"/>
          <w:sz w:val="24"/>
          <w:szCs w:val="24"/>
        </w:rPr>
        <w:t xml:space="preserve">Journalists do not want legal theories. They want stories. Their incentive: a compelling narrative that their editor will run and their readers will share.</w:t>
      </w:r>
    </w:p>
    <w:p>
      <w:pPr>
        <w:spacing w:after="0" w:line="480"/>
        <w:ind w:firstLine="720"/>
      </w:pPr>
      <w:r>
        <w:rPr>
          <w:rFonts w:ascii="Times New Roman" w:cs="Times New Roman" w:eastAsia="Times New Roman" w:hAnsi="Times New Roman"/>
          <w:sz w:val="24"/>
          <w:szCs w:val="24"/>
        </w:rPr>
        <w:t xml:space="preserve">This is where the StoryBrand villain becomes your headline. TTI cases have a clear villain—the program. Not the individual staff member sitting in a deposition. The program. The specific place where a child was isolated, restrained, starved, silenced. The specific organization that marketed itself as therapeutic while operating as coercive. That is the story.</w:t>
      </w:r>
    </w:p>
    <w:p>
      <w:pPr>
        <w:spacing w:after="0" w:line="480"/>
        <w:ind w:firstLine="720"/>
      </w:pPr>
      <w:r>
        <w:rPr>
          <w:rFonts w:ascii="Times New Roman" w:cs="Times New Roman" w:eastAsia="Times New Roman" w:hAnsi="Times New Roman"/>
          <w:sz w:val="24"/>
          <w:szCs w:val="24"/>
        </w:rPr>
        <w:t xml:space="preserve">Here is the discipline: you are not telling your client's story. You are telling the system's story. Your client is a guide to that story—a person who can lead the journalist into the program's practices, incentives, and patterns. 'One family's nightmare reveals a pattern in troubled teen programs.' That is a story that gets picked up. 'My client was abused' is a victim statement—it moves people but does not sustain coverage. 'One family's nightmare reveals a pattern' tells the reader that this is not isolated, that there is a system failing, that there is something to investigate and expose.</w:t>
      </w:r>
    </w:p>
    <w:p>
      <w:pPr>
        <w:spacing w:after="0" w:line="480"/>
        <w:ind w:firstLine="720"/>
      </w:pPr>
      <w:r>
        <w:rPr>
          <w:rFonts w:ascii="Times New Roman" w:cs="Times New Roman" w:eastAsia="Times New Roman" w:hAnsi="Times New Roman"/>
          <w:sz w:val="24"/>
          <w:szCs w:val="24"/>
        </w:rPr>
        <w:t xml:space="preserve">Use concrete, specific, sensory language. Abstract legal language does not activate the reader's imagination. Do not say, 'The program failed to implement adequate safeguarding protocols.' Say, 'The program left children alone with staff members who had histories of abuse.' Do not say, 'Systemic negligence contributed to the harm.' Say, 'Staff ignored a child's cries for help because the program's manual classified distress as manipulation.' Concrete language sticks in the mind.</w:t>
      </w:r>
    </w:p>
    <w:p>
      <w:pPr>
        <w:spacing w:after="0" w:line="480"/>
        <w:ind w:firstLine="720"/>
      </w:pPr>
      <w:r>
        <w:rPr>
          <w:rFonts w:ascii="Times New Roman" w:cs="Times New Roman" w:eastAsia="Times New Roman" w:hAnsi="Times New Roman"/>
          <w:sz w:val="24"/>
          <w:szCs w:val="24"/>
        </w:rPr>
        <w:t xml:space="preserve">Connect individual cases to systemic patterns. Show the journalist that this is not happening at one facility—it is happening across the industry, across decades. Show them the data from organizations like Unsilenced. Show them other families. Show them the industry's resistance to transparency and accountability. That is the story that gets printed and shared. That is the story that creates jury pool awareness and legislative momentum.</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Families and Survivors: Empathy First, Then Education</w:t>
      </w:r>
    </w:p>
    <w:p>
      <w:pPr>
        <w:spacing w:after="0" w:line="480"/>
      </w:pPr>
    </w:p>
    <w:p>
      <w:pPr>
        <w:spacing w:after="0" w:line="480"/>
      </w:pPr>
      <w:r>
        <w:rPr>
          <w:rFonts w:ascii="Times New Roman" w:cs="Times New Roman" w:eastAsia="Times New Roman" w:hAnsi="Times New Roman"/>
          <w:sz w:val="24"/>
          <w:szCs w:val="24"/>
        </w:rPr>
        <w:t xml:space="preserve">When presenting to families and survivor groups, the guide role is paramount. You are not the hero. The family is the hero. The survivor is the hero.</w:t>
      </w:r>
    </w:p>
    <w:p>
      <w:pPr>
        <w:spacing w:after="0" w:line="480"/>
        <w:ind w:firstLine="720"/>
      </w:pPr>
      <w:r>
        <w:rPr>
          <w:rFonts w:ascii="Times New Roman" w:cs="Times New Roman" w:eastAsia="Times New Roman" w:hAnsi="Times New Roman"/>
          <w:sz w:val="24"/>
          <w:szCs w:val="24"/>
        </w:rPr>
        <w:t xml:space="preserve">People need to feel seen before they can hear you. Before you present a legal strategy, before you explain the process, before you outline the case, you must acknowledge what the family feels. Guilt—because they sent their child to the program. Confusion—because the program told them their child's complaints were manipulation. Shame—because they believed it. Anger—because they are just now understanding what happened. Grief—because the child who came home is not the child who left.</w:t>
      </w:r>
    </w:p>
    <w:p>
      <w:pPr>
        <w:spacing w:after="0" w:line="480"/>
        <w:ind w:firstLine="720"/>
      </w:pPr>
      <w:r>
        <w:rPr>
          <w:rFonts w:ascii="Times New Roman" w:cs="Times New Roman" w:eastAsia="Times New Roman" w:hAnsi="Times New Roman"/>
          <w:sz w:val="24"/>
          <w:szCs w:val="24"/>
        </w:rPr>
        <w:t xml:space="preserve">Meet the audience where they are emotionally. Do not lecture. Connect. Make each person feel known. Acknowledge the journey they have already taken. Honor the pain they have endured. Validate the questions they are asking themselves. Say the unsayable: 'You are probably wondering if this is your fault. It is not. The program was designed to convince you that your child's complaints were symptoms of the disorder that brought them there. You were not trained to see through that design. That is not your failure—it is the program's strategy.'</w:t>
      </w:r>
    </w:p>
    <w:p>
      <w:pPr>
        <w:spacing w:after="0" w:line="480"/>
        <w:ind w:firstLine="720"/>
      </w:pPr>
      <w:r>
        <w:rPr>
          <w:rFonts w:ascii="Times New Roman" w:cs="Times New Roman" w:eastAsia="Times New Roman" w:hAnsi="Times New Roman"/>
          <w:sz w:val="24"/>
          <w:szCs w:val="24"/>
        </w:rPr>
        <w:t xml:space="preserve">Then educate. Explain the legal process in plain language. Show them what discovery and depositions and trials look like. Show them how you are going to fight. Show them what victory looks like—not just a verdict, but accountability, transparency, and the possibility that no other family goes through what they went through. But only after you have made them feel seen.</w:t>
      </w:r>
    </w:p>
    <w:p>
      <w:pPr>
        <w:spacing w:after="0" w:line="480"/>
        <w:ind w:firstLine="720"/>
      </w:pPr>
      <w:r>
        <w:rPr>
          <w:rFonts w:ascii="Times New Roman" w:cs="Times New Roman" w:eastAsia="Times New Roman" w:hAnsi="Times New Roman"/>
          <w:sz w:val="24"/>
          <w:szCs w:val="24"/>
        </w:rPr>
        <w:t xml:space="preserve">Your presentation to families is your intake pipeline. The family that hears you speak and feels understood is a family that will call you. The survivor who sees that you understand their story—not just the legal elements but the emotional architecture of what a TTI program does to a person—is a survivor who will trust you with their case. This is not marketing. It is the natural consequence of empathy practiced as a discipline.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Legislators and Regulators: The Policy Frame</w:t>
      </w:r>
    </w:p>
    <w:p>
      <w:pPr>
        <w:spacing w:after="0" w:line="480"/>
      </w:pPr>
    </w:p>
    <w:p>
      <w:pPr>
        <w:spacing w:after="0" w:line="480"/>
      </w:pPr>
      <w:r>
        <w:rPr>
          <w:rFonts w:ascii="Times New Roman" w:cs="Times New Roman" w:eastAsia="Times New Roman" w:hAnsi="Times New Roman"/>
          <w:sz w:val="24"/>
          <w:szCs w:val="24"/>
        </w:rPr>
        <w:t xml:space="preserve">Legislators want data, constituent stories, and political cover. They do not want to feel like they are endorsing a lawsuit. They want to feel like they are protecting children and advancing justice.</w:t>
      </w:r>
    </w:p>
    <w:p>
      <w:pPr>
        <w:spacing w:after="0" w:line="480"/>
        <w:ind w:firstLine="720"/>
      </w:pPr>
      <w:r>
        <w:rPr>
          <w:rFonts w:ascii="Times New Roman" w:cs="Times New Roman" w:eastAsia="Times New Roman" w:hAnsi="Times New Roman"/>
          <w:sz w:val="24"/>
          <w:szCs w:val="24"/>
        </w:rPr>
        <w:t xml:space="preserve">Show legislators the incentive structure that produces TTI abuse. Do not just show them moral outrage—show them the system that creates the problem. TTI programs are incentivized to hide abuse because transparency costs enrollment and reputation. Staff do not report abuse because they fear retaliation or have been trained to see the program's methods as therapeutic. Managers do not investigate because doing so exposes institutional liability. You are not saying the program is evil. You are saying the program's incentive structure produces abuse. Change the incentive structure, and you change the outcome. Show them the lever.</w:t>
      </w:r>
    </w:p>
    <w:p>
      <w:pPr>
        <w:spacing w:after="0" w:line="480"/>
        <w:ind w:firstLine="720"/>
      </w:pPr>
      <w:r>
        <w:rPr>
          <w:rFonts w:ascii="Times New Roman" w:cs="Times New Roman" w:eastAsia="Times New Roman" w:hAnsi="Times New Roman"/>
          <w:sz w:val="24"/>
          <w:szCs w:val="24"/>
        </w:rPr>
        <w:t xml:space="preserve">Present the economic argument. TTI abuse costs the state money. Mental health services for survivors who need years of therapy to recover from what was supposed to be therapy. Criminal justice involvement for survivors whose trauma manifests as substance abuse or self-harm. Emergency services. Lost productivity. Show the legislator that investing in oversight, licensure reform, and accountability is cheaper than managing the consequences of an unregulated industry.</w:t>
      </w:r>
    </w:p>
    <w:p>
      <w:pPr>
        <w:spacing w:after="0" w:line="480"/>
        <w:ind w:firstLine="720"/>
      </w:pPr>
      <w:r>
        <w:rPr>
          <w:rFonts w:ascii="Times New Roman" w:cs="Times New Roman" w:eastAsia="Times New Roman" w:hAnsi="Times New Roman"/>
          <w:sz w:val="24"/>
          <w:szCs w:val="24"/>
        </w:rPr>
        <w:t xml:space="preserve">Present the pattern. This is not happening at one program. The database maintained by organizations like Unsilenced documents abuse across hundreds of programs over decades. Show the legislator that individual lawsuits are necessary but insufficient. Systemic change requires legislation—mandatory reporting requirements, licensure standards, prohibitions on specific practices like isolation and prone restraint, and transparency mandates that give parents access to program records before enrollment.</w:t>
      </w:r>
    </w:p>
    <w:p>
      <w:pPr>
        <w:spacing w:after="0" w:line="480"/>
        <w:ind w:firstLine="720"/>
      </w:pPr>
      <w:r>
        <w:rPr>
          <w:rFonts w:ascii="Times New Roman" w:cs="Times New Roman" w:eastAsia="Times New Roman" w:hAnsi="Times New Roman"/>
          <w:sz w:val="24"/>
          <w:szCs w:val="24"/>
        </w:rPr>
        <w:t xml:space="preserve">Model legislation from states that have acted. Do not ask the legislator to invent the wheel. Show them what other states are doing—what has passed, what has worked, what has failed and why. Make it easy. Make it precedent-based. Make the political risk of inaction greater than the risk of action.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Discipline of Practice: Persuasion as Skill</w:t>
      </w:r>
    </w:p>
    <w:p>
      <w:pPr>
        <w:spacing w:after="0" w:line="480"/>
      </w:pPr>
    </w:p>
    <w:p>
      <w:pPr>
        <w:spacing w:after="0" w:line="480"/>
      </w:pPr>
      <w:r>
        <w:rPr>
          <w:rFonts w:ascii="Times New Roman" w:cs="Times New Roman" w:eastAsia="Times New Roman" w:hAnsi="Times New Roman"/>
          <w:sz w:val="24"/>
          <w:szCs w:val="24"/>
        </w:rPr>
        <w:t xml:space="preserve">Each of these audiences is a practice arena for trial.</w:t>
      </w:r>
    </w:p>
    <w:p>
      <w:pPr>
        <w:spacing w:after="0" w:line="480"/>
        <w:ind w:firstLine="720"/>
      </w:pPr>
      <w:r>
        <w:rPr>
          <w:rFonts w:ascii="Times New Roman" w:cs="Times New Roman" w:eastAsia="Times New Roman" w:hAnsi="Times New Roman"/>
          <w:sz w:val="24"/>
          <w:szCs w:val="24"/>
        </w:rPr>
        <w:t xml:space="preserve">When you present to a judge, you are practicing your legal theory. When you present to a mediator, you are practicing your settlement narrative. When you present to journalists, you are practicing your opening statement in plain language. When you present to legislators, you are practicing your closing argument about systemic change. When you present to families, you are practicing voir dire—building trust with strangers who are afraid and vulnerable.</w:t>
      </w:r>
    </w:p>
    <w:p>
      <w:pPr>
        <w:spacing w:after="0" w:line="480"/>
        <w:ind w:firstLine="720"/>
      </w:pPr>
      <w:r>
        <w:rPr>
          <w:rFonts w:ascii="Times New Roman" w:cs="Times New Roman" w:eastAsia="Times New Roman" w:hAnsi="Times New Roman"/>
          <w:sz w:val="24"/>
          <w:szCs w:val="24"/>
        </w:rPr>
        <w:t xml:space="preserve">The trial lawyer who only practices persuasion in the courtroom is like an athlete who only practices during games. You will be rusty. You will miss opportunities. You will lose cases you should have won.</w:t>
      </w:r>
    </w:p>
    <w:p>
      <w:pPr>
        <w:spacing w:after="0" w:line="480"/>
        <w:ind w:firstLine="720"/>
      </w:pPr>
      <w:r>
        <w:rPr>
          <w:rFonts w:ascii="Times New Roman" w:cs="Times New Roman" w:eastAsia="Times New Roman" w:hAnsi="Times New Roman"/>
          <w:sz w:val="24"/>
          <w:szCs w:val="24"/>
        </w:rPr>
        <w:t xml:space="preserve">The discipline of persuasion practice means showing up to every presentation—every motion hearing, every mediation, every CLE, every family meeting—with the same intensity you bring to trial. You are not just doing the work. You are sharpening the skill. You are testing your frames. You are learning what lands and what falls flat. You are becoming a better trial lawyer with every appearance.</w:t>
      </w:r>
    </w:p>
    <w:p>
      <w:pPr>
        <w:spacing w:after="0" w:line="480"/>
        <w:ind w:firstLine="720"/>
      </w:pPr>
      <w:r>
        <w:rPr>
          <w:rFonts w:ascii="Times New Roman" w:cs="Times New Roman" w:eastAsia="Times New Roman" w:hAnsi="Times New Roman"/>
          <w:sz w:val="24"/>
          <w:szCs w:val="24"/>
        </w:rPr>
        <w:t xml:space="preserve">Repetition is the mother of skill. After ten mediations, you know what a mediator needs to hear. After twenty CLEs, you know which examples stick. After a hundred family meetings, you know how to make a stranger feel safe. That repetition is not wasted time. It is the foundation of mastery—and the engine that builds the movement.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Ethical Dimension: Persuasion, Not Manipulation</w:t>
      </w:r>
    </w:p>
    <w:p>
      <w:pPr>
        <w:spacing w:after="0" w:line="480"/>
      </w:pPr>
    </w:p>
    <w:p>
      <w:pPr>
        <w:spacing w:after="0" w:line="480"/>
      </w:pPr>
      <w:r>
        <w:rPr>
          <w:rFonts w:ascii="Times New Roman" w:cs="Times New Roman" w:eastAsia="Times New Roman" w:hAnsi="Times New Roman"/>
          <w:sz w:val="24"/>
          <w:szCs w:val="24"/>
        </w:rPr>
        <w:t xml:space="preserve">Persuasion is not manipulation. The difference is worth defending.</w:t>
      </w:r>
    </w:p>
    <w:p>
      <w:pPr>
        <w:spacing w:after="0" w:line="480"/>
        <w:ind w:firstLine="720"/>
      </w:pPr>
      <w:r>
        <w:rPr>
          <w:rFonts w:ascii="Times New Roman" w:cs="Times New Roman" w:eastAsia="Times New Roman" w:hAnsi="Times New Roman"/>
          <w:sz w:val="24"/>
          <w:szCs w:val="24"/>
        </w:rPr>
        <w:t xml:space="preserve">Manipulation serves the manipulator. Persuasion serves the audience. In TTI cases, you are telling the truth to audiences who need to hear it. The discipline of adapting your frame to different incentive structures is not about spinning the truth or distorting facts. It is about translation.</w:t>
      </w:r>
    </w:p>
    <w:p>
      <w:pPr>
        <w:spacing w:after="0" w:line="480"/>
        <w:ind w:firstLine="720"/>
      </w:pPr>
      <w:r>
        <w:rPr>
          <w:rFonts w:ascii="Times New Roman" w:cs="Times New Roman" w:eastAsia="Times New Roman" w:hAnsi="Times New Roman"/>
          <w:sz w:val="24"/>
          <w:szCs w:val="24"/>
        </w:rPr>
        <w:t xml:space="preserve">The truth about TTI abuse is the same in every arena. A program designed to help children betrayed that purpose through coercion, isolation, and exploitation. Vulnerable children were harmed. The program resisted accountability. Change is necessary. Justice is possible. That truth does not shift. The frame does.</w:t>
      </w:r>
    </w:p>
    <w:p>
      <w:pPr>
        <w:spacing w:after="0" w:line="480"/>
        <w:ind w:firstLine="720"/>
      </w:pPr>
      <w:r>
        <w:rPr>
          <w:rFonts w:ascii="Times New Roman" w:cs="Times New Roman" w:eastAsia="Times New Roman" w:hAnsi="Times New Roman"/>
          <w:sz w:val="24"/>
          <w:szCs w:val="24"/>
        </w:rPr>
        <w:t xml:space="preserve">You tell a judge that truth through legal precedent and appellate risk. You tell a mediator that truth through settlement pressure and three-way dynamics. You tell a journalist that truth through systemic pattern and concrete detail. You tell a legislator that truth through policy data and constituent stories. You tell a family that truth through empathy and clarity. The language changes. The hero changes. The call to action changes. But the underlying reality—that a TTI program must be held accountable, that a child deserves justice, that systemic change is possible—never changes.</w:t>
      </w:r>
    </w:p>
    <w:p>
      <w:pPr>
        <w:spacing w:after="0" w:line="480"/>
        <w:ind w:firstLine="720"/>
      </w:pPr>
      <w:r>
        <w:rPr>
          <w:rFonts w:ascii="Times New Roman" w:cs="Times New Roman" w:eastAsia="Times New Roman" w:hAnsi="Times New Roman"/>
          <w:sz w:val="24"/>
          <w:szCs w:val="24"/>
        </w:rPr>
        <w:t xml:space="preserve">That is the difference between persuasion and manipulation. Manipulation bends the truth to serve the persuader. Persuasion bends the frame to serve the audience and the truth simultaneously. When you master that discipline, you become the advocate this movement needs—someone who can walk into any room and meet the audience where they are, frame the truth in language that activates their heroism, and invite them to participate in justice.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line="480"/>
      </w:pPr>
      <w:r>
        <w:rPr>
          <w:rFonts w:ascii="Times New Roman" w:cs="Times New Roman" w:eastAsia="Times New Roman" w:hAnsi="Times New Roman"/>
          <w:sz w:val="24"/>
          <w:szCs w:val="24"/>
        </w:rPr>
        <w:t xml:space="preserve">The TTI reform movement needs more than good trial lawyers. It needs advocates who can present to every audience—judges who shape the law, mediators who close cases, legislators who pass reforms, journalists who expose systems, lawyers who build the network, and families who trust you with their stories. The discipline of persuasion practiced across every audience is what transforms a trial practice into a movement.</w:t>
      </w:r>
    </w:p>
    <w:p>
      <w:pPr>
        <w:spacing w:after="0" w:line="480"/>
        <w:ind w:firstLine="720"/>
      </w:pPr>
      <w:r>
        <w:rPr>
          <w:rFonts w:ascii="Times New Roman" w:cs="Times New Roman" w:eastAsia="Times New Roman" w:hAnsi="Times New Roman"/>
          <w:sz w:val="24"/>
          <w:szCs w:val="24"/>
        </w:rPr>
        <w:t xml:space="preserve">The next chapter addresses what happens when persuasion succeeds—when the case resolves through settlement, mediation, or verdict—and how to navigate the complex dynamics of resolution in TTI cases.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Presenting to Every Audience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2026-05-13T20:44:58.033Z</dcterms:created>
  <dcterms:modified xsi:type="dcterms:W3CDTF">2026-05-13T20:44:58.033Z</dcterms:modified>
</cp:coreProperties>
</file>

<file path=docProps/custom.xml><?xml version="1.0" encoding="utf-8"?>
<Properties xmlns="http://schemas.openxmlformats.org/officeDocument/2006/custom-properties" xmlns:vt="http://schemas.openxmlformats.org/officeDocument/2006/docPropsVTypes"/>
</file>