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line="480"/>
        <w:jc w:val="center"/>
      </w:pPr>
      <w:r>
        <w:rPr>
          <w:rFonts w:ascii="Times New Roman" w:cs="Times New Roman" w:eastAsia="Times New Roman" w:hAnsi="Times New Roman"/>
          <w:b/>
          <w:bCs/>
          <w:sz w:val="24"/>
          <w:szCs w:val="24"/>
        </w:rPr>
        <w:t xml:space="preserve">CHAPTER 4</w:t>
      </w:r>
    </w:p>
    <w:p>
      <w:pPr>
        <w:spacing w:after="0" w:line="480"/>
      </w:pPr>
    </w:p>
    <w:p>
      <w:pPr>
        <w:spacing w:after="0" w:line="480"/>
        <w:jc w:val="center"/>
      </w:pPr>
      <w:r>
        <w:rPr>
          <w:rFonts w:ascii="Times New Roman" w:cs="Times New Roman" w:eastAsia="Times New Roman" w:hAnsi="Times New Roman"/>
          <w:sz w:val="24"/>
          <w:szCs w:val="24"/>
        </w:rPr>
        <w:t xml:space="preserve">The Architecture of Silence</w:t>
      </w:r>
    </w:p>
    <w:p>
      <w:pPr>
        <w:spacing w:after="0" w:line="480"/>
        <w:jc w:val="center"/>
      </w:pPr>
      <w:r>
        <w:rPr>
          <w:rFonts w:ascii="Times New Roman" w:cs="Times New Roman" w:eastAsia="Times New Roman" w:hAnsi="Times New Roman"/>
          <w:i/>
          <w:iCs/>
          <w:sz w:val="24"/>
          <w:szCs w:val="24"/>
        </w:rPr>
        <w:t xml:space="preserve">Why No One Complained</w:t>
      </w:r>
    </w:p>
    <w:p>
      <w:pPr>
        <w:spacing w:after="0" w:line="480"/>
      </w:pPr>
    </w:p>
    <w:p>
      <w:pPr>
        <w:spacing w:after="0" w:line="480"/>
      </w:pPr>
      <w:r>
        <w:rPr>
          <w:rFonts w:ascii="Times New Roman" w:cs="Times New Roman" w:eastAsia="Times New Roman" w:hAnsi="Times New Roman"/>
          <w:sz w:val="24"/>
          <w:szCs w:val="24"/>
        </w:rPr>
        <w:t xml:space="preserve">The defense lawyer will stand up in closing and say it. I have heard it in every TTI case I have tried. The words change slightly, but the music is always the same:</w:t>
      </w:r>
    </w:p>
    <w:p>
      <w:pPr>
        <w:spacing w:after="0" w:line="480"/>
        <w:ind w:firstLine="720"/>
      </w:pPr>
      <w:r>
        <w:rPr>
          <w:rFonts w:ascii="Times New Roman" w:cs="Times New Roman" w:eastAsia="Times New Roman" w:hAnsi="Times New Roman"/>
          <w:sz w:val="24"/>
          <w:szCs w:val="24"/>
        </w:rPr>
        <w:t xml:space="preserve">"If it was really that bad, why didn't anyone complain?"</w:t>
      </w:r>
    </w:p>
    <w:p>
      <w:pPr>
        <w:spacing w:after="0" w:line="480"/>
        <w:ind w:firstLine="720"/>
      </w:pPr>
      <w:r>
        <w:rPr>
          <w:rFonts w:ascii="Times New Roman" w:cs="Times New Roman" w:eastAsia="Times New Roman" w:hAnsi="Times New Roman"/>
          <w:sz w:val="24"/>
          <w:szCs w:val="24"/>
        </w:rPr>
        <w:t xml:space="preserve">It is the most effective argument the defense has. It is simple. It is intuitive. And it is built on a premise that every juror walks into the courtroom believing: that a person who is being harmed will speak up. That a child who is being abused will tell someone. That a parent who is paying $10,000 a month for their child's care will notice if something is wrong.</w:t>
      </w:r>
    </w:p>
    <w:p>
      <w:pPr>
        <w:spacing w:after="0" w:line="480"/>
        <w:ind w:firstLine="720"/>
      </w:pPr>
      <w:r>
        <w:rPr>
          <w:rFonts w:ascii="Times New Roman" w:cs="Times New Roman" w:eastAsia="Times New Roman" w:hAnsi="Times New Roman"/>
          <w:sz w:val="24"/>
          <w:szCs w:val="24"/>
        </w:rPr>
        <w:t xml:space="preserve">This chapter exists to destroy that premise.</w:t>
      </w:r>
    </w:p>
    <w:p>
      <w:pPr>
        <w:spacing w:after="0" w:line="480"/>
        <w:ind w:firstLine="720"/>
      </w:pPr>
      <w:r>
        <w:rPr>
          <w:rFonts w:ascii="Times New Roman" w:cs="Times New Roman" w:eastAsia="Times New Roman" w:hAnsi="Times New Roman"/>
          <w:sz w:val="24"/>
          <w:szCs w:val="24"/>
        </w:rPr>
        <w:t xml:space="preserve">Because the truth is the opposite of what the defense suggests. In TTI cases, the absence of complaint is not evidence that the abuse was tolerable. It is evidence that the program's silencing mechanisms worked exactly as designed. The silence is not a gap in your evidence. The silence </w:t>
      </w:r>
      <w:r>
        <w:rPr>
          <w:rFonts w:ascii="Times New Roman" w:cs="Times New Roman" w:eastAsia="Times New Roman" w:hAnsi="Times New Roman"/>
          <w:i/>
          <w:iCs/>
          <w:sz w:val="24"/>
          <w:szCs w:val="24"/>
        </w:rPr>
        <w:t xml:space="preserve">is</w:t>
      </w:r>
      <w:r>
        <w:rPr>
          <w:rFonts w:ascii="Times New Roman" w:cs="Times New Roman" w:eastAsia="Times New Roman" w:hAnsi="Times New Roman"/>
          <w:sz w:val="24"/>
          <w:szCs w:val="24"/>
        </w:rPr>
        <w:t xml:space="preserve"> the evidence.</w:t>
      </w:r>
    </w:p>
    <w:p>
      <w:pPr>
        <w:spacing w:after="0" w:line="480"/>
        <w:ind w:firstLine="720"/>
      </w:pPr>
      <w:r>
        <w:rPr>
          <w:rFonts w:ascii="Times New Roman" w:cs="Times New Roman" w:eastAsia="Times New Roman" w:hAnsi="Times New Roman"/>
          <w:sz w:val="24"/>
          <w:szCs w:val="24"/>
        </w:rPr>
        <w:t xml:space="preserve">This chapter maps two systems. The first is the architecture of silence inside the program—the mechanisms that prevent children from speaking up in the first place. The second is the architecture of disbelief outside the program—the cognitive forces that cause the outside world to reject survivors' accounts even when they do speak. Together, these two systems form a near-perfect machine for keeping institutional abuse hidden. Understanding both systems is essential, because your trial strategy must dismantle both.</w:t>
      </w:r>
    </w:p>
    <w:p>
      <w:pPr>
        <w:spacing w:after="0" w:line="480"/>
      </w:pP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Part One: The Interior Architecture</w:t>
      </w:r>
    </w:p>
    <w:p>
      <w:pPr>
        <w:spacing w:after="0" w:line="480"/>
        <w:jc w:val="center"/>
      </w:pPr>
      <w:r>
        <w:rPr>
          <w:rFonts w:ascii="Times New Roman" w:cs="Times New Roman" w:eastAsia="Times New Roman" w:hAnsi="Times New Roman"/>
          <w:i/>
          <w:iCs/>
          <w:sz w:val="24"/>
          <w:szCs w:val="24"/>
        </w:rPr>
        <w:t xml:space="preserve">How TTI Programs Silence Children</w:t>
      </w:r>
    </w:p>
    <w:p>
      <w:pPr>
        <w:spacing w:after="0" w:line="480"/>
      </w:pPr>
    </w:p>
    <w:p>
      <w:pPr>
        <w:spacing w:after="0" w:line="480"/>
      </w:pPr>
      <w:r>
        <w:rPr>
          <w:rFonts w:ascii="Times New Roman" w:cs="Times New Roman" w:eastAsia="Times New Roman" w:hAnsi="Times New Roman"/>
          <w:sz w:val="24"/>
          <w:szCs w:val="24"/>
        </w:rPr>
        <w:t xml:space="preserve">The troubled teen industry has perfected the architecture of silence to an industrial degree. Every program I have litigated against employs some version of the same interlocking mechanisms: controlled communication, punished disclosure, pathologized complaint, coached parents, and staff complicity. These are not ad hoc responses to individual complaints. They are designed features of the operating model. They exist because the model cannot survive transparency.</w:t>
      </w:r>
    </w:p>
    <w:p>
      <w:pPr>
        <w:spacing w:after="0" w:line="480"/>
      </w:pPr>
    </w:p>
    <w:p>
      <w:pPr>
        <w:spacing w:after="0" w:before="240" w:line="480"/>
      </w:pPr>
      <w:r>
        <w:rPr>
          <w:rFonts w:ascii="Times New Roman" w:cs="Times New Roman" w:eastAsia="Times New Roman" w:hAnsi="Times New Roman"/>
          <w:b/>
          <w:bCs/>
          <w:i/>
          <w:iCs/>
          <w:sz w:val="24"/>
          <w:szCs w:val="24"/>
        </w:rPr>
        <w:t xml:space="preserve">Controlled Communication</w:t>
      </w:r>
    </w:p>
    <w:p>
      <w:pPr>
        <w:spacing w:after="0" w:line="480"/>
      </w:pPr>
    </w:p>
    <w:p>
      <w:pPr>
        <w:spacing w:after="0" w:line="480"/>
        <w:ind w:firstLine="720"/>
      </w:pPr>
      <w:r>
        <w:rPr>
          <w:rFonts w:ascii="Times New Roman" w:cs="Times New Roman" w:eastAsia="Times New Roman" w:hAnsi="Times New Roman"/>
          <w:sz w:val="24"/>
          <w:szCs w:val="24"/>
        </w:rPr>
        <w:t xml:space="preserve">In most TTI programs, all mail—incoming and outgoing—is read by staff. Letters home are censored, edited, or withheld entirely. Phone calls, if permitted at all, are monitored by a staff member who sits within earshot—and in many programs, the child is given a script or a list of approved topics. Conversations that deviate from approved content are terminated. In wilderness programs, the control is even simpler: there are no phones, no mail, no internet. The child is communicatively isolated as completely as it is possible to be in the twenty-first century.</w:t>
      </w:r>
    </w:p>
    <w:p>
      <w:pPr>
        <w:spacing w:after="0" w:line="480"/>
        <w:ind w:firstLine="720"/>
      </w:pPr>
      <w:r>
        <w:rPr>
          <w:rFonts w:ascii="Times New Roman" w:cs="Times New Roman" w:eastAsia="Times New Roman" w:hAnsi="Times New Roman"/>
          <w:sz w:val="24"/>
          <w:szCs w:val="24"/>
        </w:rPr>
        <w:t xml:space="preserve">I have reviewed letters that children wrote begging their parents for help—letters that never arrived. I have seen program manuals that instruct staff to intercept any correspondence that contains complaints, references to wanting to come home, or descriptions of program practices that might alarm parents. The manual does not say "censor the mail." It says "review outgoing correspondence for therapeutic appropriateness." The effect is the same.</w:t>
      </w:r>
    </w:p>
    <w:p>
      <w:pPr>
        <w:spacing w:after="0" w:line="480"/>
        <w:ind w:firstLine="720"/>
      </w:pPr>
      <w:r>
        <w:rPr>
          <w:rFonts w:ascii="Times New Roman" w:cs="Times New Roman" w:eastAsia="Times New Roman" w:hAnsi="Times New Roman"/>
          <w:sz w:val="24"/>
          <w:szCs w:val="24"/>
        </w:rPr>
        <w:t xml:space="preserve">I have read phone call scripts that tell children what they are allowed to say. "Tell your parents you are learning a lot. Tell them the staff are helpful. Tell them you are working hard on your goals." I have heard recorded calls—programs that recorded them, not realizing the recordings would one day be discoverable—in which a staff member can be heard whispering instructions to a child during the call. The parent on the other end hears a child who sounds calm and positive. The parent does not hear the staff member standing three feet away.</w:t>
      </w:r>
    </w:p>
    <w:p>
      <w:pPr>
        <w:spacing w:after="0" w:line="480"/>
      </w:pPr>
    </w:p>
    <w:p>
      <w:pPr>
        <w:spacing w:after="0" w:before="240" w:line="480"/>
      </w:pPr>
      <w:r>
        <w:rPr>
          <w:rFonts w:ascii="Times New Roman" w:cs="Times New Roman" w:eastAsia="Times New Roman" w:hAnsi="Times New Roman"/>
          <w:b/>
          <w:bCs/>
          <w:i/>
          <w:iCs/>
          <w:sz w:val="24"/>
          <w:szCs w:val="24"/>
        </w:rPr>
        <w:t xml:space="preserve">Punished Disclosure</w:t>
      </w:r>
    </w:p>
    <w:p>
      <w:pPr>
        <w:spacing w:after="0" w:line="480"/>
      </w:pPr>
    </w:p>
    <w:p>
      <w:pPr>
        <w:spacing w:after="0" w:line="480"/>
        <w:ind w:firstLine="720"/>
      </w:pPr>
      <w:r>
        <w:rPr>
          <w:rFonts w:ascii="Times New Roman" w:cs="Times New Roman" w:eastAsia="Times New Roman" w:hAnsi="Times New Roman"/>
          <w:sz w:val="24"/>
          <w:szCs w:val="24"/>
        </w:rPr>
        <w:t xml:space="preserve">The level system—described in detail in Chapter 2—does double duty as a silencing tool. A child's access to basic privileges is contingent on compliance. A child who complains about the program is, by definition, not compliant. Complaints result in loss of privileges, demotion to lower levels, additional restrictions, or placement in isolation—which the program may call "reflection time," "processing," or "individual accountability."</w:t>
      </w:r>
    </w:p>
    <w:p>
      <w:pPr>
        <w:spacing w:after="0" w:line="480"/>
        <w:ind w:firstLine="720"/>
      </w:pPr>
      <w:r>
        <w:rPr>
          <w:rFonts w:ascii="Times New Roman" w:cs="Times New Roman" w:eastAsia="Times New Roman" w:hAnsi="Times New Roman"/>
          <w:sz w:val="24"/>
          <w:szCs w:val="24"/>
        </w:rPr>
        <w:t xml:space="preserve">The children learn the lesson quickly: disclosure is punished. Compliance is rewarded. The child who says "I'm being abused" loses phone privileges. The child who says "I'm learning so much" earns a call home. The system does not need to explicitly forbid complaint. It creates a behavioral architecture in which complaint is the most costly possible choice. And when the alternative to complaint is the ability to hear your mother's voice for fifteen minutes, most children choose silence.</w:t>
      </w:r>
    </w:p>
    <w:p>
      <w:pPr>
        <w:spacing w:after="0" w:line="480"/>
      </w:pPr>
    </w:p>
    <w:p>
      <w:pPr>
        <w:spacing w:after="0" w:before="240" w:line="480"/>
      </w:pPr>
      <w:r>
        <w:rPr>
          <w:rFonts w:ascii="Times New Roman" w:cs="Times New Roman" w:eastAsia="Times New Roman" w:hAnsi="Times New Roman"/>
          <w:b/>
          <w:bCs/>
          <w:i/>
          <w:iCs/>
          <w:sz w:val="24"/>
          <w:szCs w:val="24"/>
        </w:rPr>
        <w:t xml:space="preserve">Pathologized Complaint</w:t>
      </w:r>
    </w:p>
    <w:p>
      <w:pPr>
        <w:spacing w:after="0" w:line="480"/>
      </w:pPr>
    </w:p>
    <w:p>
      <w:pPr>
        <w:spacing w:after="0" w:line="480"/>
        <w:ind w:firstLine="720"/>
      </w:pPr>
      <w:r>
        <w:rPr>
          <w:rFonts w:ascii="Times New Roman" w:cs="Times New Roman" w:eastAsia="Times New Roman" w:hAnsi="Times New Roman"/>
          <w:sz w:val="24"/>
          <w:szCs w:val="24"/>
        </w:rPr>
        <w:t xml:space="preserve">This is the deepest and most insidious layer of the TTI's silencing architecture, and it is the one that does the most lasting psychological damage.</w:t>
      </w:r>
    </w:p>
    <w:p>
      <w:pPr>
        <w:spacing w:after="0" w:line="480"/>
        <w:ind w:firstLine="720"/>
      </w:pPr>
      <w:r>
        <w:rPr>
          <w:rFonts w:ascii="Times New Roman" w:cs="Times New Roman" w:eastAsia="Times New Roman" w:hAnsi="Times New Roman"/>
          <w:sz w:val="24"/>
          <w:szCs w:val="24"/>
        </w:rPr>
        <w:t xml:space="preserve">In many programs, if a child reports abuse, staff are trained to reframe the complaint as a symptom. "That's your trauma talking." "This is resistance." "The fact that you're upset is proof that we're getting to the real issues." The complaint itself becomes evidence that the complainer is sick. If the child says "I'm being hurt," the response is not investigation. The response is "You're projecting" or "You're in denial" or "This is part of the process."</w:t>
      </w:r>
    </w:p>
    <w:p>
      <w:pPr>
        <w:spacing w:after="0" w:line="480"/>
        <w:ind w:firstLine="720"/>
      </w:pPr>
      <w:r>
        <w:rPr>
          <w:rFonts w:ascii="Times New Roman" w:cs="Times New Roman" w:eastAsia="Times New Roman" w:hAnsi="Times New Roman"/>
          <w:sz w:val="24"/>
          <w:szCs w:val="24"/>
        </w:rPr>
        <w:t xml:space="preserve">The genius of this mechanism—and I use the word with revulsion—is that it makes the act of reporting abuse therapeutically impermissible. The child is told that the feelings driving the complaint are themselves the pathology being treated. To complain is to be sick. To accept the abuse is to be well. The child learns that their own perception of reality is unreliable—that the program's interpretation of their experience is more valid than their own. This is gaslighting elevated to institutional practice, and it produces a psychological injury—the destruction of the survivor's trust in their own perceptions—that persists for decades.</w:t>
      </w:r>
    </w:p>
    <w:p>
      <w:pPr>
        <w:spacing w:after="0" w:line="480"/>
        <w:ind w:firstLine="720"/>
      </w:pPr>
      <w:r>
        <w:rPr>
          <w:rFonts w:ascii="Times New Roman" w:cs="Times New Roman" w:eastAsia="Times New Roman" w:hAnsi="Times New Roman"/>
          <w:sz w:val="24"/>
          <w:szCs w:val="24"/>
        </w:rPr>
        <w:t xml:space="preserve">For trial, pathologized complaint is devastating evidence. If you can obtain the program's training manual, the staff handbook, or the clinical model documentation—and you should request all three in your first set of discovery—you will often find explicit instructions for reframing complaints as symptoms. Put those instructions on the screen in front of the jury. Read them aloud. Let the jury hear what the program taught its staff to say when a child asked for help.</w:t>
      </w:r>
    </w:p>
    <w:p>
      <w:pPr>
        <w:spacing w:after="0" w:line="480"/>
      </w:pPr>
    </w:p>
    <w:p>
      <w:pPr>
        <w:spacing w:after="0" w:before="240" w:line="480"/>
      </w:pPr>
      <w:r>
        <w:rPr>
          <w:rFonts w:ascii="Times New Roman" w:cs="Times New Roman" w:eastAsia="Times New Roman" w:hAnsi="Times New Roman"/>
          <w:b/>
          <w:bCs/>
          <w:i/>
          <w:iCs/>
          <w:sz w:val="24"/>
          <w:szCs w:val="24"/>
        </w:rPr>
        <w:t xml:space="preserve">"They're Manipulating You": Coaching the Parents</w:t>
      </w:r>
    </w:p>
    <w:p>
      <w:pPr>
        <w:spacing w:after="0" w:line="480"/>
      </w:pPr>
    </w:p>
    <w:p>
      <w:pPr>
        <w:spacing w:after="0" w:line="480"/>
        <w:ind w:firstLine="720"/>
      </w:pPr>
      <w:r>
        <w:rPr>
          <w:rFonts w:ascii="Times New Roman" w:cs="Times New Roman" w:eastAsia="Times New Roman" w:hAnsi="Times New Roman"/>
          <w:sz w:val="24"/>
          <w:szCs w:val="24"/>
        </w:rPr>
        <w:t xml:space="preserve">The TTI's architecture of silence does not stop at the program's walls. It extends into the family home, through systematic coaching of parents designed to ensure that even if a child's complaint reaches the parent's ears, the parent will not believe it.</w:t>
      </w:r>
    </w:p>
    <w:p>
      <w:pPr>
        <w:spacing w:after="0" w:line="480"/>
        <w:ind w:firstLine="720"/>
      </w:pPr>
      <w:r>
        <w:rPr>
          <w:rFonts w:ascii="Times New Roman" w:cs="Times New Roman" w:eastAsia="Times New Roman" w:hAnsi="Times New Roman"/>
          <w:sz w:val="24"/>
          <w:szCs w:val="24"/>
        </w:rPr>
        <w:t xml:space="preserve">Most programs provide parents with orientation materials—handbooks, webinars, or phone calls from program staff—that include a section on "manipulation." The message is explicit: your child will try to come home. Your child will say things that sound alarming. Your child will cry, beg, and make accusations. This is normal. It is part of the process. It is evidence that the program is working. Do not believe your child. Believe us.</w:t>
      </w:r>
    </w:p>
    <w:p>
      <w:pPr>
        <w:spacing w:after="0" w:line="480"/>
        <w:ind w:firstLine="720"/>
      </w:pPr>
      <w:r>
        <w:rPr>
          <w:rFonts w:ascii="Times New Roman" w:cs="Times New Roman" w:eastAsia="Times New Roman" w:hAnsi="Times New Roman"/>
          <w:sz w:val="24"/>
          <w:szCs w:val="24"/>
        </w:rPr>
        <w:t xml:space="preserve">I have read parent handbooks that include entire sections titled "Why Your Child Will Try to Come Home" or "Understanding Manipulation Tactics." These documents preemptively discredit every possible complaint the child might make. They teach parents to interpret their child's distress as evidence of progress. They coach parents to respond to their child's pleas with phrases like "I trust the process" and "The staff know what they're doing."</w:t>
      </w:r>
    </w:p>
    <w:p>
      <w:pPr>
        <w:spacing w:after="0" w:line="480"/>
        <w:ind w:firstLine="720"/>
      </w:pPr>
      <w:r>
        <w:rPr>
          <w:rFonts w:ascii="Times New Roman" w:cs="Times New Roman" w:eastAsia="Times New Roman" w:hAnsi="Times New Roman"/>
          <w:sz w:val="24"/>
          <w:szCs w:val="24"/>
        </w:rPr>
        <w:t xml:space="preserve">This coaching is not a footnote to the abuse. It is a necessary component of the business model. The program charges families thousands of dollars per month. If a parent believes their child's complaint and withdraws the child, the program loses revenue. The coaching exists to protect the revenue stream. It is customer retention disguised as clinical guidance.</w:t>
      </w:r>
    </w:p>
    <w:p>
      <w:pPr>
        <w:spacing w:after="0" w:line="480"/>
        <w:ind w:firstLine="720"/>
      </w:pPr>
      <w:r>
        <w:rPr>
          <w:rFonts w:ascii="Times New Roman" w:cs="Times New Roman" w:eastAsia="Times New Roman" w:hAnsi="Times New Roman"/>
          <w:sz w:val="24"/>
          <w:szCs w:val="24"/>
        </w:rPr>
        <w:t xml:space="preserve">For trial, the parent coaching materials are among the most powerful exhibits you will ever present. They prove premeditation. The program anticipated that children would complain. It anticipated that parents would hear those complaints. And it built a system—documented, scripted, and distributed to every family—to ensure that the complaints would be dismissed. That is not the behavior of a program that had nothing to hide.</w:t>
      </w:r>
    </w:p>
    <w:p>
      <w:pPr>
        <w:spacing w:after="0" w:line="480"/>
      </w:pPr>
    </w:p>
    <w:p>
      <w:pPr>
        <w:spacing w:after="0" w:before="240" w:line="480"/>
      </w:pPr>
      <w:r>
        <w:rPr>
          <w:rFonts w:ascii="Times New Roman" w:cs="Times New Roman" w:eastAsia="Times New Roman" w:hAnsi="Times New Roman"/>
          <w:b/>
          <w:bCs/>
          <w:i/>
          <w:iCs/>
          <w:sz w:val="24"/>
          <w:szCs w:val="24"/>
        </w:rPr>
        <w:t xml:space="preserve">Staff Complicity: NDAs, Normalization, and Economic Dependence</w:t>
      </w:r>
    </w:p>
    <w:p>
      <w:pPr>
        <w:spacing w:after="0" w:line="480"/>
      </w:pPr>
    </w:p>
    <w:p>
      <w:pPr>
        <w:spacing w:after="0" w:line="480"/>
        <w:ind w:firstLine="720"/>
      </w:pPr>
      <w:r>
        <w:rPr>
          <w:rFonts w:ascii="Times New Roman" w:cs="Times New Roman" w:eastAsia="Times New Roman" w:hAnsi="Times New Roman"/>
          <w:sz w:val="24"/>
          <w:szCs w:val="24"/>
        </w:rPr>
        <w:t xml:space="preserve">Staff members who witness abuse and remain silent are not villains. Most of them are trapped in their own version of the architecture.</w:t>
      </w:r>
    </w:p>
    <w:p>
      <w:pPr>
        <w:spacing w:after="0" w:line="480"/>
        <w:ind w:firstLine="720"/>
      </w:pPr>
      <w:r>
        <w:rPr>
          <w:rFonts w:ascii="Times New Roman" w:cs="Times New Roman" w:eastAsia="Times New Roman" w:hAnsi="Times New Roman"/>
          <w:sz w:val="24"/>
          <w:szCs w:val="24"/>
        </w:rPr>
        <w:t xml:space="preserve">TTI staff are among the lowest-paid workers in the youth services sector. They have no union protection, no financial cushion, and no realistic alternative employment in the rural areas where most programs are located. They know that reporting abuse to outside authorities will result in termination. Many have signed non-disclosure agreements as a condition of employment. Many more operate within a culture in which loyalty to the program is framed as loyalty to the children—a moral inversion so complete that speaking out feels like betrayal of the mission rather than fulfillment of it.</w:t>
      </w:r>
    </w:p>
    <w:p>
      <w:pPr>
        <w:spacing w:after="0" w:line="480"/>
        <w:ind w:firstLine="720"/>
      </w:pPr>
      <w:r>
        <w:rPr>
          <w:rFonts w:ascii="Times New Roman" w:cs="Times New Roman" w:eastAsia="Times New Roman" w:hAnsi="Times New Roman"/>
          <w:sz w:val="24"/>
          <w:szCs w:val="24"/>
        </w:rPr>
        <w:t xml:space="preserve">Normalization is the most powerful silencing mechanism for staff. When a new employee arrives at a TTI program, they see practices that might initially disturb them—restraints, isolation, the enforcement of the level system. But they see senior staff treating these practices as routine. They see clinical directors endorsing them. They see children complying. The new employee's internal alarm bells are overridden by the social consensus around them. Within weeks, practices that would horrify an outsider become "just how things work here." Solomon Asch's conformity experiments demonstrated this dynamic decades ago: people override their own perceptions when they are surrounded by a group that perceives differently. TTI programs create exactly these conditions for their staff.</w:t>
      </w:r>
    </w:p>
    <w:p>
      <w:pPr>
        <w:spacing w:after="0" w:line="480"/>
        <w:ind w:firstLine="720"/>
      </w:pPr>
      <w:r>
        <w:rPr>
          <w:rFonts w:ascii="Times New Roman" w:cs="Times New Roman" w:eastAsia="Times New Roman" w:hAnsi="Times New Roman"/>
          <w:sz w:val="24"/>
          <w:szCs w:val="24"/>
        </w:rPr>
        <w:t xml:space="preserve">For trial, staff silence is powerful evidence. Every staff member who saw something and said nothing is another brick in the architecture. Their silence proves that the program controlled not just the children but everyone inside its walls. And in deposition, former staff are often your most valuable witnesses—because once they are outside the program's culture, many of them are desperate to tell the truth.</w:t>
      </w:r>
    </w:p>
    <w:p>
      <w:pPr>
        <w:spacing w:after="0" w:line="480"/>
      </w:pPr>
    </w:p>
    <w:p>
      <w:pPr>
        <w:spacing w:after="0" w:before="240" w:line="480"/>
      </w:pPr>
      <w:r>
        <w:rPr>
          <w:rFonts w:ascii="Times New Roman" w:cs="Times New Roman" w:eastAsia="Times New Roman" w:hAnsi="Times New Roman"/>
          <w:b/>
          <w:bCs/>
          <w:i/>
          <w:iCs/>
          <w:sz w:val="24"/>
          <w:szCs w:val="24"/>
        </w:rPr>
        <w:t xml:space="preserve">Educational Consultant Complicity</w:t>
      </w:r>
    </w:p>
    <w:p>
      <w:pPr>
        <w:spacing w:after="0" w:line="480"/>
      </w:pPr>
    </w:p>
    <w:p>
      <w:pPr>
        <w:spacing w:after="0" w:line="480"/>
        <w:ind w:firstLine="720"/>
      </w:pPr>
      <w:r>
        <w:rPr>
          <w:rFonts w:ascii="Times New Roman" w:cs="Times New Roman" w:eastAsia="Times New Roman" w:hAnsi="Times New Roman"/>
          <w:sz w:val="24"/>
          <w:szCs w:val="24"/>
        </w:rPr>
        <w:t xml:space="preserve">The educational consultant occupies a unique position in the architecture of silence: they are the gatekeeper who channels families into the system, and they are financially incentivized to keep the pipeline flowing.</w:t>
      </w:r>
    </w:p>
    <w:p>
      <w:pPr>
        <w:spacing w:after="0" w:line="480"/>
        <w:ind w:firstLine="720"/>
      </w:pPr>
      <w:r>
        <w:rPr>
          <w:rFonts w:ascii="Times New Roman" w:cs="Times New Roman" w:eastAsia="Times New Roman" w:hAnsi="Times New Roman"/>
          <w:sz w:val="24"/>
          <w:szCs w:val="24"/>
        </w:rPr>
        <w:t xml:space="preserve">A consultant who receives a $10,000 referral fee for every child placed at a program has a structural incentive to dismiss complaints about that program. If a parent calls the consultant after enrollment and says "My child is telling me something is wrong," the consultant's financial interest is to echo the program's coaching: "That's normal. It's part of the process. Trust the program." The consultant who validates a parent's concern and recommends withdrawal loses a referral relationship—and future income.</w:t>
      </w:r>
    </w:p>
    <w:p>
      <w:pPr>
        <w:spacing w:after="0" w:line="480"/>
        <w:ind w:firstLine="720"/>
      </w:pPr>
      <w:r>
        <w:rPr>
          <w:rFonts w:ascii="Times New Roman" w:cs="Times New Roman" w:eastAsia="Times New Roman" w:hAnsi="Times New Roman"/>
          <w:sz w:val="24"/>
          <w:szCs w:val="24"/>
        </w:rPr>
        <w:t xml:space="preserve">Some consultants are more directly complicit. I have seen cases where educational consultants continued to refer children to programs after receiving specific complaints of abuse from prior families. The consultant's referral log—obtainable in discovery—showed dozens of placements at a program that the consultant knew, from parental complaints, had a pattern of abusive practices. The consultant continued referring because the referral fees were too lucrative to forfeit.</w:t>
      </w:r>
    </w:p>
    <w:p>
      <w:pPr>
        <w:spacing w:after="0" w:line="480"/>
        <w:ind w:firstLine="720"/>
      </w:pPr>
      <w:r>
        <w:rPr>
          <w:rFonts w:ascii="Times New Roman" w:cs="Times New Roman" w:eastAsia="Times New Roman" w:hAnsi="Times New Roman"/>
          <w:sz w:val="24"/>
          <w:szCs w:val="24"/>
        </w:rPr>
        <w:t xml:space="preserve">For trial, the educational consultant is often a co-defendant or a key witness. Their referral-fee agreements, their communications with programs, and their responses to parental complaints are all discoverable. And the story they tell is damning: the person the parents trusted to recommend the right program was being paid by the program to make the recommendation.</w:t>
      </w:r>
    </w:p>
    <w:p>
      <w:pPr>
        <w:spacing w:after="0" w:line="480"/>
      </w:pPr>
    </w:p>
    <w:p>
      <w:pPr>
        <w:spacing w:after="0" w:before="240" w:line="480"/>
      </w:pPr>
      <w:r>
        <w:rPr>
          <w:rFonts w:ascii="Times New Roman" w:cs="Times New Roman" w:eastAsia="Times New Roman" w:hAnsi="Times New Roman"/>
          <w:b/>
          <w:bCs/>
          <w:i/>
          <w:iCs/>
          <w:sz w:val="24"/>
          <w:szCs w:val="24"/>
        </w:rPr>
        <w:t xml:space="preserve">Regulatory Failure: When the Watchdogs Don't Bark</w:t>
      </w:r>
    </w:p>
    <w:p>
      <w:pPr>
        <w:spacing w:after="0" w:line="480"/>
      </w:pPr>
    </w:p>
    <w:p>
      <w:pPr>
        <w:spacing w:after="0" w:line="480"/>
        <w:ind w:firstLine="720"/>
      </w:pPr>
      <w:r>
        <w:rPr>
          <w:rFonts w:ascii="Times New Roman" w:cs="Times New Roman" w:eastAsia="Times New Roman" w:hAnsi="Times New Roman"/>
          <w:sz w:val="24"/>
          <w:szCs w:val="24"/>
        </w:rPr>
        <w:t xml:space="preserve">The final component of the interior architecture is the regulatory environment—or, more accurately, the absence of one.</w:t>
      </w:r>
    </w:p>
    <w:p>
      <w:pPr>
        <w:spacing w:after="0" w:line="480"/>
        <w:ind w:firstLine="720"/>
      </w:pPr>
      <w:r>
        <w:rPr>
          <w:rFonts w:ascii="Times New Roman" w:cs="Times New Roman" w:eastAsia="Times New Roman" w:hAnsi="Times New Roman"/>
          <w:sz w:val="24"/>
          <w:szCs w:val="24"/>
        </w:rPr>
        <w:t xml:space="preserve">There is no federal oversight of residential treatment programs for minors. State licensing requirements are a patchwork of inconsistency. In many states, a facility needs more licensing to operate a hair salon than to run a residential treatment center for adolescents. State inspections, where they occur, are often announced in advance—giving programs time to prepare. Violations, when cited, result in fines that are a fraction of one month's revenue from a single enrolled child. License revocations are extraordinarily rare. Criminal prosecution of program operators is nearly unheard of.</w:t>
      </w:r>
    </w:p>
    <w:p>
      <w:pPr>
        <w:spacing w:after="0" w:line="480"/>
        <w:ind w:firstLine="720"/>
      </w:pPr>
      <w:r>
        <w:rPr>
          <w:rFonts w:ascii="Times New Roman" w:cs="Times New Roman" w:eastAsia="Times New Roman" w:hAnsi="Times New Roman"/>
          <w:sz w:val="24"/>
          <w:szCs w:val="24"/>
        </w:rPr>
        <w:t xml:space="preserve">In some states, the regulators have been captured by the industry they regulate. Former program operators sit on licensing boards. Industry trade associations lobby against stricter oversight. The revolving door between industry and regulation creates a system in which the watchdogs have been domesticated.</w:t>
      </w:r>
    </w:p>
    <w:p>
      <w:pPr>
        <w:spacing w:after="0" w:line="480"/>
        <w:ind w:firstLine="720"/>
      </w:pPr>
      <w:r>
        <w:rPr>
          <w:rFonts w:ascii="Times New Roman" w:cs="Times New Roman" w:eastAsia="Times New Roman" w:hAnsi="Times New Roman"/>
          <w:sz w:val="24"/>
          <w:szCs w:val="24"/>
        </w:rPr>
        <w:t xml:space="preserve">For trial, regulatory failure serves two functions. First, it explains why the program was able to operate unchecked—it removes the defense argument that "if things were really that bad, the state would have shut us down." Second, it supports punitive damages: the program exploited a regulatory gap that it helped create, and the only way to hold it accountable is through the civil justice system.</w:t>
      </w:r>
    </w:p>
    <w:p>
      <w:pPr>
        <w:spacing w:after="0" w:line="480"/>
      </w:pP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Part Two: The Exterior Architecture</w:t>
      </w:r>
    </w:p>
    <w:p>
      <w:pPr>
        <w:spacing w:after="0" w:line="480"/>
        <w:jc w:val="center"/>
      </w:pPr>
      <w:r>
        <w:rPr>
          <w:rFonts w:ascii="Times New Roman" w:cs="Times New Roman" w:eastAsia="Times New Roman" w:hAnsi="Times New Roman"/>
          <w:i/>
          <w:iCs/>
          <w:sz w:val="24"/>
          <w:szCs w:val="24"/>
        </w:rPr>
        <w:t xml:space="preserve">Why the Outside World Doesn't Believe</w:t>
      </w:r>
    </w:p>
    <w:p>
      <w:pPr>
        <w:spacing w:after="0" w:line="480"/>
      </w:pPr>
    </w:p>
    <w:p>
      <w:pPr>
        <w:spacing w:after="0" w:line="480"/>
      </w:pPr>
      <w:r>
        <w:rPr>
          <w:rFonts w:ascii="Times New Roman" w:cs="Times New Roman" w:eastAsia="Times New Roman" w:hAnsi="Times New Roman"/>
          <w:sz w:val="24"/>
          <w:szCs w:val="24"/>
        </w:rPr>
        <w:t xml:space="preserve">The interior architecture prevents children from speaking. But what about the survivors who do speak—years later, when they finally have the words and the distance? Why does the outside world so often refuse to believe them?</w:t>
      </w:r>
    </w:p>
    <w:p>
      <w:pPr>
        <w:spacing w:after="0" w:line="480"/>
        <w:ind w:firstLine="720"/>
      </w:pPr>
      <w:r>
        <w:rPr>
          <w:rFonts w:ascii="Times New Roman" w:cs="Times New Roman" w:eastAsia="Times New Roman" w:hAnsi="Times New Roman"/>
          <w:sz w:val="24"/>
          <w:szCs w:val="24"/>
        </w:rPr>
        <w:t xml:space="preserve">The answer is not malice. It is cognition. There is a set of well-documented psychological forces that cause ordinary, well-meaning people—jurors, judges, family members, the general public—to resist believing accounts of institutional abuse even when the evidence is compelling. Understanding these forces is not academic. It is strategically essential, because your trial strategy must dismantle them.</w:t>
      </w:r>
    </w:p>
    <w:p>
      <w:pPr>
        <w:spacing w:after="0" w:line="480"/>
      </w:pPr>
    </w:p>
    <w:p>
      <w:pPr>
        <w:spacing w:after="0" w:before="240" w:line="480"/>
      </w:pPr>
      <w:r>
        <w:rPr>
          <w:rFonts w:ascii="Times New Roman" w:cs="Times New Roman" w:eastAsia="Times New Roman" w:hAnsi="Times New Roman"/>
          <w:b/>
          <w:bCs/>
          <w:i/>
          <w:iCs/>
          <w:sz w:val="24"/>
          <w:szCs w:val="24"/>
        </w:rPr>
        <w:t xml:space="preserve">System 1 and the Institutional Default</w:t>
      </w:r>
    </w:p>
    <w:p>
      <w:pPr>
        <w:spacing w:after="0" w:line="480"/>
      </w:pPr>
    </w:p>
    <w:p>
      <w:pPr>
        <w:spacing w:after="0" w:line="480"/>
        <w:ind w:firstLine="720"/>
      </w:pPr>
      <w:r>
        <w:rPr>
          <w:rFonts w:ascii="Times New Roman" w:cs="Times New Roman" w:eastAsia="Times New Roman" w:hAnsi="Times New Roman"/>
          <w:sz w:val="24"/>
          <w:szCs w:val="24"/>
        </w:rPr>
        <w:t xml:space="preserve">Daniel Kahneman's research distinguishes between two modes of thinking. System 1 is automatic, fast, and effortless—it is how you recognize a face or know that 2+2=4 without thinking. System 2 is deliberate, slow, and effortful—it is where conscious reasoning lives.</w:t>
      </w:r>
    </w:p>
    <w:p>
      <w:pPr>
        <w:spacing w:after="0" w:line="480"/>
        <w:ind w:firstLine="720"/>
      </w:pPr>
      <w:r>
        <w:rPr>
          <w:rFonts w:ascii="Times New Roman" w:cs="Times New Roman" w:eastAsia="Times New Roman" w:hAnsi="Times New Roman"/>
          <w:sz w:val="24"/>
          <w:szCs w:val="24"/>
        </w:rPr>
        <w:t xml:space="preserve">When a juror hears "residential treatment center," System 1 retrieves "helping institution." Not "coercive system." Not "place where abuse happened." System 1 does not evaluate. It categorizes. And the default category for a treatment center is "place that helps." Your entire case is an effort to recategorize—to move the juror from "helping institution" to "dangerous system." That requires engaging System 2, and System 2 requires effort.</w:t>
      </w:r>
    </w:p>
    <w:p>
      <w:pPr>
        <w:spacing w:after="0" w:line="480"/>
        <w:ind w:firstLine="720"/>
      </w:pPr>
      <w:r>
        <w:rPr>
          <w:rFonts w:ascii="Times New Roman" w:cs="Times New Roman" w:eastAsia="Times New Roman" w:hAnsi="Times New Roman"/>
          <w:sz w:val="24"/>
          <w:szCs w:val="24"/>
        </w:rPr>
        <w:t xml:space="preserve">This is why simplicity matters in TTI cases. Every unnecessary complexity in your presentation—every tangent, every unfocused witness, every document the jury does not need—is an invitation for the juror to stop using System 2 and retreat to System 1. And when they retreat to System 1, the program wins, because System 1 says "helping institution." Your case must be clear enough, focused enough, and compelling enough to keep System 2 engaged from opening to verdict.</w:t>
      </w:r>
    </w:p>
    <w:p>
      <w:pPr>
        <w:spacing w:after="0" w:line="480"/>
      </w:pPr>
    </w:p>
    <w:p>
      <w:pPr>
        <w:spacing w:after="0" w:before="240" w:line="480"/>
      </w:pPr>
      <w:r>
        <w:rPr>
          <w:rFonts w:ascii="Times New Roman" w:cs="Times New Roman" w:eastAsia="Times New Roman" w:hAnsi="Times New Roman"/>
          <w:b/>
          <w:bCs/>
          <w:i/>
          <w:iCs/>
          <w:sz w:val="24"/>
          <w:szCs w:val="24"/>
        </w:rPr>
        <w:t xml:space="preserve">The Just-World Hypothesis and the Blame Trap</w:t>
      </w:r>
    </w:p>
    <w:p>
      <w:pPr>
        <w:spacing w:after="0" w:line="480"/>
      </w:pPr>
    </w:p>
    <w:p>
      <w:pPr>
        <w:spacing w:after="0" w:line="480"/>
        <w:ind w:firstLine="720"/>
      </w:pPr>
      <w:r>
        <w:rPr>
          <w:rFonts w:ascii="Times New Roman" w:cs="Times New Roman" w:eastAsia="Times New Roman" w:hAnsi="Times New Roman"/>
          <w:sz w:val="24"/>
          <w:szCs w:val="24"/>
        </w:rPr>
        <w:t xml:space="preserve">Melvin Lerner's research reveals something that people rarely admit: we have a psychological need to believe that the world is fair. If bad things can happen to good people for no reason, the world is random and terrifying. The mind protects itself from that conclusion by searching for reasons why the victim deserved or invited the harm.</w:t>
      </w:r>
    </w:p>
    <w:p>
      <w:pPr>
        <w:spacing w:after="0" w:line="480"/>
        <w:ind w:firstLine="720"/>
      </w:pPr>
      <w:r>
        <w:rPr>
          <w:rFonts w:ascii="Times New Roman" w:cs="Times New Roman" w:eastAsia="Times New Roman" w:hAnsi="Times New Roman"/>
          <w:sz w:val="24"/>
          <w:szCs w:val="24"/>
        </w:rPr>
        <w:t xml:space="preserve">"The parents must have done something wrong." "The child was already troubled—they needed structure." "If it was really that bad, they would have complained." These are not conscious conclusions. They are unconscious reassignments of blame. By moving the cause of the harm from the institution to the victim or the family, the juror preserves the comforting belief that the world makes sense—that institutions that promise to help actually help, and that children who are harmed must have done something to bring it on themselves.</w:t>
      </w:r>
    </w:p>
    <w:p>
      <w:pPr>
        <w:spacing w:after="0" w:line="480"/>
        <w:ind w:firstLine="720"/>
      </w:pPr>
      <w:r>
        <w:rPr>
          <w:rFonts w:ascii="Times New Roman" w:cs="Times New Roman" w:eastAsia="Times New Roman" w:hAnsi="Times New Roman"/>
          <w:sz w:val="24"/>
          <w:szCs w:val="24"/>
        </w:rPr>
        <w:t xml:space="preserve">This is the most dangerous cognitive bias in TTI cases. It is more dangerous than authority bias or belief perseverance because it allows jurors to feel compassionate while rendering a defense verdict. They are not heartless. They are protecting their own worldview. And the only way to overcome it is to give them a better target for the blame. That is what the Villain construction in Chapter 15 is designed to do: redirect the just-world instinct from the victim to the institution. The juror's need to blame someone does not go away. You redirect it.</w:t>
      </w:r>
    </w:p>
    <w:p>
      <w:pPr>
        <w:spacing w:after="0" w:line="480"/>
      </w:pPr>
    </w:p>
    <w:p>
      <w:pPr>
        <w:spacing w:after="0" w:before="240" w:line="480"/>
      </w:pPr>
      <w:r>
        <w:rPr>
          <w:rFonts w:ascii="Times New Roman" w:cs="Times New Roman" w:eastAsia="Times New Roman" w:hAnsi="Times New Roman"/>
          <w:b/>
          <w:bCs/>
          <w:i/>
          <w:iCs/>
          <w:sz w:val="24"/>
          <w:szCs w:val="24"/>
        </w:rPr>
        <w:t xml:space="preserve">Authority Bias and the Halo Effect</w:t>
      </w:r>
    </w:p>
    <w:p>
      <w:pPr>
        <w:spacing w:after="0" w:line="480"/>
      </w:pPr>
    </w:p>
    <w:p>
      <w:pPr>
        <w:spacing w:after="0" w:line="480"/>
        <w:ind w:firstLine="720"/>
      </w:pPr>
      <w:r>
        <w:rPr>
          <w:rFonts w:ascii="Times New Roman" w:cs="Times New Roman" w:eastAsia="Times New Roman" w:hAnsi="Times New Roman"/>
          <w:sz w:val="24"/>
          <w:szCs w:val="24"/>
        </w:rPr>
        <w:t xml:space="preserve">An institution carries authority heuristics that individual humans do not. When you think of a treatment center, a school, a therapeutic program, you are thinking of institutions that society has collectively decided to trust. That trust is not earned on a case-by-case basis. It is a default. And defaults are hard to override.</w:t>
      </w:r>
    </w:p>
    <w:p>
      <w:pPr>
        <w:spacing w:after="0" w:line="480"/>
        <w:ind w:firstLine="720"/>
      </w:pPr>
      <w:r>
        <w:rPr>
          <w:rFonts w:ascii="Times New Roman" w:cs="Times New Roman" w:eastAsia="Times New Roman" w:hAnsi="Times New Roman"/>
          <w:sz w:val="24"/>
          <w:szCs w:val="24"/>
        </w:rPr>
        <w:t xml:space="preserve">Stanley Milgram's obedience experiments showed that people defer to authority even when it causes harm. Philip Zimbardo's Stanford Prison Experiment showed how quickly institutional roles override individual morality. In the courtroom, these dynamics manifest as the halo effect: the program is assumed to be legitimate because it looks like a legitimate institution. It has a website. It has licensed staff. It has a name that sounds clinical. The juror's System 1 says: "This is a helping institution." And overriding that default requires sustained, deliberate effort.</w:t>
      </w:r>
    </w:p>
    <w:p>
      <w:pPr>
        <w:spacing w:after="0" w:line="480"/>
        <w:ind w:firstLine="720"/>
      </w:pPr>
      <w:r>
        <w:rPr>
          <w:rFonts w:ascii="Times New Roman" w:cs="Times New Roman" w:eastAsia="Times New Roman" w:hAnsi="Times New Roman"/>
          <w:sz w:val="24"/>
          <w:szCs w:val="24"/>
        </w:rPr>
        <w:t xml:space="preserve">This is why your case must include what I call progressive unmasking. You do not start by declaring the program evil. You start with what it promised. You show the marketing. You read the testimonials. You let the jury see the program the way the parents saw it. And then, layer by layer, you reveal the reality behind the marketing. The gap between the promise and the delivery dismantles the halo—not through frontal assault, which triggers defensiveness, but through discovery, which the jury experiences as their own realization.</w:t>
      </w:r>
    </w:p>
    <w:p>
      <w:pPr>
        <w:spacing w:after="0" w:line="480"/>
      </w:pPr>
    </w:p>
    <w:p>
      <w:pPr>
        <w:spacing w:after="0" w:before="240" w:line="480"/>
      </w:pPr>
      <w:r>
        <w:rPr>
          <w:rFonts w:ascii="Times New Roman" w:cs="Times New Roman" w:eastAsia="Times New Roman" w:hAnsi="Times New Roman"/>
          <w:b/>
          <w:bCs/>
          <w:i/>
          <w:iCs/>
          <w:sz w:val="24"/>
          <w:szCs w:val="24"/>
        </w:rPr>
        <w:t xml:space="preserve">Cognitive Dissonance: Why Parents Resist the Truth</w:t>
      </w:r>
    </w:p>
    <w:p>
      <w:pPr>
        <w:spacing w:after="0" w:line="480"/>
      </w:pPr>
    </w:p>
    <w:p>
      <w:pPr>
        <w:spacing w:after="0" w:line="480"/>
        <w:ind w:firstLine="720"/>
      </w:pPr>
      <w:r>
        <w:rPr>
          <w:rFonts w:ascii="Times New Roman" w:cs="Times New Roman" w:eastAsia="Times New Roman" w:hAnsi="Times New Roman"/>
          <w:sz w:val="24"/>
          <w:szCs w:val="24"/>
        </w:rPr>
        <w:t xml:space="preserve">Leon Festinger's cognitive dissonance theory is devastating in TTI cases. The parent who placed their child in a program made what they believed was a loving, protective decision. They paid tens of thousands of dollars. They endured their child's pleas to come home. They trusted the program's assurances.</w:t>
      </w:r>
    </w:p>
    <w:p>
      <w:pPr>
        <w:spacing w:after="0" w:line="480"/>
        <w:ind w:firstLine="720"/>
      </w:pPr>
      <w:r>
        <w:rPr>
          <w:rFonts w:ascii="Times New Roman" w:cs="Times New Roman" w:eastAsia="Times New Roman" w:hAnsi="Times New Roman"/>
          <w:sz w:val="24"/>
          <w:szCs w:val="24"/>
        </w:rPr>
        <w:t xml:space="preserve">Now imagine the child comes to them years later and says: "The program abused me. Your decision to send me there caused harm."</w:t>
      </w:r>
    </w:p>
    <w:p>
      <w:pPr>
        <w:spacing w:after="0" w:line="480"/>
        <w:ind w:firstLine="720"/>
      </w:pPr>
      <w:r>
        <w:rPr>
          <w:rFonts w:ascii="Times New Roman" w:cs="Times New Roman" w:eastAsia="Times New Roman" w:hAnsi="Times New Roman"/>
          <w:sz w:val="24"/>
          <w:szCs w:val="24"/>
        </w:rPr>
        <w:t xml:space="preserve">The parent holds two beliefs that contradict each other: "I made a loving decision" and "I sent my child into a harmful place." The human mind cannot tolerate that contradiction for long. Something must give. And what usually gives is not the parent's self-image. What gives is the child's account.</w:t>
      </w:r>
    </w:p>
    <w:p>
      <w:pPr>
        <w:spacing w:after="0" w:line="480"/>
        <w:ind w:firstLine="720"/>
      </w:pPr>
      <w:r>
        <w:rPr>
          <w:rFonts w:ascii="Times New Roman" w:cs="Times New Roman" w:eastAsia="Times New Roman" w:hAnsi="Times New Roman"/>
          <w:sz w:val="24"/>
          <w:szCs w:val="24"/>
        </w:rPr>
        <w:t xml:space="preserve">The parent minimizes: "It wasn't that bad. You're exaggerating." The parent blames: "You were difficult. Other kids made it through fine." The parent attacks the messenger: "Your therapist is putting ideas in your head. This lawyer just wants money."</w:t>
      </w:r>
    </w:p>
    <w:p>
      <w:pPr>
        <w:spacing w:after="0" w:line="480"/>
        <w:ind w:firstLine="720"/>
      </w:pPr>
      <w:r>
        <w:rPr>
          <w:rFonts w:ascii="Times New Roman" w:cs="Times New Roman" w:eastAsia="Times New Roman" w:hAnsi="Times New Roman"/>
          <w:sz w:val="24"/>
          <w:szCs w:val="24"/>
        </w:rPr>
        <w:t xml:space="preserve">This is not betrayal in the traditional sense. It is cognition. The parent's mind is protecting itself from the unbearable realization that it participated in its own child's harm. Understanding this transforms how you work with family witnesses—and it gives you a powerful damages argument. The program's silencing mechanisms were so effective that they co-opted the child's own family. The child was silenced inside the program. And when the child came home and tried to speak, the program's coaching had already silenced the parents too.</w:t>
      </w:r>
    </w:p>
    <w:p>
      <w:pPr>
        <w:spacing w:after="0" w:line="480"/>
      </w:pPr>
    </w:p>
    <w:p>
      <w:pPr>
        <w:spacing w:after="0" w:before="240" w:line="480"/>
      </w:pPr>
      <w:r>
        <w:rPr>
          <w:rFonts w:ascii="Times New Roman" w:cs="Times New Roman" w:eastAsia="Times New Roman" w:hAnsi="Times New Roman"/>
          <w:b/>
          <w:bCs/>
          <w:i/>
          <w:iCs/>
          <w:sz w:val="24"/>
          <w:szCs w:val="24"/>
        </w:rPr>
        <w:t xml:space="preserve">The Backfire Effect: Why Frontal Assault Fails</w:t>
      </w:r>
    </w:p>
    <w:p>
      <w:pPr>
        <w:spacing w:after="0" w:line="480"/>
      </w:pPr>
    </w:p>
    <w:p>
      <w:pPr>
        <w:spacing w:after="0" w:line="480"/>
        <w:ind w:firstLine="720"/>
      </w:pPr>
      <w:r>
        <w:rPr>
          <w:rFonts w:ascii="Times New Roman" w:cs="Times New Roman" w:eastAsia="Times New Roman" w:hAnsi="Times New Roman"/>
          <w:sz w:val="24"/>
          <w:szCs w:val="24"/>
        </w:rPr>
        <w:t xml:space="preserve">Brendan Nyhan and Jason Reifler's research found something troubling: when strongly held beliefs are challenged with contradictory evidence, people sometimes hold their beliefs </w:t>
      </w:r>
      <w:r>
        <w:rPr>
          <w:rFonts w:ascii="Times New Roman" w:cs="Times New Roman" w:eastAsia="Times New Roman" w:hAnsi="Times New Roman"/>
          <w:i/>
          <w:iCs/>
          <w:sz w:val="24"/>
          <w:szCs w:val="24"/>
        </w:rPr>
        <w:t xml:space="preserve">more</w:t>
      </w:r>
      <w:r>
        <w:rPr>
          <w:rFonts w:ascii="Times New Roman" w:cs="Times New Roman" w:eastAsia="Times New Roman" w:hAnsi="Times New Roman"/>
          <w:sz w:val="24"/>
          <w:szCs w:val="24"/>
        </w:rPr>
        <w:t xml:space="preserve"> strongly. The evidence does not persuade. It entrenches.</w:t>
      </w:r>
    </w:p>
    <w:p>
      <w:pPr>
        <w:spacing w:after="0" w:line="480"/>
        <w:ind w:firstLine="720"/>
      </w:pPr>
      <w:r>
        <w:rPr>
          <w:rFonts w:ascii="Times New Roman" w:cs="Times New Roman" w:eastAsia="Times New Roman" w:hAnsi="Times New Roman"/>
          <w:sz w:val="24"/>
          <w:szCs w:val="24"/>
        </w:rPr>
        <w:t xml:space="preserve">In TTI cases, this plays out in a specific and dangerous way. A juror comes to trial with a strong belief that programs for struggling teens are fundamentally good. When you present evidence of abuse, the juror's belief perseverance may kick in. Instead of updating their belief, they strengthen their existing one: "The program must have been trying to help. The plaintiff is exaggerating. Every system has imperfections."</w:t>
      </w:r>
    </w:p>
    <w:p>
      <w:pPr>
        <w:spacing w:after="0" w:line="480"/>
        <w:ind w:firstLine="720"/>
      </w:pPr>
      <w:r>
        <w:rPr>
          <w:rFonts w:ascii="Times New Roman" w:cs="Times New Roman" w:eastAsia="Times New Roman" w:hAnsi="Times New Roman"/>
          <w:sz w:val="24"/>
          <w:szCs w:val="24"/>
        </w:rPr>
        <w:t xml:space="preserve">This is why the trial frameworks in Part IV use gradual unmasking rather than frontal assault. You do not start the case with evidence of institutional evil. You start with the program's own promises. You start with what the parents were told. You start with what the marketing said. You let the juror build a picture of what the program claimed to be. And then—gradually, through documents and testimony and the program's own records—you reveal what it actually was. The juror does not feel attacked. The juror feels like they discovered the truth themselves. And a truth that is discovered is far more durable than a truth that is imposed.</w:t>
      </w:r>
    </w:p>
    <w:p>
      <w:pPr>
        <w:spacing w:after="0" w:line="480"/>
      </w:pP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Reframing for Trial: Silence as Proof</w:t>
      </w:r>
    </w:p>
    <w:p>
      <w:pPr>
        <w:spacing w:after="0" w:line="480"/>
      </w:pPr>
    </w:p>
    <w:p>
      <w:pPr>
        <w:spacing w:after="0" w:line="480"/>
      </w:pPr>
      <w:r>
        <w:rPr>
          <w:rFonts w:ascii="Times New Roman" w:cs="Times New Roman" w:eastAsia="Times New Roman" w:hAnsi="Times New Roman"/>
          <w:sz w:val="24"/>
          <w:szCs w:val="24"/>
        </w:rPr>
        <w:t xml:space="preserve">Everything in this chapter leads to a single trial strategy: reframe the silence.</w:t>
      </w:r>
    </w:p>
    <w:p>
      <w:pPr>
        <w:spacing w:after="0" w:line="480"/>
        <w:ind w:firstLine="720"/>
      </w:pPr>
      <w:r>
        <w:rPr>
          <w:rFonts w:ascii="Times New Roman" w:cs="Times New Roman" w:eastAsia="Times New Roman" w:hAnsi="Times New Roman"/>
          <w:sz w:val="24"/>
          <w:szCs w:val="24"/>
        </w:rPr>
        <w:t xml:space="preserve">When the defense asks, "Why didn't anyone complain?" you do not apologize for the absence of complaint. You do not explain it away as a gap in your evidence. You turn it into the centerpiece of your case.</w:t>
      </w:r>
    </w:p>
    <w:p>
      <w:pPr>
        <w:spacing w:after="0" w:line="480"/>
        <w:ind w:firstLine="720"/>
      </w:pPr>
      <w:r>
        <w:rPr>
          <w:rFonts w:ascii="Times New Roman" w:cs="Times New Roman" w:eastAsia="Times New Roman" w:hAnsi="Times New Roman"/>
          <w:sz w:val="24"/>
          <w:szCs w:val="24"/>
        </w:rPr>
        <w:t xml:space="preserve">You say: "Of course there was no complaint. Look at what they built."</w:t>
      </w:r>
    </w:p>
    <w:p>
      <w:pPr>
        <w:spacing w:after="0" w:line="480"/>
        <w:ind w:firstLine="720"/>
      </w:pPr>
      <w:r>
        <w:rPr>
          <w:rFonts w:ascii="Times New Roman" w:cs="Times New Roman" w:eastAsia="Times New Roman" w:hAnsi="Times New Roman"/>
          <w:sz w:val="24"/>
          <w:szCs w:val="24"/>
        </w:rPr>
        <w:t xml:space="preserve">And then you walk the jury through the architecture. The censored letters. The monitored phone calls. The scripted conversations. The level system that punished disclosure. The clinical framework that pathologized complaint. The parent coaching that preemptively discredited the child's voice. The NDAs that silenced staff. The regulatory vacuum that eliminated external oversight. The educational consultant who was paid to funnel children in and had every incentive to dismiss complaints that might stop the flow.</w:t>
      </w:r>
    </w:p>
    <w:p>
      <w:pPr>
        <w:spacing w:after="0" w:line="480"/>
        <w:ind w:firstLine="720"/>
      </w:pPr>
      <w:r>
        <w:rPr>
          <w:rFonts w:ascii="Times New Roman" w:cs="Times New Roman" w:eastAsia="Times New Roman" w:hAnsi="Times New Roman"/>
          <w:sz w:val="24"/>
          <w:szCs w:val="24"/>
        </w:rPr>
        <w:t xml:space="preserve">The silence, you tell them, is the loudest evidence in this case. It proves that the program knew exactly what it was doing. Because you do not build a system to suppress complaints if there is nothing to complain about. You do not censor a child's mail if the child has nothing to report. You do not coach parents to dismiss their child's pleas if the pleas are baseless. You do not make staff sign NDAs if the staff have nothing to disclose.</w:t>
      </w:r>
    </w:p>
    <w:p>
      <w:pPr>
        <w:spacing w:after="0" w:line="480"/>
        <w:ind w:firstLine="720"/>
      </w:pPr>
      <w:r>
        <w:rPr>
          <w:rFonts w:ascii="Times New Roman" w:cs="Times New Roman" w:eastAsia="Times New Roman" w:hAnsi="Times New Roman"/>
          <w:sz w:val="24"/>
          <w:szCs w:val="24"/>
        </w:rPr>
        <w:t xml:space="preserve">The architecture of silence is a confession. It is the program admitting—through its policies, its procedures, its training manuals, and its contracts—that it expected to produce harm and needed to ensure that no one found out.</w:t>
      </w:r>
    </w:p>
    <w:p>
      <w:pPr>
        <w:spacing w:after="0" w:line="480"/>
        <w:ind w:firstLine="720"/>
      </w:pPr>
      <w:r>
        <w:rPr>
          <w:rFonts w:ascii="Times New Roman" w:cs="Times New Roman" w:eastAsia="Times New Roman" w:hAnsi="Times New Roman"/>
          <w:sz w:val="24"/>
          <w:szCs w:val="24"/>
        </w:rPr>
        <w:t xml:space="preserve">That is the reframe. Practice it. Because if you can make a jury see the architecture, you will win.</w:t>
      </w:r>
    </w:p>
    <w:p>
      <w:pPr>
        <w:spacing w:after="0" w:line="480"/>
      </w:pP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Chapter Summary</w:t>
      </w:r>
    </w:p>
    <w:p>
      <w:pPr>
        <w:spacing w:after="0" w:line="480"/>
      </w:pPr>
    </w:p>
    <w:p>
      <w:pPr>
        <w:spacing w:after="0" w:line="480"/>
      </w:pPr>
      <w:r>
        <w:rPr>
          <w:rFonts w:ascii="Times New Roman" w:cs="Times New Roman" w:eastAsia="Times New Roman" w:hAnsi="Times New Roman"/>
          <w:sz w:val="24"/>
          <w:szCs w:val="24"/>
        </w:rPr>
        <w:t xml:space="preserve">"If it was so bad, why didn't anyone complain?" is the single most effective defense argument in TTI cases. This chapter gives you the tools to destroy it.</w:t>
      </w:r>
    </w:p>
    <w:p>
      <w:pPr>
        <w:spacing w:after="0" w:line="480"/>
      </w:pPr>
    </w:p>
    <w:p>
      <w:pPr>
        <w:spacing w:after="0" w:line="480"/>
        <w:ind w:firstLine="720"/>
      </w:pPr>
      <w:r>
        <w:rPr>
          <w:rFonts w:ascii="Times New Roman" w:cs="Times New Roman" w:eastAsia="Times New Roman" w:hAnsi="Times New Roman"/>
          <w:sz w:val="24"/>
          <w:szCs w:val="24"/>
        </w:rPr>
        <w:t xml:space="preserve">The interior architecture of silence operates through five interlocking mechanisms: controlled communication (censored mail, monitored calls, scripted conversations), punished disclosure (level-system penalties for complaint), pathologized complaint (reframing abuse reports as symptoms), parent coaching (preemptive discrediting of the child's voice), and staff complicity (NDAs, normalization, economic dependence).</w:t>
      </w:r>
    </w:p>
    <w:p>
      <w:pPr>
        <w:spacing w:after="0" w:line="480"/>
      </w:pPr>
    </w:p>
    <w:p>
      <w:pPr>
        <w:spacing w:after="0" w:line="480"/>
        <w:ind w:firstLine="720"/>
      </w:pPr>
      <w:r>
        <w:rPr>
          <w:rFonts w:ascii="Times New Roman" w:cs="Times New Roman" w:eastAsia="Times New Roman" w:hAnsi="Times New Roman"/>
          <w:sz w:val="24"/>
          <w:szCs w:val="24"/>
        </w:rPr>
        <w:t xml:space="preserve">Educational consultants are gatekeepers with financial incentives to dismiss complaints about programs they profit from referring to. Their referral-fee agreements, communication logs, and responses to parental complaints are devastating discovery targets.</w:t>
      </w:r>
    </w:p>
    <w:p>
      <w:pPr>
        <w:spacing w:after="0" w:line="480"/>
      </w:pPr>
    </w:p>
    <w:p>
      <w:pPr>
        <w:spacing w:after="0" w:line="480"/>
        <w:ind w:firstLine="720"/>
      </w:pPr>
      <w:r>
        <w:rPr>
          <w:rFonts w:ascii="Times New Roman" w:cs="Times New Roman" w:eastAsia="Times New Roman" w:hAnsi="Times New Roman"/>
          <w:sz w:val="24"/>
          <w:szCs w:val="24"/>
        </w:rPr>
        <w:t xml:space="preserve">Regulatory failure—no federal oversight, patchwork state licensing, toothless enforcement, industry capture of regulators—explains why programs operate unchecked and supports punitive damages arguments.</w:t>
      </w:r>
    </w:p>
    <w:p>
      <w:pPr>
        <w:spacing w:after="0" w:line="480"/>
      </w:pPr>
    </w:p>
    <w:p>
      <w:pPr>
        <w:spacing w:after="0" w:line="480"/>
        <w:ind w:firstLine="720"/>
      </w:pPr>
      <w:r>
        <w:rPr>
          <w:rFonts w:ascii="Times New Roman" w:cs="Times New Roman" w:eastAsia="Times New Roman" w:hAnsi="Times New Roman"/>
          <w:sz w:val="24"/>
          <w:szCs w:val="24"/>
        </w:rPr>
        <w:t xml:space="preserve">The exterior architecture of disbelief operates through cognitive forces: System 1 defaults (Kahneman) categorize programs as "helping institutions"; the just-world hypothesis (Lerner) redirects blame to victims; authority bias (Milgram) creates an institutional halo effect; cognitive dissonance (Festinger) causes parents to resist truth; the backfire effect (Nyhan/Reifler) entrenches beliefs when challenged directly.</w:t>
      </w:r>
    </w:p>
    <w:p>
      <w:pPr>
        <w:spacing w:after="0" w:line="480"/>
      </w:pPr>
    </w:p>
    <w:p>
      <w:pPr>
        <w:spacing w:after="0" w:line="480"/>
        <w:ind w:firstLine="720"/>
      </w:pPr>
      <w:r>
        <w:rPr>
          <w:rFonts w:ascii="Times New Roman" w:cs="Times New Roman" w:eastAsia="Times New Roman" w:hAnsi="Times New Roman"/>
          <w:sz w:val="24"/>
          <w:szCs w:val="24"/>
        </w:rPr>
        <w:t xml:space="preserve">Each cognitive obstacle maps to a specific trial technique: progressive unmasking dismantles the halo, the Villain construction redirects blame, gradual revelation prevents backfire, and family witness preparation addresses cognitive dissonance.</w:t>
      </w:r>
    </w:p>
    <w:p>
      <w:pPr>
        <w:spacing w:after="0" w:line="480"/>
      </w:pPr>
    </w:p>
    <w:p>
      <w:pPr>
        <w:spacing w:after="0" w:line="480"/>
        <w:ind w:firstLine="720"/>
      </w:pPr>
      <w:r>
        <w:rPr>
          <w:rFonts w:ascii="Times New Roman" w:cs="Times New Roman" w:eastAsia="Times New Roman" w:hAnsi="Times New Roman"/>
          <w:sz w:val="24"/>
          <w:szCs w:val="24"/>
        </w:rPr>
        <w:t xml:space="preserve">For trial: reframe the silence. The absence of complaint is not a gap in your evidence. It is the evidence. The program built the architecture that produced the silence, and that architecture is a confession.</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jc w:val="center"/>
    </w:pPr>
    <w:r>
      <w:rPr>
        <w:rFonts w:ascii="Times New Roman" w:cs="Times New Roman" w:eastAsia="Times New Roman" w:hAnsi="Times New Roman"/>
        <w:sz w:val="20"/>
        <w:szCs w:val="20"/>
      </w:rPr>
      <w:t xml:space="preserve"/>
    </w:r>
    <w:r>
      <w:rPr>
        <w:rFonts w:ascii="Times New Roman" w:cs="Times New Roman" w:eastAsia="Times New Roman" w:hAnsi="Times New Roman"/>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center"/>
    </w:pPr>
    <w:r>
      <w:rPr>
        <w:rFonts w:ascii="Times New Roman" w:cs="Times New Roman" w:eastAsia="Times New Roman" w:hAnsi="Times New Roman"/>
        <w:i/>
        <w:iCs/>
        <w:color w:val="888888"/>
        <w:sz w:val="18"/>
        <w:szCs w:val="18"/>
      </w:rPr>
      <w:t xml:space="preserve">BREAKING THE SYSTEM — The Architecture of Silence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2026-05-08T04:49:30.214Z</dcterms:created>
  <dcterms:modified xsi:type="dcterms:W3CDTF">2026-05-08T04:49:30.214Z</dcterms:modified>
</cp:coreProperties>
</file>

<file path=docProps/custom.xml><?xml version="1.0" encoding="utf-8"?>
<Properties xmlns="http://schemas.openxmlformats.org/officeDocument/2006/custom-properties" xmlns:vt="http://schemas.openxmlformats.org/officeDocument/2006/docPropsVTypes"/>
</file>