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2</w:t>
      </w:r>
    </w:p>
    <w:p>
      <w:pPr>
        <w:spacing w:after="0" w:line="480"/>
      </w:pPr>
    </w:p>
    <w:p>
      <w:pPr>
        <w:spacing w:after="0" w:line="480"/>
        <w:jc w:val="center"/>
      </w:pPr>
      <w:r>
        <w:rPr>
          <w:rFonts w:ascii="Times New Roman" w:cs="Times New Roman" w:eastAsia="Times New Roman" w:hAnsi="Times New Roman"/>
          <w:sz w:val="24"/>
          <w:szCs w:val="24"/>
        </w:rPr>
        <w:t xml:space="preserve">The Program as System, Not Backdrop</w:t>
      </w:r>
    </w:p>
    <w:p>
      <w:pPr>
        <w:spacing w:after="0" w:line="480"/>
      </w:pPr>
    </w:p>
    <w:p>
      <w:pPr>
        <w:spacing w:after="0" w:line="480"/>
      </w:pPr>
      <w:r>
        <w:rPr>
          <w:rFonts w:ascii="Times New Roman" w:cs="Times New Roman" w:eastAsia="Times New Roman" w:hAnsi="Times New Roman"/>
          <w:sz w:val="24"/>
          <w:szCs w:val="24"/>
        </w:rPr>
        <w:t xml:space="preserve">There is a way most lawyers think about TTI cases, and it is wrong.</w:t>
      </w:r>
    </w:p>
    <w:p>
      <w:pPr>
        <w:spacing w:after="0" w:line="480"/>
        <w:ind w:firstLine="720"/>
      </w:pPr>
      <w:r>
        <w:rPr>
          <w:rFonts w:ascii="Times New Roman" w:cs="Times New Roman" w:eastAsia="Times New Roman" w:hAnsi="Times New Roman"/>
          <w:sz w:val="24"/>
          <w:szCs w:val="24"/>
        </w:rPr>
        <w:t xml:space="preserve">The way most lawyers think about it goes like this: something bad happened to a child, and it happened inside a program. The program is the setting. The abusive staff member is the villain. The case is about the staff member's conduct and the program's failure to prevent it. Draft a negligence complaint. Allege that the program knew or should have known. Take a deposition of the director. Settle for policy limits.</w:t>
      </w:r>
    </w:p>
    <w:p>
      <w:pPr>
        <w:spacing w:after="0" w:line="480"/>
        <w:ind w:firstLine="720"/>
      </w:pPr>
      <w:r>
        <w:rPr>
          <w:rFonts w:ascii="Times New Roman" w:cs="Times New Roman" w:eastAsia="Times New Roman" w:hAnsi="Times New Roman"/>
          <w:sz w:val="24"/>
          <w:szCs w:val="24"/>
        </w:rPr>
        <w:t xml:space="preserve">That approach will get you a result in some cases. But it will not get you the right result. It will not capture the full scope of the harm. It will not explain to a jury why this case is different from a slip-and-fall at a grocery store. And it will not force the kind of accountability that actually changes how these programs operate.</w:t>
      </w:r>
    </w:p>
    <w:p>
      <w:pPr>
        <w:spacing w:after="0" w:line="480"/>
        <w:ind w:firstLine="720"/>
      </w:pPr>
      <w:r>
        <w:rPr>
          <w:rFonts w:ascii="Times New Roman" w:cs="Times New Roman" w:eastAsia="Times New Roman" w:hAnsi="Times New Roman"/>
          <w:sz w:val="24"/>
          <w:szCs w:val="24"/>
        </w:rPr>
        <w:t xml:space="preserve">The reason is simple: it treats the program as the backdrop. The place where the harm happened. The building. The employer. The entity on the insurance policy.</w:t>
      </w:r>
    </w:p>
    <w:p>
      <w:pPr>
        <w:spacing w:after="0" w:line="480"/>
        <w:ind w:firstLine="720"/>
      </w:pPr>
      <w:r>
        <w:rPr>
          <w:rFonts w:ascii="Times New Roman" w:cs="Times New Roman" w:eastAsia="Times New Roman" w:hAnsi="Times New Roman"/>
          <w:sz w:val="24"/>
          <w:szCs w:val="24"/>
        </w:rPr>
        <w:t xml:space="preserve">This chapter is about a different way of seeing. It is the conceptual foundation of this entire book. And it starts with a single distinction that, once you understand it, will change how you build every TTI case you ever take.</w:t>
      </w:r>
    </w:p>
    <w:p>
      <w:pPr>
        <w:spacing w:after="0" w:line="480"/>
        <w:ind w:firstLine="720"/>
      </w:pPr>
      <w:r>
        <w:rPr>
          <w:rFonts w:ascii="Times New Roman" w:cs="Times New Roman" w:eastAsia="Times New Roman" w:hAnsi="Times New Roman"/>
          <w:sz w:val="24"/>
          <w:szCs w:val="24"/>
        </w:rPr>
        <w:t xml:space="preserve">The program is not the backdrop. The program is the instrument.</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Site of Harm vs. Source of Harm</w:t>
      </w:r>
    </w:p>
    <w:p>
      <w:pPr>
        <w:spacing w:after="0" w:line="480"/>
      </w:pPr>
    </w:p>
    <w:p>
      <w:pPr>
        <w:spacing w:after="0" w:line="480"/>
      </w:pPr>
      <w:r>
        <w:rPr>
          <w:rFonts w:ascii="Times New Roman" w:cs="Times New Roman" w:eastAsia="Times New Roman" w:hAnsi="Times New Roman"/>
          <w:sz w:val="24"/>
          <w:szCs w:val="24"/>
        </w:rPr>
        <w:t xml:space="preserve">In an ordinary negligence case, the defendant is the site of harm. A customer slips on a wet floor at a grocery store. The store is where it happened. The wet floor is the hazard. The store's failure to mop or to put up a warning sign is the negligence. The store did not intend to hurt anyone. It just failed to prevent a foreseeable risk.</w:t>
      </w:r>
    </w:p>
    <w:p>
      <w:pPr>
        <w:spacing w:after="0" w:line="480"/>
        <w:ind w:firstLine="720"/>
      </w:pPr>
      <w:r>
        <w:rPr>
          <w:rFonts w:ascii="Times New Roman" w:cs="Times New Roman" w:eastAsia="Times New Roman" w:hAnsi="Times New Roman"/>
          <w:sz w:val="24"/>
          <w:szCs w:val="24"/>
        </w:rPr>
        <w:t xml:space="preserve">TTI cases are fundamentally different. The program is not just the place where harm happened to occur. The program is the mechanism that produced the harm. Its structure, its policies, its business model, its culture, its incentive system—these are not incidental to the abuse. They are the conditions that made abuse inevitable, undetectable, and repeatable.</w:t>
      </w:r>
    </w:p>
    <w:p>
      <w:pPr>
        <w:spacing w:after="0" w:line="480"/>
        <w:ind w:firstLine="720"/>
      </w:pPr>
      <w:r>
        <w:rPr>
          <w:rFonts w:ascii="Times New Roman" w:cs="Times New Roman" w:eastAsia="Times New Roman" w:hAnsi="Times New Roman"/>
          <w:sz w:val="24"/>
          <w:szCs w:val="24"/>
        </w:rPr>
        <w:t xml:space="preserve">I want you to sit with that distinction for a moment, because everything in this book flows from it.</w:t>
      </w:r>
    </w:p>
    <w:p>
      <w:pPr>
        <w:spacing w:after="0" w:line="480"/>
        <w:ind w:firstLine="720"/>
      </w:pPr>
      <w:r>
        <w:rPr>
          <w:rFonts w:ascii="Times New Roman" w:cs="Times New Roman" w:eastAsia="Times New Roman" w:hAnsi="Times New Roman"/>
          <w:i/>
          <w:iCs/>
          <w:sz w:val="24"/>
          <w:szCs w:val="24"/>
        </w:rPr>
        <w:t xml:space="preserve">Site of harm:</w:t>
      </w:r>
      <w:r>
        <w:rPr>
          <w:rFonts w:ascii="Times New Roman" w:cs="Times New Roman" w:eastAsia="Times New Roman" w:hAnsi="Times New Roman"/>
          <w:sz w:val="24"/>
          <w:szCs w:val="24"/>
        </w:rPr>
        <w:t xml:space="preserve"> something bad happened at this program, and the program failed to prevent it.</w:t>
      </w:r>
    </w:p>
    <w:p>
      <w:pPr>
        <w:spacing w:after="0" w:line="480"/>
        <w:ind w:firstLine="720"/>
      </w:pPr>
      <w:r>
        <w:rPr>
          <w:rFonts w:ascii="Times New Roman" w:cs="Times New Roman" w:eastAsia="Times New Roman" w:hAnsi="Times New Roman"/>
          <w:i/>
          <w:iCs/>
          <w:sz w:val="24"/>
          <w:szCs w:val="24"/>
        </w:rPr>
        <w:t xml:space="preserve">Source of harm:</w:t>
      </w:r>
      <w:r>
        <w:rPr>
          <w:rFonts w:ascii="Times New Roman" w:cs="Times New Roman" w:eastAsia="Times New Roman" w:hAnsi="Times New Roman"/>
          <w:sz w:val="24"/>
          <w:szCs w:val="24"/>
        </w:rPr>
        <w:t xml:space="preserve"> this program was designed, operated, and defended in ways that predictably produced harm, suppressed evidence of harm, and resisted accountability for harm.</w:t>
      </w:r>
    </w:p>
    <w:p>
      <w:pPr>
        <w:spacing w:after="0" w:line="480"/>
        <w:ind w:firstLine="720"/>
      </w:pPr>
      <w:r>
        <w:rPr>
          <w:rFonts w:ascii="Times New Roman" w:cs="Times New Roman" w:eastAsia="Times New Roman" w:hAnsi="Times New Roman"/>
          <w:sz w:val="24"/>
          <w:szCs w:val="24"/>
        </w:rPr>
        <w:t xml:space="preserve">When you plead the first theory, you are telling the jury a story about a failure of supervision. When you plead the second, you are telling them a story about a dangerous system operating in their community. The first theory is a negligence case. The second is a coercive-system case. The verdicts are not in the same category.</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What a Designed System Looks Like</w:t>
      </w:r>
    </w:p>
    <w:p>
      <w:pPr>
        <w:spacing w:after="0" w:line="480"/>
      </w:pPr>
    </w:p>
    <w:p>
      <w:pPr>
        <w:spacing w:after="0" w:line="480"/>
      </w:pPr>
      <w:r>
        <w:rPr>
          <w:rFonts w:ascii="Times New Roman" w:cs="Times New Roman" w:eastAsia="Times New Roman" w:hAnsi="Times New Roman"/>
          <w:sz w:val="24"/>
          <w:szCs w:val="24"/>
        </w:rPr>
        <w:t xml:space="preserve">Let me show you what I mean with a real-world example. The details are composited, but the pattern is exact.</w:t>
      </w:r>
    </w:p>
    <w:p>
      <w:pPr>
        <w:spacing w:after="0" w:line="480"/>
        <w:ind w:firstLine="720"/>
      </w:pPr>
      <w:r>
        <w:rPr>
          <w:rFonts w:ascii="Times New Roman" w:cs="Times New Roman" w:eastAsia="Times New Roman" w:hAnsi="Times New Roman"/>
          <w:sz w:val="24"/>
          <w:szCs w:val="24"/>
        </w:rPr>
        <w:t xml:space="preserve">A residential treatment program for teenagers operates in a rural area, far from the nearest town. The facility is licensed as a therapeutic boarding school. Its marketing materials describe a "nurturing, structured environment" where struggling adolescents can "find healing through nature, therapy, and community." The website shows photos of smiling kids on hiking trails. There are testimonials from parents who say the program saved their child's life.</w:t>
      </w:r>
    </w:p>
    <w:p>
      <w:pPr>
        <w:spacing w:after="0" w:line="480"/>
        <w:ind w:firstLine="720"/>
      </w:pPr>
      <w:r>
        <w:rPr>
          <w:rFonts w:ascii="Times New Roman" w:cs="Times New Roman" w:eastAsia="Times New Roman" w:hAnsi="Times New Roman"/>
          <w:sz w:val="24"/>
          <w:szCs w:val="24"/>
        </w:rPr>
        <w:t xml:space="preserve">Inside the facility, the reality is different. Here is how the system actually works:</w:t>
      </w:r>
    </w:p>
    <w:p>
      <w:pPr>
        <w:spacing w:after="0" w:line="480"/>
      </w:pPr>
    </w:p>
    <w:p>
      <w:pPr>
        <w:spacing w:after="0" w:line="480"/>
      </w:pPr>
      <w:r>
        <w:rPr>
          <w:rFonts w:ascii="Times New Roman" w:cs="Times New Roman" w:eastAsia="Times New Roman" w:hAnsi="Times New Roman"/>
          <w:b/>
          <w:bCs/>
          <w:sz w:val="24"/>
          <w:szCs w:val="24"/>
        </w:rPr>
        <w:t xml:space="preserve">Isolation.</w:t>
      </w:r>
      <w:r>
        <w:rPr>
          <w:rFonts w:ascii="Times New Roman" w:cs="Times New Roman" w:eastAsia="Times New Roman" w:hAnsi="Times New Roman"/>
          <w:sz w:val="24"/>
          <w:szCs w:val="24"/>
        </w:rPr>
        <w:t xml:space="preserve"> The facility is deliberately located hours from any major city. Students are not allowed to leave. They have no access to phones, email, or the internet. Their letters home are read by staff before they are mailed. If a letter contains complaints about the program, it is confiscated. The student is told to rewrite it.</w:t>
      </w:r>
    </w:p>
    <w:p>
      <w:pPr>
        <w:spacing w:after="0" w:line="480"/>
      </w:pPr>
    </w:p>
    <w:p>
      <w:pPr>
        <w:spacing w:after="0" w:line="480"/>
      </w:pPr>
      <w:r>
        <w:rPr>
          <w:rFonts w:ascii="Times New Roman" w:cs="Times New Roman" w:eastAsia="Times New Roman" w:hAnsi="Times New Roman"/>
          <w:b/>
          <w:bCs/>
          <w:sz w:val="24"/>
          <w:szCs w:val="24"/>
        </w:rPr>
        <w:t xml:space="preserve">Information control.</w:t>
      </w:r>
      <w:r>
        <w:rPr>
          <w:rFonts w:ascii="Times New Roman" w:cs="Times New Roman" w:eastAsia="Times New Roman" w:hAnsi="Times New Roman"/>
          <w:sz w:val="24"/>
          <w:szCs w:val="24"/>
        </w:rPr>
        <w:t xml:space="preserve"> Parents receive scripted updates from the program. Phone calls between students and parents are monitored by staff and follow a script. When a student tells a parent something is wrong, the staff immediately contacts the parent afterward and explains that the student is "manipulating" them. The parent handbook includes a section titled "Why Your Child Will Try to Come Home" that preemptively discredits future complaints.</w:t>
      </w:r>
    </w:p>
    <w:p>
      <w:pPr>
        <w:spacing w:after="0" w:line="480"/>
      </w:pPr>
    </w:p>
    <w:p>
      <w:pPr>
        <w:spacing w:after="0" w:line="480"/>
      </w:pPr>
      <w:r>
        <w:rPr>
          <w:rFonts w:ascii="Times New Roman" w:cs="Times New Roman" w:eastAsia="Times New Roman" w:hAnsi="Times New Roman"/>
          <w:b/>
          <w:bCs/>
          <w:sz w:val="24"/>
          <w:szCs w:val="24"/>
        </w:rPr>
        <w:t xml:space="preserve">Dependency.</w:t>
      </w:r>
      <w:r>
        <w:rPr>
          <w:rFonts w:ascii="Times New Roman" w:cs="Times New Roman" w:eastAsia="Times New Roman" w:hAnsi="Times New Roman"/>
          <w:sz w:val="24"/>
          <w:szCs w:val="24"/>
        </w:rPr>
        <w:t xml:space="preserve"> The program operates a "level system" in which students earn privileges—like the ability to talk to their parents, or to sleep with a pillow—by demonstrating compliance with program rules. Resistance is punished with loss of privileges. Compliance is rewarded with incremental freedoms. The system creates a dependency on the program's approval that mirrors the psychological dynamics of an abusive relationship.</w:t>
      </w:r>
    </w:p>
    <w:p>
      <w:pPr>
        <w:spacing w:after="0" w:line="480"/>
      </w:pPr>
    </w:p>
    <w:p>
      <w:pPr>
        <w:spacing w:after="0" w:line="480"/>
      </w:pPr>
      <w:r>
        <w:rPr>
          <w:rFonts w:ascii="Times New Roman" w:cs="Times New Roman" w:eastAsia="Times New Roman" w:hAnsi="Times New Roman"/>
          <w:b/>
          <w:bCs/>
          <w:sz w:val="24"/>
          <w:szCs w:val="24"/>
        </w:rPr>
        <w:t xml:space="preserve">Suppression of complaint.</w:t>
      </w:r>
      <w:r>
        <w:rPr>
          <w:rFonts w:ascii="Times New Roman" w:cs="Times New Roman" w:eastAsia="Times New Roman" w:hAnsi="Times New Roman"/>
          <w:sz w:val="24"/>
          <w:szCs w:val="24"/>
        </w:rPr>
        <w:t xml:space="preserve"> There is no independent grievance mechanism. Students who complain are told they are "in denial" or "resisting the process." Staff are trained to interpret any expression of unhappiness as evidence that the student needs more treatment, not less. The complaint itself becomes proof that the complainer is sick.</w:t>
      </w:r>
    </w:p>
    <w:p>
      <w:pPr>
        <w:spacing w:after="0" w:line="480"/>
      </w:pPr>
    </w:p>
    <w:p>
      <w:pPr>
        <w:spacing w:after="0" w:line="480"/>
      </w:pPr>
      <w:r>
        <w:rPr>
          <w:rFonts w:ascii="Times New Roman" w:cs="Times New Roman" w:eastAsia="Times New Roman" w:hAnsi="Times New Roman"/>
          <w:b/>
          <w:bCs/>
          <w:sz w:val="24"/>
          <w:szCs w:val="24"/>
        </w:rPr>
        <w:t xml:space="preserve">Concealment from regulators.</w:t>
      </w:r>
      <w:r>
        <w:rPr>
          <w:rFonts w:ascii="Times New Roman" w:cs="Times New Roman" w:eastAsia="Times New Roman" w:hAnsi="Times New Roman"/>
          <w:sz w:val="24"/>
          <w:szCs w:val="24"/>
        </w:rPr>
        <w:t xml:space="preserve"> The facility maintains two sets of records: the ones it shows to licensing inspectors and the ones it keeps internally. Incident reports involving restraints, injuries, or use of isolation are filed internally but not reported to the state unless required by mandatory reporting laws—which, in most states, are narrowly written and weakly enforced for this type of facility.</w:t>
      </w:r>
    </w:p>
    <w:p>
      <w:pPr>
        <w:spacing w:after="0" w:line="480"/>
      </w:pPr>
    </w:p>
    <w:p>
      <w:pPr>
        <w:spacing w:after="0" w:line="480"/>
        <w:ind w:firstLine="720"/>
      </w:pPr>
      <w:r>
        <w:rPr>
          <w:rFonts w:ascii="Times New Roman" w:cs="Times New Roman" w:eastAsia="Times New Roman" w:hAnsi="Times New Roman"/>
          <w:sz w:val="24"/>
          <w:szCs w:val="24"/>
        </w:rPr>
        <w:t xml:space="preserve">Now here is the question I want you to ask: Is this a program that accidentally failed to prevent harm? Or is this a program that was designed, from the ground up, to produce harm and prevent anyone from finding out about it?</w:t>
      </w:r>
    </w:p>
    <w:p>
      <w:pPr>
        <w:spacing w:after="0" w:line="480"/>
        <w:ind w:firstLine="720"/>
      </w:pPr>
      <w:r>
        <w:rPr>
          <w:rFonts w:ascii="Times New Roman" w:cs="Times New Roman" w:eastAsia="Times New Roman" w:hAnsi="Times New Roman"/>
          <w:sz w:val="24"/>
          <w:szCs w:val="24"/>
        </w:rPr>
        <w:t xml:space="preserve">Every element I just described—the isolation, the information control, the dependency system, the suppression of complaint, the dual record-keeping—is a design choice. None of it is accidental. None of it is a failure of oversight. It is the system working exactly as intended.</w:t>
      </w:r>
    </w:p>
    <w:p>
      <w:pPr>
        <w:spacing w:after="0" w:line="480"/>
        <w:ind w:firstLine="720"/>
      </w:pPr>
      <w:r>
        <w:rPr>
          <w:rFonts w:ascii="Times New Roman" w:cs="Times New Roman" w:eastAsia="Times New Roman" w:hAnsi="Times New Roman"/>
          <w:sz w:val="24"/>
          <w:szCs w:val="24"/>
        </w:rPr>
        <w:t xml:space="preserve">That is the difference between site of harm and source of harm. And that is the distinction that makes TTI cases different from anything else in tort law.</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Structural Features of Coercive Programs</w:t>
      </w:r>
    </w:p>
    <w:p>
      <w:pPr>
        <w:spacing w:after="0" w:line="480"/>
      </w:pPr>
    </w:p>
    <w:p>
      <w:pPr>
        <w:spacing w:after="0" w:line="480"/>
      </w:pPr>
      <w:r>
        <w:rPr>
          <w:rFonts w:ascii="Times New Roman" w:cs="Times New Roman" w:eastAsia="Times New Roman" w:hAnsi="Times New Roman"/>
          <w:sz w:val="24"/>
          <w:szCs w:val="24"/>
        </w:rPr>
        <w:t xml:space="preserve">Every TTI program I have litigated against shares a set of structural features that, taken together, constitute a coercive system. These features are not limited to one type of program. They appear in wilderness programs, residential treatment centers, therapeutic boarding schools, boot camps, and faith-based behavioral facilities. The labels change. The architecture does not.</w:t>
      </w:r>
    </w:p>
    <w:p>
      <w:pPr>
        <w:spacing w:after="0" w:line="480"/>
      </w:pPr>
    </w:p>
    <w:p>
      <w:pPr>
        <w:spacing w:after="0" w:before="240" w:line="480"/>
      </w:pPr>
      <w:r>
        <w:rPr>
          <w:rFonts w:ascii="Times New Roman" w:cs="Times New Roman" w:eastAsia="Times New Roman" w:hAnsi="Times New Roman"/>
          <w:b/>
          <w:bCs/>
          <w:i/>
          <w:iCs/>
          <w:sz w:val="24"/>
          <w:szCs w:val="24"/>
        </w:rPr>
        <w:t xml:space="preserve">Designed Isolation</w:t>
      </w:r>
    </w:p>
    <w:p>
      <w:pPr>
        <w:spacing w:after="0" w:line="480"/>
      </w:pPr>
    </w:p>
    <w:p>
      <w:pPr>
        <w:spacing w:after="0" w:line="480"/>
        <w:ind w:firstLine="720"/>
      </w:pPr>
      <w:r>
        <w:rPr>
          <w:rFonts w:ascii="Times New Roman" w:cs="Times New Roman" w:eastAsia="Times New Roman" w:hAnsi="Times New Roman"/>
          <w:sz w:val="24"/>
          <w:szCs w:val="24"/>
        </w:rPr>
        <w:t xml:space="preserve">The first structural feature is physical and communicative isolation. TTI programs are overwhelmingly located in remote areas—rural Utah, the Montana backcountry, the mountains of North Carolina, the deserts of Arizona. This is not a coincidence. Remoteness serves a double function: it makes escape functionally impossible, and it makes oversight functionally impossible. A licensing inspector from the state capital is not driving four hours into the backcountry to conduct surprise visits. A parent is not dropping by unannounced. The geography itself is a tool of control.</w:t>
      </w:r>
    </w:p>
    <w:p>
      <w:pPr>
        <w:spacing w:after="0" w:line="480"/>
        <w:ind w:firstLine="720"/>
      </w:pPr>
      <w:r>
        <w:rPr>
          <w:rFonts w:ascii="Times New Roman" w:cs="Times New Roman" w:eastAsia="Times New Roman" w:hAnsi="Times New Roman"/>
          <w:sz w:val="24"/>
          <w:szCs w:val="24"/>
        </w:rPr>
        <w:t xml:space="preserve">Inside the program, isolation extends to every channel of communication. Phones are confiscated. Mail is censored. Visits are restricted. In wilderness programs, communication is literally impossible—there is no phone, no computer, no mail system. The child is as isolated as it is possible to be in the twenty-first century. The parent's only information about their child's experience comes from the program itself. The child's only information about the outside world comes from staff who are trained to control the narrative.</w:t>
      </w:r>
    </w:p>
    <w:p>
      <w:pPr>
        <w:spacing w:after="0" w:line="480"/>
        <w:ind w:firstLine="720"/>
      </w:pPr>
      <w:r>
        <w:rPr>
          <w:rFonts w:ascii="Times New Roman" w:cs="Times New Roman" w:eastAsia="Times New Roman" w:hAnsi="Times New Roman"/>
          <w:sz w:val="24"/>
          <w:szCs w:val="24"/>
        </w:rPr>
        <w:t xml:space="preserve">Ask yourself: What legitimate therapeutic purpose is served by preventing a child from telling their parents what is happening to them? The program will say it is about "reducing external distractions" or "allowing the child to focus on the work." But there is no clinical evidence that censoring a child's communications improves therapeutic outcomes. There is overwhelming evidence that it enables abuse to continue undetected.</w:t>
      </w:r>
    </w:p>
    <w:p>
      <w:pPr>
        <w:spacing w:after="0" w:line="480"/>
      </w:pPr>
    </w:p>
    <w:p>
      <w:pPr>
        <w:spacing w:after="0" w:before="240" w:line="480"/>
      </w:pPr>
      <w:r>
        <w:rPr>
          <w:rFonts w:ascii="Times New Roman" w:cs="Times New Roman" w:eastAsia="Times New Roman" w:hAnsi="Times New Roman"/>
          <w:b/>
          <w:bCs/>
          <w:i/>
          <w:iCs/>
          <w:sz w:val="24"/>
          <w:szCs w:val="24"/>
        </w:rPr>
        <w:t xml:space="preserve">The Level System as Control Architecture</w:t>
      </w:r>
    </w:p>
    <w:p>
      <w:pPr>
        <w:spacing w:after="0" w:line="480"/>
      </w:pPr>
    </w:p>
    <w:p>
      <w:pPr>
        <w:spacing w:after="0" w:line="480"/>
        <w:ind w:firstLine="720"/>
      </w:pPr>
      <w:r>
        <w:rPr>
          <w:rFonts w:ascii="Times New Roman" w:cs="Times New Roman" w:eastAsia="Times New Roman" w:hAnsi="Times New Roman"/>
          <w:sz w:val="24"/>
          <w:szCs w:val="24"/>
        </w:rPr>
        <w:t xml:space="preserve">The second structural feature is the level system. Nearly every TTI program organizes its participants into a hierarchy of tiered privileges. New arrivals start at the lowest level with no privileges at all—no phone calls, no personal clothing, no choice of food, no autonomy of any kind. Privileges are earned by demonstrating compliance with program expectations.</w:t>
      </w:r>
    </w:p>
    <w:p>
      <w:pPr>
        <w:spacing w:after="0" w:line="480"/>
        <w:ind w:firstLine="720"/>
      </w:pPr>
      <w:r>
        <w:rPr>
          <w:rFonts w:ascii="Times New Roman" w:cs="Times New Roman" w:eastAsia="Times New Roman" w:hAnsi="Times New Roman"/>
          <w:sz w:val="24"/>
          <w:szCs w:val="24"/>
        </w:rPr>
        <w:t xml:space="preserve">The level system is the engine of behavioral control in the TTI. It teaches children that everything in their life—the ability to speak to their parents, the ability to sleep with a pillow, the ability to eat food that is not institutional slop—is contingent on performing compliance. Not on getting better. Not on healing. On performing compliance. The children learn this distinction very quickly. The ones who advance through the levels fastest are not the ones who are healthiest. They are the ones who are best at performing wellness—who have learned to say the right things in group, to cry at the right moments, to adopt the program's language as their own.</w:t>
      </w:r>
    </w:p>
    <w:p>
      <w:pPr>
        <w:spacing w:after="0" w:line="480"/>
        <w:ind w:firstLine="720"/>
      </w:pPr>
      <w:r>
        <w:rPr>
          <w:rFonts w:ascii="Times New Roman" w:cs="Times New Roman" w:eastAsia="Times New Roman" w:hAnsi="Times New Roman"/>
          <w:sz w:val="24"/>
          <w:szCs w:val="24"/>
        </w:rPr>
        <w:t xml:space="preserve">This is not therapy. It is operant conditioning applied to adolescents. And it produces a specific psychological injury that is distinct from any particular act of abuse: it teaches children that their basic needs and their fundamental dignity are contingent on the approval of an authority figure. That lesson—that you are worth what someone else decides you are worth—is the deepest wound the TTI inflicts. And it echoes across decades.</w:t>
      </w:r>
    </w:p>
    <w:p>
      <w:pPr>
        <w:spacing w:after="0" w:line="480"/>
      </w:pPr>
    </w:p>
    <w:p>
      <w:pPr>
        <w:spacing w:after="0" w:before="240" w:line="480"/>
      </w:pPr>
      <w:r>
        <w:rPr>
          <w:rFonts w:ascii="Times New Roman" w:cs="Times New Roman" w:eastAsia="Times New Roman" w:hAnsi="Times New Roman"/>
          <w:b/>
          <w:bCs/>
          <w:i/>
          <w:iCs/>
          <w:sz w:val="24"/>
          <w:szCs w:val="24"/>
        </w:rPr>
        <w:t xml:space="preserve">Marketing Safety While Operating Danger</w:t>
      </w:r>
    </w:p>
    <w:p>
      <w:pPr>
        <w:spacing w:after="0" w:line="480"/>
      </w:pPr>
    </w:p>
    <w:p>
      <w:pPr>
        <w:spacing w:after="0" w:line="480"/>
        <w:ind w:firstLine="720"/>
      </w:pPr>
      <w:r>
        <w:rPr>
          <w:rFonts w:ascii="Times New Roman" w:cs="Times New Roman" w:eastAsia="Times New Roman" w:hAnsi="Times New Roman"/>
          <w:sz w:val="24"/>
          <w:szCs w:val="24"/>
        </w:rPr>
        <w:t xml:space="preserve">The third structural feature is the gap between what TTI programs market and what they deliver. This gap is not an occasional discrepancy. It is the business model.</w:t>
      </w:r>
    </w:p>
    <w:p>
      <w:pPr>
        <w:spacing w:after="0" w:line="480"/>
        <w:ind w:firstLine="720"/>
      </w:pPr>
      <w:r>
        <w:rPr>
          <w:rFonts w:ascii="Times New Roman" w:cs="Times New Roman" w:eastAsia="Times New Roman" w:hAnsi="Times New Roman"/>
          <w:sz w:val="24"/>
          <w:szCs w:val="24"/>
        </w:rPr>
        <w:t xml:space="preserve">Program websites feature stock photos of smiling teenagers in nature. They use language borrowed from legitimate clinical practice: "evidence-based," "trauma-informed," "individualized treatment planning," "licensed clinical staff." They display accreditation logos from organizations that, upon investigation, turn out to be either industry self-regulatory bodies with no enforcement power or pay-to-play credentialing agencies with minimal standards.</w:t>
      </w:r>
    </w:p>
    <w:p>
      <w:pPr>
        <w:spacing w:after="0" w:line="480"/>
        <w:ind w:firstLine="720"/>
      </w:pPr>
      <w:r>
        <w:rPr>
          <w:rFonts w:ascii="Times New Roman" w:cs="Times New Roman" w:eastAsia="Times New Roman" w:hAnsi="Times New Roman"/>
          <w:sz w:val="24"/>
          <w:szCs w:val="24"/>
        </w:rPr>
        <w:t xml:space="preserve">The reality behind the marketing is different in every particular. The "licensed clinical staff" is one therapist shared among dozens of children, providing perhaps one hour of individual therapy per week—or per month. The "evidence-based" program uses confrontation therapy, attack therapy, or other modalities that the mainstream clinical community has rejected as harmful. The "individualized treatment plan" is a template document identical for every child, with the name field swapped. The facility that markets "compassionate care for struggling teens" operates through fear, deprivation, and coercive compliance.</w:t>
      </w:r>
    </w:p>
    <w:p>
      <w:pPr>
        <w:spacing w:after="0" w:line="480"/>
        <w:ind w:firstLine="720"/>
      </w:pPr>
      <w:r>
        <w:rPr>
          <w:rFonts w:ascii="Times New Roman" w:cs="Times New Roman" w:eastAsia="Times New Roman" w:hAnsi="Times New Roman"/>
          <w:sz w:val="24"/>
          <w:szCs w:val="24"/>
        </w:rPr>
        <w:t xml:space="preserve">This is not puffery. It is fraud. And it matters for your case because the marketing materials are almost always available—on the Wayback Machine if not on the current website—and the gap between the promise and the reality is one of the most powerful exhibits you will ever present to a jury.</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Business Model: Follow the Money</w:t>
      </w:r>
    </w:p>
    <w:p>
      <w:pPr>
        <w:spacing w:after="0" w:line="480"/>
      </w:pPr>
    </w:p>
    <w:p>
      <w:pPr>
        <w:spacing w:after="0" w:line="480"/>
      </w:pPr>
      <w:r>
        <w:rPr>
          <w:rFonts w:ascii="Times New Roman" w:cs="Times New Roman" w:eastAsia="Times New Roman" w:hAnsi="Times New Roman"/>
          <w:sz w:val="24"/>
          <w:szCs w:val="24"/>
        </w:rPr>
        <w:t xml:space="preserve">In many TTI cases, the most revealing piece of evidence is not an incident report or a survivor's testimony. It is the program's financial model. Follow the money, and you will understand everything about why the abuse happened and why it was concealed.</w:t>
      </w:r>
    </w:p>
    <w:p>
      <w:pPr>
        <w:spacing w:after="0" w:line="480"/>
      </w:pPr>
    </w:p>
    <w:p>
      <w:pPr>
        <w:spacing w:after="0" w:before="240" w:line="480"/>
      </w:pPr>
      <w:r>
        <w:rPr>
          <w:rFonts w:ascii="Times New Roman" w:cs="Times New Roman" w:eastAsia="Times New Roman" w:hAnsi="Times New Roman"/>
          <w:b/>
          <w:bCs/>
          <w:i/>
          <w:iCs/>
          <w:sz w:val="24"/>
          <w:szCs w:val="24"/>
        </w:rPr>
        <w:t xml:space="preserve">The Revenue Architecture</w:t>
      </w:r>
    </w:p>
    <w:p>
      <w:pPr>
        <w:spacing w:after="0" w:line="480"/>
      </w:pPr>
    </w:p>
    <w:p>
      <w:pPr>
        <w:spacing w:after="0" w:line="480"/>
        <w:ind w:firstLine="720"/>
      </w:pPr>
      <w:r>
        <w:rPr>
          <w:rFonts w:ascii="Times New Roman" w:cs="Times New Roman" w:eastAsia="Times New Roman" w:hAnsi="Times New Roman"/>
          <w:sz w:val="24"/>
          <w:szCs w:val="24"/>
        </w:rPr>
        <w:t xml:space="preserve">A typical residential treatment program charges between thirty thousand and two hundred thousand dollars per year per child. Some wilderness programs charge between five hundred and fifteen hundred dollars per day—for an experience that consists primarily of hiking in the backcountry with minimally trained staff and a weekly visit from a licensed clinician. The money comes almost entirely from parents paying out of pocket. Insurance rarely covers these placements, and when it does, the coverage is partial. The families who pay are almost always upper-middle-class or wealthy—families who can borrow against home equity, liquidate retirement accounts, or take on debt. The industry targets this demographic because it can pay.</w:t>
      </w:r>
    </w:p>
    <w:p>
      <w:pPr>
        <w:spacing w:after="0" w:line="480"/>
        <w:ind w:firstLine="720"/>
      </w:pPr>
      <w:r>
        <w:rPr>
          <w:rFonts w:ascii="Times New Roman" w:cs="Times New Roman" w:eastAsia="Times New Roman" w:hAnsi="Times New Roman"/>
          <w:sz w:val="24"/>
          <w:szCs w:val="24"/>
        </w:rPr>
        <w:t xml:space="preserve">Direct-care staff—the people who are with the children twenty-four hours a day, who administer the level system, who perform the restraints, who enforce the rules—are paid somewhere between twelve and eighteen dollars per hour. Many have no clinical training. Many have no college degree. Many have criminal records that were never checked because the state does not require background checks for this category of worker, or because the program chose not to conduct them.</w:t>
      </w:r>
    </w:p>
    <w:p>
      <w:pPr>
        <w:spacing w:after="0" w:line="480"/>
        <w:ind w:firstLine="720"/>
      </w:pPr>
      <w:r>
        <w:rPr>
          <w:rFonts w:ascii="Times New Roman" w:cs="Times New Roman" w:eastAsia="Times New Roman" w:hAnsi="Times New Roman"/>
          <w:sz w:val="24"/>
          <w:szCs w:val="24"/>
        </w:rPr>
        <w:t xml:space="preserve">The gap between what the program charges and what it spends on care is the margin. The lower the staffing cost, the higher the margin. Untrained, underpaid staff are not a failure of the business model. They are the business model.</w:t>
      </w:r>
    </w:p>
    <w:p>
      <w:pPr>
        <w:spacing w:after="0" w:line="480"/>
      </w:pPr>
    </w:p>
    <w:p>
      <w:pPr>
        <w:spacing w:after="0" w:before="240" w:line="480"/>
      </w:pPr>
      <w:r>
        <w:rPr>
          <w:rFonts w:ascii="Times New Roman" w:cs="Times New Roman" w:eastAsia="Times New Roman" w:hAnsi="Times New Roman"/>
          <w:b/>
          <w:bCs/>
          <w:i/>
          <w:iCs/>
          <w:sz w:val="24"/>
          <w:szCs w:val="24"/>
        </w:rPr>
        <w:t xml:space="preserve">The Referral Pipeline</w:t>
      </w:r>
    </w:p>
    <w:p>
      <w:pPr>
        <w:spacing w:after="0" w:line="480"/>
      </w:pPr>
    </w:p>
    <w:p>
      <w:pPr>
        <w:spacing w:after="0" w:line="480"/>
        <w:ind w:firstLine="720"/>
      </w:pPr>
      <w:r>
        <w:rPr>
          <w:rFonts w:ascii="Times New Roman" w:cs="Times New Roman" w:eastAsia="Times New Roman" w:hAnsi="Times New Roman"/>
          <w:sz w:val="24"/>
          <w:szCs w:val="24"/>
        </w:rPr>
        <w:t xml:space="preserve">The pipeline that moves children from frightened families to enrolled programs is not a series of independent clinical recommendations. It is a vertically integrated supply chain with financial incentives at every node.</w:t>
      </w:r>
    </w:p>
    <w:p>
      <w:pPr>
        <w:spacing w:after="0" w:line="480"/>
        <w:ind w:firstLine="720"/>
      </w:pPr>
      <w:r>
        <w:rPr>
          <w:rFonts w:ascii="Times New Roman" w:cs="Times New Roman" w:eastAsia="Times New Roman" w:hAnsi="Times New Roman"/>
          <w:sz w:val="24"/>
          <w:szCs w:val="24"/>
        </w:rPr>
        <w:t xml:space="preserve">Educational consultants are the front end of the pipeline. They present as independent clinical advisors—credentialed professionals who evaluate a struggling teenager and recommend an appropriate placement. Some educational consultants are ethical professionals who do legitimate assessment work. But many operate on a referral-fee model: the consultant receives a payment from the program for every child they place. These fees range from two thousand to fifteen thousand dollars per placement. Some consultants earn hundreds of thousands of dollars per year in referral fees from the programs they recommend.</w:t>
      </w:r>
    </w:p>
    <w:p>
      <w:pPr>
        <w:spacing w:after="0" w:line="480"/>
        <w:ind w:firstLine="720"/>
      </w:pPr>
      <w:r>
        <w:rPr>
          <w:rFonts w:ascii="Times New Roman" w:cs="Times New Roman" w:eastAsia="Times New Roman" w:hAnsi="Times New Roman"/>
          <w:sz w:val="24"/>
          <w:szCs w:val="24"/>
        </w:rPr>
        <w:t xml:space="preserve">The conflict of interest is structural and undisclosed. The parent believes the consultant is recommending the best program for their child. The consultant is recommending the program that pays the highest referral fee, or the program that has an open bed, or the program whose relationship the consultant wants to maintain. The parent is never told about the financial relationship. If they were, few would trust the recommendation.</w:t>
      </w:r>
    </w:p>
    <w:p>
      <w:pPr>
        <w:spacing w:after="0" w:line="480"/>
        <w:ind w:firstLine="720"/>
      </w:pPr>
      <w:r>
        <w:rPr>
          <w:rFonts w:ascii="Times New Roman" w:cs="Times New Roman" w:eastAsia="Times New Roman" w:hAnsi="Times New Roman"/>
          <w:sz w:val="24"/>
          <w:szCs w:val="24"/>
        </w:rPr>
        <w:t xml:space="preserve">In discovery, ask for the consultant's referral-fee agreements with every program they recommended in the prior five years. Ask how many children they placed at each program. Ask whether the fee varied by program. Ask whether they ever referred a child to a program that paid them less when a program paying more was also available. The answers to these questions will be devastating in front of a jury.</w:t>
      </w:r>
    </w:p>
    <w:p>
      <w:pPr>
        <w:spacing w:after="0" w:line="480"/>
      </w:pPr>
    </w:p>
    <w:p>
      <w:pPr>
        <w:spacing w:after="0" w:before="240" w:line="480"/>
      </w:pPr>
      <w:r>
        <w:rPr>
          <w:rFonts w:ascii="Times New Roman" w:cs="Times New Roman" w:eastAsia="Times New Roman" w:hAnsi="Times New Roman"/>
          <w:b/>
          <w:bCs/>
          <w:i/>
          <w:iCs/>
          <w:sz w:val="24"/>
          <w:szCs w:val="24"/>
        </w:rPr>
        <w:t xml:space="preserve">Private Equity and the Consolidation of Harm</w:t>
      </w:r>
    </w:p>
    <w:p>
      <w:pPr>
        <w:spacing w:after="0" w:line="480"/>
      </w:pPr>
    </w:p>
    <w:p>
      <w:pPr>
        <w:spacing w:after="0" w:line="480"/>
        <w:ind w:firstLine="720"/>
      </w:pPr>
      <w:r>
        <w:rPr>
          <w:rFonts w:ascii="Times New Roman" w:cs="Times New Roman" w:eastAsia="Times New Roman" w:hAnsi="Times New Roman"/>
          <w:sz w:val="24"/>
          <w:szCs w:val="24"/>
        </w:rPr>
        <w:t xml:space="preserve">Private equity has entered the TTI aggressively. Firms acquire distressed or underperforming programs, consolidate them under holding companies, cut staffing costs to increase margins, and resell them at a profit. The programs change names, change ownership structures, and sometimes change physical locations—but the operating model remains the same, because the operating model is what produces the return.</w:t>
      </w:r>
    </w:p>
    <w:p>
      <w:pPr>
        <w:spacing w:after="0" w:line="480"/>
        <w:ind w:firstLine="720"/>
      </w:pPr>
      <w:r>
        <w:rPr>
          <w:rFonts w:ascii="Times New Roman" w:cs="Times New Roman" w:eastAsia="Times New Roman" w:hAnsi="Times New Roman"/>
          <w:sz w:val="24"/>
          <w:szCs w:val="24"/>
        </w:rPr>
        <w:t xml:space="preserve">A single corporate parent may own a transport company in one state, a wilderness program in another, and a residential treatment center in a third. The educational consultant who refers families to the wilderness program may receive referral fees from the same corporate parent that owns the residential center the child will be "stepped down" into after wilderness. The entire pipeline—from consultant to transport to wilderness to long-term residential—may be financially interconnected. The parent is not choosing among independent options. They are being funneled through a vertically integrated system designed to maximize the length and cost of their child's enrollment.</w:t>
      </w:r>
    </w:p>
    <w:p>
      <w:pPr>
        <w:spacing w:after="0" w:line="480"/>
        <w:ind w:firstLine="720"/>
      </w:pPr>
      <w:r>
        <w:rPr>
          <w:rFonts w:ascii="Times New Roman" w:cs="Times New Roman" w:eastAsia="Times New Roman" w:hAnsi="Times New Roman"/>
          <w:sz w:val="24"/>
          <w:szCs w:val="24"/>
        </w:rPr>
        <w:t xml:space="preserve">In your corporate discovery, map the entity tree. Find the parent company. Find the holding company. Find the affiliated entities. Find the common ownership. And then show the jury the diagram. One picture of the corporate tree—showing how the consultant, the transporter, the wilderness program, and the residential center all trace back to the same owners—is worth more than an hour of testimony.</w:t>
      </w:r>
    </w:p>
    <w:p>
      <w:pPr>
        <w:spacing w:after="0" w:line="480"/>
      </w:pPr>
    </w:p>
    <w:p>
      <w:pPr>
        <w:spacing w:after="0" w:before="240" w:line="480"/>
      </w:pPr>
      <w:r>
        <w:rPr>
          <w:rFonts w:ascii="Times New Roman" w:cs="Times New Roman" w:eastAsia="Times New Roman" w:hAnsi="Times New Roman"/>
          <w:b/>
          <w:bCs/>
          <w:i/>
          <w:iCs/>
          <w:sz w:val="24"/>
          <w:szCs w:val="24"/>
        </w:rPr>
        <w:t xml:space="preserve">The Transport Industry</w:t>
      </w:r>
    </w:p>
    <w:p>
      <w:pPr>
        <w:spacing w:after="0" w:line="480"/>
      </w:pPr>
    </w:p>
    <w:p>
      <w:pPr>
        <w:spacing w:after="0" w:line="480"/>
        <w:ind w:firstLine="720"/>
      </w:pPr>
      <w:r>
        <w:rPr>
          <w:rFonts w:ascii="Times New Roman" w:cs="Times New Roman" w:eastAsia="Times New Roman" w:hAnsi="Times New Roman"/>
          <w:sz w:val="24"/>
          <w:szCs w:val="24"/>
        </w:rPr>
        <w:t xml:space="preserve">The transport industry is a revenue layer unto itself—and one of the most legally vulnerable links in the TTI supply chain. Companies that specialize in the nighttime extraction of children from their homes charge between three thousand and fifteen thousand dollars per transport. The children are typically minors who are physically removed from their beds by strangers, often under the cover of darkness, and driven hundreds or thousands of miles to facilities they have never heard of.</w:t>
      </w:r>
    </w:p>
    <w:p>
      <w:pPr>
        <w:spacing w:after="0" w:line="480"/>
        <w:ind w:firstLine="720"/>
      </w:pPr>
      <w:r>
        <w:rPr>
          <w:rFonts w:ascii="Times New Roman" w:cs="Times New Roman" w:eastAsia="Times New Roman" w:hAnsi="Times New Roman"/>
          <w:sz w:val="24"/>
          <w:szCs w:val="24"/>
        </w:rPr>
        <w:t xml:space="preserve">Transport companies operate in most states with no licensing requirements specific to the transport of minors. There are no federal regulations. Background check requirements are minimal or nonexistent. Training standards are self-imposed. Children have been injured, sexually assaulted, and killed during transport. And the transport is almost always the child's first traumatic experience in the TTI pipeline—the event that teaches them, before they have even arrived at the program, that they are powerless.</w:t>
      </w:r>
    </w:p>
    <w:p>
      <w:pPr>
        <w:spacing w:after="0" w:line="480"/>
        <w:ind w:firstLine="720"/>
      </w:pPr>
      <w:r>
        <w:rPr>
          <w:rFonts w:ascii="Times New Roman" w:cs="Times New Roman" w:eastAsia="Times New Roman" w:hAnsi="Times New Roman"/>
          <w:sz w:val="24"/>
          <w:szCs w:val="24"/>
        </w:rPr>
        <w:t xml:space="preserve">Transporters are often the lowest-hanging litigation target. They operate with thin insurance, minimal corporate protections, and practices that are difficult to defend to any jury—the image of two large adults removing a sleeping child from their bed in the dark is not one that plays well in any courtroom, in any jurisdiction.</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Corporate Architecture of Concealment</w:t>
      </w:r>
    </w:p>
    <w:p>
      <w:pPr>
        <w:spacing w:after="0" w:line="480"/>
      </w:pPr>
    </w:p>
    <w:p>
      <w:pPr>
        <w:spacing w:after="0" w:line="480"/>
      </w:pPr>
      <w:r>
        <w:rPr>
          <w:rFonts w:ascii="Times New Roman" w:cs="Times New Roman" w:eastAsia="Times New Roman" w:hAnsi="Times New Roman"/>
          <w:sz w:val="24"/>
          <w:szCs w:val="24"/>
        </w:rPr>
        <w:t xml:space="preserve">TTI programs are often designed to be difficult to sue. This is not accidental. It is corporate planning.</w:t>
      </w:r>
    </w:p>
    <w:p>
      <w:pPr>
        <w:spacing w:after="0" w:line="480"/>
        <w:ind w:firstLine="720"/>
      </w:pPr>
      <w:r>
        <w:rPr>
          <w:rFonts w:ascii="Times New Roman" w:cs="Times New Roman" w:eastAsia="Times New Roman" w:hAnsi="Times New Roman"/>
          <w:sz w:val="24"/>
          <w:szCs w:val="24"/>
        </w:rPr>
        <w:t xml:space="preserve">Many programs operate through complex entity structures that are deliberately designed to separate assets from liability. The entity that operates the facility is not the entity that owns the real estate. The entity that employs the staff is not the entity that holds the insurance policy. The parent company that profits from the operation is three layers removed from the entity that interacts with the children.</w:t>
      </w:r>
    </w:p>
    <w:p>
      <w:pPr>
        <w:spacing w:after="0" w:line="480"/>
        <w:ind w:firstLine="720"/>
      </w:pPr>
      <w:r>
        <w:rPr>
          <w:rFonts w:ascii="Times New Roman" w:cs="Times New Roman" w:eastAsia="Times New Roman" w:hAnsi="Times New Roman"/>
          <w:sz w:val="24"/>
          <w:szCs w:val="24"/>
        </w:rPr>
        <w:t xml:space="preserve">I have seen programs that operate through a different LLC in every state. I have seen programs where the founder's personal assets are held in a trust that was established the year before the first lawsuit was filed. I have seen corporate structures where the operating entity—the one you would naturally sue—is a shell with no assets, no insurance, and no employees. The employees are technically employed by a staffing agency. The real estate is held by a property trust. The brand is owned by a management company. Every layer adds distance between the people who made the money and the people who caused the harm.</w:t>
      </w:r>
    </w:p>
    <w:p>
      <w:pPr>
        <w:spacing w:after="0" w:line="480"/>
        <w:ind w:firstLine="720"/>
      </w:pPr>
      <w:r>
        <w:rPr>
          <w:rFonts w:ascii="Times New Roman" w:cs="Times New Roman" w:eastAsia="Times New Roman" w:hAnsi="Times New Roman"/>
          <w:sz w:val="24"/>
          <w:szCs w:val="24"/>
        </w:rPr>
        <w:t xml:space="preserve">This corporate complexity tells you something important: the program anticipated that harm was likely enough to justify building a liability shield before the first complaint was ever filed. That anticipation is itself evidence of the coercive system. An institution that structures itself to avoid accountability for harm is an institution that expects to produce harm.</w:t>
      </w:r>
    </w:p>
    <w:p>
      <w:pPr>
        <w:spacing w:after="0" w:line="480"/>
        <w:ind w:firstLine="720"/>
      </w:pPr>
      <w:r>
        <w:rPr>
          <w:rFonts w:ascii="Times New Roman" w:cs="Times New Roman" w:eastAsia="Times New Roman" w:hAnsi="Times New Roman"/>
          <w:sz w:val="24"/>
          <w:szCs w:val="24"/>
        </w:rPr>
        <w:t xml:space="preserve">In Chapter 11, I will teach you how to plead through these structures. In Chapter 12, I will teach you how to use discovery to pierce them. For now, the point is this: when you take a TTI case, your first task is to map the entities. Do not assume that the program your client attended is the only defendant. It is almost never the only defendant. And the entities you do not name in your complaint are the ones that will walk away with the money.</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This Matters for Your Case</w:t>
      </w:r>
    </w:p>
    <w:p>
      <w:pPr>
        <w:spacing w:after="0" w:line="480"/>
      </w:pPr>
    </w:p>
    <w:p>
      <w:pPr>
        <w:spacing w:after="0" w:line="480"/>
      </w:pPr>
      <w:r>
        <w:rPr>
          <w:rFonts w:ascii="Times New Roman" w:cs="Times New Roman" w:eastAsia="Times New Roman" w:hAnsi="Times New Roman"/>
          <w:sz w:val="24"/>
          <w:szCs w:val="24"/>
        </w:rPr>
        <w:t xml:space="preserve">The distinction between site of harm and source of harm is not academic. It changes everything about how you litigate a TTI case.</w:t>
      </w:r>
    </w:p>
    <w:p>
      <w:pPr>
        <w:spacing w:after="0" w:line="480"/>
      </w:pPr>
    </w:p>
    <w:p>
      <w:pPr>
        <w:spacing w:after="0" w:line="480"/>
        <w:ind w:firstLine="720"/>
      </w:pPr>
      <w:r>
        <w:rPr>
          <w:rFonts w:ascii="Times New Roman" w:cs="Times New Roman" w:eastAsia="Times New Roman" w:hAnsi="Times New Roman"/>
          <w:b/>
          <w:bCs/>
          <w:sz w:val="24"/>
          <w:szCs w:val="24"/>
        </w:rPr>
        <w:t xml:space="preserve">It changes your complaint.</w:t>
      </w:r>
      <w:r>
        <w:rPr>
          <w:rFonts w:ascii="Times New Roman" w:cs="Times New Roman" w:eastAsia="Times New Roman" w:hAnsi="Times New Roman"/>
          <w:sz w:val="24"/>
          <w:szCs w:val="24"/>
        </w:rPr>
        <w:t xml:space="preserve"> Instead of alleging that the program failed to prevent a harmful event, you allege that the program designed, operated, and maintained a system that predictably produced harmful events. Your complaint does not tell the story of one bad day. It tells the story of a dangerous system. In Chapter 11, I will show you how to structure this complaint so that it functions as Requests for Admissions, Part 1—forcing the defendant to admit or deny specific system-level facts from the moment the case begins.</w:t>
      </w:r>
    </w:p>
    <w:p>
      <w:pPr>
        <w:spacing w:after="0" w:line="480"/>
      </w:pPr>
    </w:p>
    <w:p>
      <w:pPr>
        <w:spacing w:after="0" w:line="480"/>
        <w:ind w:firstLine="720"/>
      </w:pPr>
      <w:r>
        <w:rPr>
          <w:rFonts w:ascii="Times New Roman" w:cs="Times New Roman" w:eastAsia="Times New Roman" w:hAnsi="Times New Roman"/>
          <w:b/>
          <w:bCs/>
          <w:sz w:val="24"/>
          <w:szCs w:val="24"/>
        </w:rPr>
        <w:t xml:space="preserve">It changes your discovery.</w:t>
      </w:r>
      <w:r>
        <w:rPr>
          <w:rFonts w:ascii="Times New Roman" w:cs="Times New Roman" w:eastAsia="Times New Roman" w:hAnsi="Times New Roman"/>
          <w:sz w:val="24"/>
          <w:szCs w:val="24"/>
        </w:rPr>
        <w:t xml:space="preserve"> Instead of asking for incident reports and personnel files related to your client's specific experience, you ask for the program's policies, training manuals, marketing materials, financial records, staffing models, complaint histories, referral-fee agreements, and internal communications. You are not looking for evidence that something went wrong in one case. You are looking for evidence that the system was designed to produce harm across many cases. In Chapter 12, I will show you how to organize this discovery around the BITE model.</w:t>
      </w:r>
    </w:p>
    <w:p>
      <w:pPr>
        <w:spacing w:after="0" w:line="480"/>
      </w:pPr>
    </w:p>
    <w:p>
      <w:pPr>
        <w:spacing w:after="0" w:line="480"/>
        <w:ind w:firstLine="720"/>
      </w:pPr>
      <w:r>
        <w:rPr>
          <w:rFonts w:ascii="Times New Roman" w:cs="Times New Roman" w:eastAsia="Times New Roman" w:hAnsi="Times New Roman"/>
          <w:b/>
          <w:bCs/>
          <w:sz w:val="24"/>
          <w:szCs w:val="24"/>
        </w:rPr>
        <w:t xml:space="preserve">It changes your depositions.</w:t>
      </w:r>
      <w:r>
        <w:rPr>
          <w:rFonts w:ascii="Times New Roman" w:cs="Times New Roman" w:eastAsia="Times New Roman" w:hAnsi="Times New Roman"/>
          <w:sz w:val="24"/>
          <w:szCs w:val="24"/>
        </w:rPr>
        <w:t xml:space="preserve"> The most important deposition in a TTI case is not the individual staff member who committed the abuse. It is the 30(b)(6) corporate representative—the person who speaks on behalf of the program. In that deposition, you are not asking what happened to your client. You are asking how the program works. How are staff hired? How are they trained? What is the level system? How are letters handled? Who screens the mail? What is the restraint protocol? How are incident reports filed? Who sees them? What is the referral-fee arrangement with educational consultants? Each question is a brick in the wall of your coercive-system case.</w:t>
      </w:r>
    </w:p>
    <w:p>
      <w:pPr>
        <w:spacing w:after="0" w:line="480"/>
      </w:pPr>
    </w:p>
    <w:p>
      <w:pPr>
        <w:spacing w:after="0" w:line="480"/>
        <w:ind w:firstLine="720"/>
      </w:pPr>
      <w:r>
        <w:rPr>
          <w:rFonts w:ascii="Times New Roman" w:cs="Times New Roman" w:eastAsia="Times New Roman" w:hAnsi="Times New Roman"/>
          <w:b/>
          <w:bCs/>
          <w:sz w:val="24"/>
          <w:szCs w:val="24"/>
        </w:rPr>
        <w:t xml:space="preserve">It changes your trial theme.</w:t>
      </w:r>
      <w:r>
        <w:rPr>
          <w:rFonts w:ascii="Times New Roman" w:cs="Times New Roman" w:eastAsia="Times New Roman" w:hAnsi="Times New Roman"/>
          <w:sz w:val="24"/>
          <w:szCs w:val="24"/>
        </w:rPr>
        <w:t xml:space="preserve"> Instead of telling the jury, "This child was harmed and the program should have prevented it," you tell them, "This program is a dangerous system that was designed to control children, conceal abuse, and protect its revenue. My client is one of many victims. If you do not hold this program accountable, it will continue to operate in your community." That is a Reptile argument. It is also a true argument. And it is only available to you if you have built the case as a coercive-system case from the beginning.</w:t>
      </w:r>
    </w:p>
    <w:p>
      <w:pPr>
        <w:spacing w:after="0" w:line="480"/>
      </w:pPr>
    </w:p>
    <w:p>
      <w:pPr>
        <w:spacing w:after="0" w:line="480"/>
        <w:ind w:firstLine="720"/>
      </w:pPr>
      <w:r>
        <w:rPr>
          <w:rFonts w:ascii="Times New Roman" w:cs="Times New Roman" w:eastAsia="Times New Roman" w:hAnsi="Times New Roman"/>
          <w:b/>
          <w:bCs/>
          <w:sz w:val="24"/>
          <w:szCs w:val="24"/>
        </w:rPr>
        <w:t xml:space="preserve">It changes your damages.</w:t>
      </w:r>
      <w:r>
        <w:rPr>
          <w:rFonts w:ascii="Times New Roman" w:cs="Times New Roman" w:eastAsia="Times New Roman" w:hAnsi="Times New Roman"/>
          <w:sz w:val="24"/>
          <w:szCs w:val="24"/>
        </w:rPr>
        <w:t xml:space="preserve"> When the program is the instrument, the damages are not limited to the specific acts of abuse your client suffered. The damages include the entire experience of living inside a coercive system: the loss of autonomy, the identity disruption during critical developmental years, the learned helplessness, the destruction of the ability to trust authority, the developmental theft. These are system-produced damages, and they are often far greater than the damages from any single act. In Chapter 17, I will show you how to present them.</w:t>
      </w:r>
    </w:p>
    <w:p>
      <w:pPr>
        <w:spacing w:after="0" w:line="480"/>
      </w:pPr>
    </w:p>
    <w:p>
      <w:pPr>
        <w:spacing w:after="0" w:line="480"/>
        <w:ind w:firstLine="720"/>
      </w:pPr>
      <w:r>
        <w:rPr>
          <w:rFonts w:ascii="Times New Roman" w:cs="Times New Roman" w:eastAsia="Times New Roman" w:hAnsi="Times New Roman"/>
          <w:b/>
          <w:bCs/>
          <w:sz w:val="24"/>
          <w:szCs w:val="24"/>
        </w:rPr>
        <w:t xml:space="preserve">It changes your settlement leverage.</w:t>
      </w:r>
      <w:r>
        <w:rPr>
          <w:rFonts w:ascii="Times New Roman" w:cs="Times New Roman" w:eastAsia="Times New Roman" w:hAnsi="Times New Roman"/>
          <w:sz w:val="24"/>
          <w:szCs w:val="24"/>
        </w:rPr>
        <w:t xml:space="preserve"> A case about one child's bad experience settles for policy limits. A case about a dangerous program settles for real money—because the defendant knows that if this case goes to trial, the jury will hear about the system, not just the incident. And the defendant knows that if other survivors are watching the case—and in the age of r/troubledteens and Breaking Code Silence, they are always watching—there will be more lawsuits behind yours.</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Universal Formula</w:t>
      </w:r>
    </w:p>
    <w:p>
      <w:pPr>
        <w:spacing w:after="0" w:line="480"/>
      </w:pPr>
    </w:p>
    <w:p>
      <w:pPr>
        <w:spacing w:after="0" w:line="480"/>
      </w:pPr>
      <w:r>
        <w:rPr>
          <w:rFonts w:ascii="Times New Roman" w:cs="Times New Roman" w:eastAsia="Times New Roman" w:hAnsi="Times New Roman"/>
          <w:sz w:val="24"/>
          <w:szCs w:val="24"/>
        </w:rPr>
        <w:t xml:space="preserve">Across every TTI program, the business model of abuse follows the same formula. It has three elements, and if you can show all three to a jury, you have a punitive damages case.</w:t>
      </w:r>
    </w:p>
    <w:p>
      <w:pPr>
        <w:spacing w:after="0" w:line="480"/>
      </w:pPr>
    </w:p>
    <w:p>
      <w:pPr>
        <w:spacing w:after="0" w:line="480"/>
        <w:ind w:firstLine="720"/>
      </w:pPr>
      <w:r>
        <w:rPr>
          <w:rFonts w:ascii="Times New Roman" w:cs="Times New Roman" w:eastAsia="Times New Roman" w:hAnsi="Times New Roman"/>
          <w:b/>
          <w:bCs/>
          <w:sz w:val="24"/>
          <w:szCs w:val="24"/>
        </w:rPr>
        <w:t xml:space="preserve">Element one: profit from vulnerability.</w:t>
      </w:r>
      <w:r>
        <w:rPr>
          <w:rFonts w:ascii="Times New Roman" w:cs="Times New Roman" w:eastAsia="Times New Roman" w:hAnsi="Times New Roman"/>
          <w:sz w:val="24"/>
          <w:szCs w:val="24"/>
        </w:rPr>
        <w:t xml:space="preserve"> The program's revenue depends on controlling a population that cannot leave. Children are placed by their parents, who hold the contract. The child has no legal standing to withdraw. The program charges families tens or hundreds of thousands of dollars. Every day a child remains enrolled is revenue. Every day a child is discharged early is lost revenue. The economic incentive runs in one direction: keep the child longer.</w:t>
      </w:r>
    </w:p>
    <w:p>
      <w:pPr>
        <w:spacing w:after="0" w:line="480"/>
      </w:pPr>
    </w:p>
    <w:p>
      <w:pPr>
        <w:spacing w:after="0" w:line="480"/>
        <w:ind w:firstLine="720"/>
      </w:pPr>
      <w:r>
        <w:rPr>
          <w:rFonts w:ascii="Times New Roman" w:cs="Times New Roman" w:eastAsia="Times New Roman" w:hAnsi="Times New Roman"/>
          <w:b/>
          <w:bCs/>
          <w:sz w:val="24"/>
          <w:szCs w:val="24"/>
        </w:rPr>
        <w:t xml:space="preserve">Element two: incentive to conceal.</w:t>
      </w:r>
      <w:r>
        <w:rPr>
          <w:rFonts w:ascii="Times New Roman" w:cs="Times New Roman" w:eastAsia="Times New Roman" w:hAnsi="Times New Roman"/>
          <w:sz w:val="24"/>
          <w:szCs w:val="24"/>
        </w:rPr>
        <w:t xml:space="preserve"> Disclosure of abuse threatens the program's revenue. Parents pull their children. Other parents stop enrolling. Educational consultants stop referring. Regulators investigate. Media covers the story. The financial penalty for transparency is catastrophic. The financial penalty for concealment is—in most jurisdictions—negligible. The rational economic actor conceals.</w:t>
      </w:r>
    </w:p>
    <w:p>
      <w:pPr>
        <w:spacing w:after="0" w:line="480"/>
      </w:pPr>
    </w:p>
    <w:p>
      <w:pPr>
        <w:spacing w:after="0" w:line="480"/>
        <w:ind w:firstLine="720"/>
      </w:pPr>
      <w:r>
        <w:rPr>
          <w:rFonts w:ascii="Times New Roman" w:cs="Times New Roman" w:eastAsia="Times New Roman" w:hAnsi="Times New Roman"/>
          <w:b/>
          <w:bCs/>
          <w:sz w:val="24"/>
          <w:szCs w:val="24"/>
        </w:rPr>
        <w:t xml:space="preserve">Element three: insufficient regulatory cost.</w:t>
      </w:r>
      <w:r>
        <w:rPr>
          <w:rFonts w:ascii="Times New Roman" w:cs="Times New Roman" w:eastAsia="Times New Roman" w:hAnsi="Times New Roman"/>
          <w:sz w:val="24"/>
          <w:szCs w:val="24"/>
        </w:rPr>
        <w:t xml:space="preserve"> The program has calculated—sometimes explicitly, in board presentations and internal memos you can obtain in discovery—that the financial penalty for getting caught is less than the cost of operating safely. Fines for regulatory violations are trivial. License revocations are rare. Criminal prosecution is nearly unheard of. The regulatory system creates a perverse incentive: it is cheaper to risk getting caught than to stop causing harm.</w:t>
      </w:r>
    </w:p>
    <w:p>
      <w:pPr>
        <w:spacing w:after="0" w:line="480"/>
      </w:pPr>
    </w:p>
    <w:p>
      <w:pPr>
        <w:spacing w:after="0" w:line="480"/>
        <w:ind w:firstLine="720"/>
      </w:pPr>
      <w:r>
        <w:rPr>
          <w:rFonts w:ascii="Times New Roman" w:cs="Times New Roman" w:eastAsia="Times New Roman" w:hAnsi="Times New Roman"/>
          <w:sz w:val="24"/>
          <w:szCs w:val="24"/>
        </w:rPr>
        <w:t xml:space="preserve">Put those three elements together and you have the engine that drives the TTI. Profit from vulnerability. Incentive to conceal. Insufficient regulatory cost. That is not a collection of individual failures. That is a business model. And when you show that business model to a jury, the case is no longer about one child. It is about an industry. That is when punitive damages become not just available but necessary—because the only way to change a business model built on abuse is to change the math.</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Shift</w:t>
      </w:r>
    </w:p>
    <w:p>
      <w:pPr>
        <w:spacing w:after="0" w:line="480"/>
      </w:pPr>
    </w:p>
    <w:p>
      <w:pPr>
        <w:spacing w:after="0" w:line="480"/>
      </w:pPr>
      <w:r>
        <w:rPr>
          <w:rFonts w:ascii="Times New Roman" w:cs="Times New Roman" w:eastAsia="Times New Roman" w:hAnsi="Times New Roman"/>
          <w:sz w:val="24"/>
          <w:szCs w:val="24"/>
        </w:rPr>
        <w:t xml:space="preserve">I want to be clear about what I am asking you to do. I am asking you to change the way you think about TTI cases at the most fundamental level.</w:t>
      </w:r>
    </w:p>
    <w:p>
      <w:pPr>
        <w:spacing w:after="0" w:line="480"/>
        <w:ind w:firstLine="720"/>
      </w:pPr>
      <w:r>
        <w:rPr>
          <w:rFonts w:ascii="Times New Roman" w:cs="Times New Roman" w:eastAsia="Times New Roman" w:hAnsi="Times New Roman"/>
          <w:sz w:val="24"/>
          <w:szCs w:val="24"/>
        </w:rPr>
        <w:t xml:space="preserve">Stop thinking about these cases as negligence cases with a program defendant. Start thinking about them as cases about a coercive system that happens to take the legal form of a youth program.</w:t>
      </w:r>
    </w:p>
    <w:p>
      <w:pPr>
        <w:spacing w:after="0" w:line="480"/>
        <w:ind w:firstLine="720"/>
      </w:pPr>
      <w:r>
        <w:rPr>
          <w:rFonts w:ascii="Times New Roman" w:cs="Times New Roman" w:eastAsia="Times New Roman" w:hAnsi="Times New Roman"/>
          <w:sz w:val="24"/>
          <w:szCs w:val="24"/>
        </w:rPr>
        <w:t xml:space="preserve">Stop asking, "What did the program fail to prevent?" Start asking, "What did the program design, build, operate, and defend?"</w:t>
      </w:r>
    </w:p>
    <w:p>
      <w:pPr>
        <w:spacing w:after="0" w:line="480"/>
        <w:ind w:firstLine="720"/>
      </w:pPr>
      <w:r>
        <w:rPr>
          <w:rFonts w:ascii="Times New Roman" w:cs="Times New Roman" w:eastAsia="Times New Roman" w:hAnsi="Times New Roman"/>
          <w:sz w:val="24"/>
          <w:szCs w:val="24"/>
        </w:rPr>
        <w:t xml:space="preserve">Stop looking for the bad staff member. Start looking for the system that made the bad staff member inevitable—and then concealed the evidence.</w:t>
      </w:r>
    </w:p>
    <w:p>
      <w:pPr>
        <w:spacing w:after="0" w:line="480"/>
        <w:ind w:firstLine="720"/>
      </w:pPr>
      <w:r>
        <w:rPr>
          <w:rFonts w:ascii="Times New Roman" w:cs="Times New Roman" w:eastAsia="Times New Roman" w:hAnsi="Times New Roman"/>
          <w:sz w:val="24"/>
          <w:szCs w:val="24"/>
        </w:rPr>
        <w:t xml:space="preserve">This shift is not easy. We are trained in law school to think in terms of duty, breach, causation, and damages. Those elements still matter. But in TTI cases, they are not enough. You need a framework that captures the systemic nature of the harm. You need a way to prove that the program was not just negligent, but coercive. You need the BITE model.</w:t>
      </w:r>
    </w:p>
    <w:p>
      <w:pPr>
        <w:spacing w:after="0" w:line="480"/>
        <w:ind w:firstLine="720"/>
      </w:pPr>
      <w:r>
        <w:rPr>
          <w:rFonts w:ascii="Times New Roman" w:cs="Times New Roman" w:eastAsia="Times New Roman" w:hAnsi="Times New Roman"/>
          <w:sz w:val="24"/>
          <w:szCs w:val="24"/>
        </w:rPr>
        <w:t xml:space="preserve">That is where we go next.</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This chapter introduced the central conceptual distinction of this book. Here is what you should take with you:</w:t>
      </w:r>
    </w:p>
    <w:p>
      <w:pPr>
        <w:spacing w:after="0" w:line="480"/>
      </w:pPr>
    </w:p>
    <w:p>
      <w:pPr>
        <w:spacing w:after="0" w:line="480"/>
        <w:ind w:firstLine="720"/>
      </w:pPr>
      <w:r>
        <w:rPr>
          <w:rFonts w:ascii="Times New Roman" w:cs="Times New Roman" w:eastAsia="Times New Roman" w:hAnsi="Times New Roman"/>
          <w:sz w:val="24"/>
          <w:szCs w:val="24"/>
        </w:rPr>
        <w:t xml:space="preserve">Most lawyers treat the program as the backdrop—the place where harm happened. In TTI cases, the program is the instrument that produced the harm.</w:t>
      </w:r>
    </w:p>
    <w:p>
      <w:pPr>
        <w:spacing w:after="0" w:line="480"/>
      </w:pPr>
    </w:p>
    <w:p>
      <w:pPr>
        <w:spacing w:after="0" w:line="480"/>
        <w:ind w:firstLine="720"/>
      </w:pPr>
      <w:r>
        <w:rPr>
          <w:rFonts w:ascii="Times New Roman" w:cs="Times New Roman" w:eastAsia="Times New Roman" w:hAnsi="Times New Roman"/>
          <w:i/>
          <w:iCs/>
          <w:sz w:val="24"/>
          <w:szCs w:val="24"/>
        </w:rPr>
        <w:t xml:space="preserve">Site of harm:</w:t>
      </w:r>
      <w:r>
        <w:rPr>
          <w:rFonts w:ascii="Times New Roman" w:cs="Times New Roman" w:eastAsia="Times New Roman" w:hAnsi="Times New Roman"/>
          <w:sz w:val="24"/>
          <w:szCs w:val="24"/>
        </w:rPr>
        <w:t xml:space="preserve"> the program failed to prevent a harmful event. </w:t>
      </w:r>
      <w:r>
        <w:rPr>
          <w:rFonts w:ascii="Times New Roman" w:cs="Times New Roman" w:eastAsia="Times New Roman" w:hAnsi="Times New Roman"/>
          <w:i/>
          <w:iCs/>
          <w:sz w:val="24"/>
          <w:szCs w:val="24"/>
        </w:rPr>
        <w:t xml:space="preserve">Source of harm:</w:t>
      </w:r>
      <w:r>
        <w:rPr>
          <w:rFonts w:ascii="Times New Roman" w:cs="Times New Roman" w:eastAsia="Times New Roman" w:hAnsi="Times New Roman"/>
          <w:sz w:val="24"/>
          <w:szCs w:val="24"/>
        </w:rPr>
        <w:t xml:space="preserve"> the program was designed to produce harmful events and conceal them. The distinction between these two framings changes everything—your complaint, your discovery, your depositions, your trial theme, your damages, and your settlement leverage.</w:t>
      </w:r>
    </w:p>
    <w:p>
      <w:pPr>
        <w:spacing w:after="0" w:line="480"/>
      </w:pPr>
    </w:p>
    <w:p>
      <w:pPr>
        <w:spacing w:after="0" w:line="480"/>
        <w:ind w:firstLine="720"/>
      </w:pPr>
      <w:r>
        <w:rPr>
          <w:rFonts w:ascii="Times New Roman" w:cs="Times New Roman" w:eastAsia="Times New Roman" w:hAnsi="Times New Roman"/>
          <w:sz w:val="24"/>
          <w:szCs w:val="24"/>
        </w:rPr>
        <w:t xml:space="preserve">TTI programs share a set of structural features that constitute coercive systems: designed isolation (remote location, severed communications), level systems (behavioral control through contingent privileges), and marketing fraud (the gap between the promise and the reality).</w:t>
      </w:r>
    </w:p>
    <w:p>
      <w:pPr>
        <w:spacing w:after="0" w:line="480"/>
      </w:pPr>
    </w:p>
    <w:p>
      <w:pPr>
        <w:spacing w:after="0" w:line="480"/>
        <w:ind w:firstLine="720"/>
      </w:pPr>
      <w:r>
        <w:rPr>
          <w:rFonts w:ascii="Times New Roman" w:cs="Times New Roman" w:eastAsia="Times New Roman" w:hAnsi="Times New Roman"/>
          <w:sz w:val="24"/>
          <w:szCs w:val="24"/>
        </w:rPr>
        <w:t xml:space="preserve">The TTI business model reveals the motive for both the abuse and the concealment. Programs charge families $30K–$200K per year and pay direct-care staff $12–$18 per hour. Educational consultants receive undisclosed referral fees of $2K–$15K per placement. Private equity consolidation has turned programs into portfolio assets optimized for margin, not care.</w:t>
      </w:r>
    </w:p>
    <w:p>
      <w:pPr>
        <w:spacing w:after="0" w:line="480"/>
      </w:pPr>
    </w:p>
    <w:p>
      <w:pPr>
        <w:spacing w:after="0" w:line="480"/>
        <w:ind w:firstLine="720"/>
      </w:pPr>
      <w:r>
        <w:rPr>
          <w:rFonts w:ascii="Times New Roman" w:cs="Times New Roman" w:eastAsia="Times New Roman" w:hAnsi="Times New Roman"/>
          <w:sz w:val="24"/>
          <w:szCs w:val="24"/>
        </w:rPr>
        <w:t xml:space="preserve">The referral pipeline—from educational consultant to transport company to wilderness program to long-term residential—is often vertically integrated under common ownership. Map the corporate tree early.</w:t>
      </w:r>
    </w:p>
    <w:p>
      <w:pPr>
        <w:spacing w:after="0" w:line="480"/>
      </w:pPr>
    </w:p>
    <w:p>
      <w:pPr>
        <w:spacing w:after="0" w:line="480"/>
        <w:ind w:firstLine="720"/>
      </w:pPr>
      <w:r>
        <w:rPr>
          <w:rFonts w:ascii="Times New Roman" w:cs="Times New Roman" w:eastAsia="Times New Roman" w:hAnsi="Times New Roman"/>
          <w:sz w:val="24"/>
          <w:szCs w:val="24"/>
        </w:rPr>
        <w:t xml:space="preserve">Complex entity structures—layered LLCs, separated assets, thinly capitalized operating entities—are themselves evidence that the program anticipated producing harm. Your first task in any TTI case is to map the entities and name the right defendants.</w:t>
      </w:r>
    </w:p>
    <w:p>
      <w:pPr>
        <w:spacing w:after="0" w:line="480"/>
      </w:pPr>
    </w:p>
    <w:p>
      <w:pPr>
        <w:spacing w:after="0" w:line="480"/>
        <w:ind w:firstLine="720"/>
      </w:pPr>
      <w:r>
        <w:rPr>
          <w:rFonts w:ascii="Times New Roman" w:cs="Times New Roman" w:eastAsia="Times New Roman" w:hAnsi="Times New Roman"/>
          <w:sz w:val="24"/>
          <w:szCs w:val="24"/>
        </w:rPr>
        <w:t xml:space="preserve">The universal formula—profit from vulnerability + incentive to conceal + insufficient regulatory cost—defines the TTI business model. Show all three to a jury and you have a punitive damages case.</w:t>
      </w:r>
    </w:p>
    <w:p>
      <w:pPr>
        <w:spacing w:after="0" w:line="480"/>
      </w:pPr>
    </w:p>
    <w:p>
      <w:pPr>
        <w:spacing w:after="0" w:line="480"/>
        <w:ind w:firstLine="720"/>
      </w:pPr>
      <w:r>
        <w:rPr>
          <w:rFonts w:ascii="Times New Roman" w:cs="Times New Roman" w:eastAsia="Times New Roman" w:hAnsi="Times New Roman"/>
          <w:sz w:val="24"/>
          <w:szCs w:val="24"/>
        </w:rPr>
        <w:t xml:space="preserve">The framework for proving coercive-system cases is the BITE model, which is introduced in Chapter 5 and applied throughout the rest of this book.</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sz w:val="20"/>
        <w:szCs w:val="20"/>
      </w:rPr>
      <w:t xml:space="preserve"/>
    </w: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Times New Roman" w:cs="Times New Roman" w:eastAsia="Times New Roman" w:hAnsi="Times New Roman"/>
        <w:i/>
        <w:iCs/>
        <w:color w:val="888888"/>
        <w:sz w:val="18"/>
        <w:szCs w:val="18"/>
      </w:rPr>
      <w:t xml:space="preserve">BREAKING THE SYSTEM — The Program as System, Not Backdrop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2026-05-08T04:40:19.155Z</dcterms:created>
  <dcterms:modified xsi:type="dcterms:W3CDTF">2026-05-08T04:40:19.155Z</dcterms:modified>
</cp:coreProperties>
</file>

<file path=docProps/custom.xml><?xml version="1.0" encoding="utf-8"?>
<Properties xmlns="http://schemas.openxmlformats.org/officeDocument/2006/custom-properties" xmlns:vt="http://schemas.openxmlformats.org/officeDocument/2006/docPropsVTypes"/>
</file>