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16</w:t>
      </w:r>
    </w:p>
    <w:p>
      <w:pPr>
        <w:spacing w:after="0" w:line="480"/>
      </w:pPr>
    </w:p>
    <w:p>
      <w:pPr>
        <w:spacing w:after="0" w:line="480"/>
        <w:jc w:val="center"/>
      </w:pPr>
      <w:r>
        <w:rPr>
          <w:rFonts w:ascii="Times New Roman" w:cs="Times New Roman" w:eastAsia="Times New Roman" w:hAnsi="Times New Roman"/>
          <w:sz w:val="24"/>
          <w:szCs w:val="24"/>
        </w:rPr>
        <w:t xml:space="preserve">Trial by Human</w:t>
      </w:r>
    </w:p>
    <w:p>
      <w:pPr>
        <w:spacing w:after="0" w:line="480"/>
        <w:jc w:val="center"/>
      </w:pPr>
      <w:r>
        <w:rPr>
          <w:rFonts w:ascii="Times New Roman" w:cs="Times New Roman" w:eastAsia="Times New Roman" w:hAnsi="Times New Roman"/>
          <w:i/>
          <w:iCs/>
          <w:sz w:val="24"/>
          <w:szCs w:val="24"/>
        </w:rPr>
        <w:t xml:space="preserve">Radical Authenticity, Narrative Architecture, and the Villain Reveal</w:t>
      </w:r>
    </w:p>
    <w:p>
      <w:pPr>
        <w:spacing w:after="0" w:line="480"/>
      </w:pPr>
    </w:p>
    <w:p>
      <w:pPr>
        <w:spacing w:after="0" w:line="480"/>
      </w:pPr>
      <w:r>
        <w:rPr>
          <w:rFonts w:ascii="Times New Roman" w:cs="Times New Roman" w:eastAsia="Times New Roman" w:hAnsi="Times New Roman"/>
          <w:sz w:val="24"/>
          <w:szCs w:val="24"/>
        </w:rPr>
        <w:t xml:space="preserve">None of it matters if they do not believe you.</w:t>
      </w:r>
    </w:p>
    <w:p>
      <w:pPr>
        <w:spacing w:after="0" w:line="480"/>
        <w:ind w:firstLine="720"/>
      </w:pPr>
      <w:r>
        <w:rPr>
          <w:rFonts w:ascii="Times New Roman" w:cs="Times New Roman" w:eastAsia="Times New Roman" w:hAnsi="Times New Roman"/>
          <w:sz w:val="24"/>
          <w:szCs w:val="24"/>
        </w:rPr>
        <w:t xml:space="preserve">Not the BITE framework. Not the discovery architecture. Not the Rules of the Road or the Reptile frame or the expert coordination. If the jury does not believe the person standing in front of them—the lawyer, the client, the witness—then the scaffolding collapses and the case is lost. Belief is the foundation. Everything else is built on top of it.</w:t>
      </w:r>
    </w:p>
    <w:p>
      <w:pPr>
        <w:spacing w:after="0" w:line="480"/>
        <w:ind w:firstLine="720"/>
      </w:pPr>
      <w:r>
        <w:rPr>
          <w:rFonts w:ascii="Times New Roman" w:cs="Times New Roman" w:eastAsia="Times New Roman" w:hAnsi="Times New Roman"/>
          <w:sz w:val="24"/>
          <w:szCs w:val="24"/>
        </w:rPr>
        <w:t xml:space="preserve">Nick Rowley's Trial by Human method is built on one radical proposition: the most powerful thing a trial lawyer can do is be a real human being in the courtroom. Not a performer. Not a technician. Not a character playing the role of advocate. A human being who is affected by what they have seen, who cares about what happened to their client, and who trusts the jury enough to let them see that care without filters.</w:t>
      </w:r>
    </w:p>
    <w:p>
      <w:pPr>
        <w:spacing w:after="0" w:line="480"/>
        <w:ind w:firstLine="720"/>
      </w:pPr>
      <w:r>
        <w:rPr>
          <w:rFonts w:ascii="Times New Roman" w:cs="Times New Roman" w:eastAsia="Times New Roman" w:hAnsi="Times New Roman"/>
          <w:sz w:val="24"/>
          <w:szCs w:val="24"/>
        </w:rPr>
        <w:t xml:space="preserve">Donald Miller's StoryBrand framework provides the narrative architecture that channels that authenticity into a structure the jury's brain is wired to receive. Every effective story follows the same pattern: a character who wants something encounters a problem, meets a guide who gives them a plan, calls them to action, and helps them avoid failure and achieve success. In the TTI trial, the hero is not the plaintiff. The hero is the jury. You are the guide. The villain is the program's system of coercive control. And the verdict is the hero's act of courage.</w:t>
      </w:r>
    </w:p>
    <w:p>
      <w:pPr>
        <w:spacing w:after="0" w:line="480"/>
        <w:ind w:firstLine="720"/>
      </w:pPr>
      <w:r>
        <w:rPr>
          <w:rFonts w:ascii="Times New Roman" w:cs="Times New Roman" w:eastAsia="Times New Roman" w:hAnsi="Times New Roman"/>
          <w:sz w:val="24"/>
          <w:szCs w:val="24"/>
        </w:rPr>
        <w:t xml:space="preserve">This chapter integrates Trial by Human's radical authenticity with StoryBrand's narrative architecture and a five-movement voir dire framework called The Villain Reveal—a sequence designed to transform a room of skeptical strangers into a moral body capable of seeing through institutional facades and acting on what they see.</w:t>
      </w:r>
    </w:p>
    <w:p>
      <w:pPr>
        <w:spacing w:after="0" w:line="480"/>
        <w:ind w:firstLine="720"/>
      </w:pPr>
      <w:r>
        <w:rPr>
          <w:rFonts w:ascii="Times New Roman" w:cs="Times New Roman" w:eastAsia="Times New Roman" w:hAnsi="Times New Roman"/>
          <w:sz w:val="24"/>
          <w:szCs w:val="24"/>
        </w:rPr>
        <w:t xml:space="preserve">Beneath these frameworks lies a scientific reality about how juries process information. Daniel Kahneman's research on dual-process cognition—System 1 (fast, intuitive, emotional) and System 2 (slow, analytical, deliberate)—explains why purely emotional or purely analytical trial presentations fail. A jury that receives only System 1 input will feel the injustice but struggle to articulate it in deliberation. A jury that receives only System 2 input will understand the framework but feel nothing that compels action. Effective trial presentation engages both systems in deliberate alternation—a rhythm we develop in Chapter 18 on witness sequencing. Robert Cialdini's six principles of influence—reciprocity, commitment and consistency, social proof, authority, liking, and scarcity—provide the underlying psychology of why specific trial techniques work. When you ask jurors to commit publicly to principles during voir dire, you are leveraging the commitment-and-consistency principle. When you present yourself as a genuine human being rather than a performer, you are leveraging the liking principle. When you present expert testimony, you are leveraging authority. Understanding the psychological mechanisms behind effective advocacy does not make it manipulative—it makes it intentional.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Only Real Job of a Trial Lawyer Is to Be Believed</w:t>
      </w:r>
    </w:p>
    <w:p>
      <w:pPr>
        <w:spacing w:after="0" w:line="480"/>
      </w:pPr>
    </w:p>
    <w:p>
      <w:pPr>
        <w:spacing w:after="0" w:line="480"/>
      </w:pPr>
      <w:r>
        <w:rPr>
          <w:rFonts w:ascii="Times New Roman" w:cs="Times New Roman" w:eastAsia="Times New Roman" w:hAnsi="Times New Roman"/>
          <w:sz w:val="24"/>
          <w:szCs w:val="24"/>
        </w:rPr>
        <w:t xml:space="preserve">Juries are extraordinarily perceptive. They can tell when a lawyer is performing—when the outrage is manufactured, when the empathy is rehearsed, when the pauses are theatrical. They can also tell when a lawyer is real—when the story they are telling has affected them, when they are not pretending to care but actually care, when they are speaking to the jury the way they would speak to a friend about something that matters.</w:t>
      </w:r>
    </w:p>
    <w:p>
      <w:pPr>
        <w:spacing w:after="0" w:line="480"/>
        <w:ind w:firstLine="720"/>
      </w:pPr>
      <w:r>
        <w:rPr>
          <w:rFonts w:ascii="Times New Roman" w:cs="Times New Roman" w:eastAsia="Times New Roman" w:hAnsi="Times New Roman"/>
          <w:sz w:val="24"/>
          <w:szCs w:val="24"/>
        </w:rPr>
        <w:t xml:space="preserve">The difference is not technique. It is preparation. A lawyer who has spent hundreds of hours with the client, who has read every document, who has visited the program site, who has spoken with other survivors, who has sat with the expert and truly understood the science of what was done to this person—that lawyer does not need to perform outrage. They feel it. They do not need to manufacture empathy. They have it. The preparation creates the authenticity. And the authenticity creates belief.</w:t>
      </w:r>
    </w:p>
    <w:p>
      <w:pPr>
        <w:spacing w:after="0" w:line="480"/>
        <w:ind w:firstLine="720"/>
      </w:pPr>
      <w:r>
        <w:rPr>
          <w:rFonts w:ascii="Times New Roman" w:cs="Times New Roman" w:eastAsia="Times New Roman" w:hAnsi="Times New Roman"/>
          <w:sz w:val="24"/>
          <w:szCs w:val="24"/>
        </w:rPr>
        <w:t xml:space="preserve">Most lawyers work against their own authenticity. They hide behind lecterns. They read from outlines. They use formal language that distances them from the jury. They treat the courtroom as a stage instead of a room full of human beings. Trial by Human tears down those barriers. Be in the room. Be present. Let the jury see you respond to the testimony as it happens. Let them see you affected by the evidence. Because if you are not affected, why should they be?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First-Time Principle</w:t>
      </w:r>
    </w:p>
    <w:p>
      <w:pPr>
        <w:spacing w:after="0" w:line="480"/>
      </w:pPr>
    </w:p>
    <w:p>
      <w:pPr>
        <w:spacing w:after="0" w:line="480"/>
      </w:pPr>
      <w:r>
        <w:rPr>
          <w:rFonts w:ascii="Times New Roman" w:cs="Times New Roman" w:eastAsia="Times New Roman" w:hAnsi="Times New Roman"/>
          <w:sz w:val="24"/>
          <w:szCs w:val="24"/>
        </w:rPr>
        <w:t xml:space="preserve">Present every piece of evidence as if you are encountering it for the first time. Not because you are pretending ignorance. Because you are rediscovering the impact.</w:t>
      </w:r>
    </w:p>
    <w:p>
      <w:pPr>
        <w:spacing w:after="0" w:line="480"/>
        <w:ind w:firstLine="720"/>
      </w:pPr>
      <w:r>
        <w:rPr>
          <w:rFonts w:ascii="Times New Roman" w:cs="Times New Roman" w:eastAsia="Times New Roman" w:hAnsi="Times New Roman"/>
          <w:sz w:val="24"/>
          <w:szCs w:val="24"/>
        </w:rPr>
        <w:t xml:space="preserve">You have read the incident report a hundred times. You know what it says. But the jury is reading it for the first time. And the way you present it should honor that moment. Slow down. Let the document land. Do not rush past it to make your next point. Let the jury sit with what they just heard the way you sat with it the first time you read it.</w:t>
      </w:r>
    </w:p>
    <w:p>
      <w:pPr>
        <w:spacing w:after="0" w:line="480"/>
        <w:ind w:firstLine="720"/>
      </w:pPr>
      <w:r>
        <w:rPr>
          <w:rFonts w:ascii="Times New Roman" w:cs="Times New Roman" w:eastAsia="Times New Roman" w:hAnsi="Times New Roman"/>
          <w:sz w:val="24"/>
          <w:szCs w:val="24"/>
        </w:rPr>
        <w:t xml:space="preserve">In TTI cases, the First-Time Principle is essential because the evidence is often staggering in its casual cruelty. An incident report documenting a fourteen-year-old restrained face-down on a concrete floor for forty-five minutes because she refused to participate in group therapy. A staff email that says, "She's being dramatic again, just let her cry it out in iso." A medication administration record showing a teenager given sedatives every day for six months without a psychiatric evaluation. These documents are devastating, but only if you present them with the weight they deserve.</w:t>
      </w:r>
    </w:p>
    <w:p>
      <w:pPr>
        <w:spacing w:after="0" w:line="480"/>
        <w:ind w:firstLine="720"/>
      </w:pPr>
      <w:r>
        <w:rPr>
          <w:rFonts w:ascii="Times New Roman" w:cs="Times New Roman" w:eastAsia="Times New Roman" w:hAnsi="Times New Roman"/>
          <w:sz w:val="24"/>
          <w:szCs w:val="24"/>
        </w:rPr>
        <w:t xml:space="preserve">The First-Time Principle also applies to your client's testimony. When your client tells their story on the stand, it is not the first time you have heard it. But it should feel like the first time the jury hears it. Your job is to stay present, to listen, to react—not performatively, but actually. If your client says something that moves you, let it move you. The jury is watching you as much as they are watching the witness. Your attention is a signal that tells the jury: this matters.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Vulnerability as Strength</w:t>
      </w:r>
    </w:p>
    <w:p>
      <w:pPr>
        <w:spacing w:after="0" w:line="480"/>
      </w:pPr>
    </w:p>
    <w:p>
      <w:pPr>
        <w:spacing w:after="0" w:line="480"/>
      </w:pPr>
      <w:r>
        <w:rPr>
          <w:rFonts w:ascii="Times New Roman" w:cs="Times New Roman" w:eastAsia="Times New Roman" w:hAnsi="Times New Roman"/>
          <w:sz w:val="24"/>
          <w:szCs w:val="24"/>
        </w:rPr>
        <w:t xml:space="preserve">The TTI survivor has been told, for months or years, that their vulnerability is a weakness. The program weaponized it. The defense will try to weaponize it again. Trial by Human takes the opposite approach: vulnerability is the survivor's greatest strength, and it is the lawyer's greatest strength too.</w:t>
      </w:r>
    </w:p>
    <w:p>
      <w:pPr>
        <w:spacing w:after="0" w:line="480"/>
        <w:ind w:firstLine="720"/>
      </w:pPr>
      <w:r>
        <w:rPr>
          <w:rFonts w:ascii="Times New Roman" w:cs="Times New Roman" w:eastAsia="Times New Roman" w:hAnsi="Times New Roman"/>
          <w:sz w:val="24"/>
          <w:szCs w:val="24"/>
        </w:rPr>
        <w:t xml:space="preserve">When your client takes the stand and struggles to hold it together, that is not a problem. That is the case. When their voice breaks describing the isolation room, the jury does not see a weak witness. The jury sees a human being reliving something terrible. When they cannot remember the exact date but can remember the sound of the lock clicking shut, the jury does not see an unreliable narrator. The jury sees trauma—exactly the kind of fragmented, sensory memory that your expert explained is the signature of C-PTSD.</w:t>
      </w:r>
    </w:p>
    <w:p>
      <w:pPr>
        <w:spacing w:after="0" w:line="480"/>
        <w:ind w:firstLine="720"/>
      </w:pPr>
      <w:r>
        <w:rPr>
          <w:rFonts w:ascii="Times New Roman" w:cs="Times New Roman" w:eastAsia="Times New Roman" w:hAnsi="Times New Roman"/>
          <w:sz w:val="24"/>
          <w:szCs w:val="24"/>
        </w:rPr>
        <w:t xml:space="preserve">And when you, the lawyer, show that you are affected—when your voice drops as you ask a hard question, when you pause because the answer landed harder than you expected, when you look at the jury and they can see that you are not performing but feeling—you are giving the jury permission to feel too. That permission is the most valuable thing you can give them. A jury that feels the weight of what happened is a jury that will compensate for it.</w:t>
      </w:r>
    </w:p>
    <w:p>
      <w:pPr>
        <w:spacing w:after="0" w:line="480"/>
        <w:ind w:firstLine="720"/>
      </w:pPr>
      <w:r>
        <w:rPr>
          <w:rFonts w:ascii="Times New Roman" w:cs="Times New Roman" w:eastAsia="Times New Roman" w:hAnsi="Times New Roman"/>
          <w:sz w:val="24"/>
          <w:szCs w:val="24"/>
        </w:rPr>
        <w:t xml:space="preserve">This is not sentimentality. This is strategy. But it only works if it is real. Manufactured vulnerability is worse than no vulnerability at all. The jury will spot it, and their trust will evaporate. You cannot fake this. You can only prepare so thoroughly that you know the case in your bones, and then let the case affect you the way it actually affects you. If it does not affect you, you should not be trying it.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Preparing the Survivor to Testify</w:t>
      </w:r>
    </w:p>
    <w:p>
      <w:pPr>
        <w:spacing w:after="0" w:line="480"/>
      </w:pPr>
    </w:p>
    <w:p>
      <w:pPr>
        <w:spacing w:after="0" w:line="480"/>
      </w:pPr>
      <w:r>
        <w:rPr>
          <w:rFonts w:ascii="Times New Roman" w:cs="Times New Roman" w:eastAsia="Times New Roman" w:hAnsi="Times New Roman"/>
          <w:sz w:val="24"/>
          <w:szCs w:val="24"/>
        </w:rPr>
        <w:t xml:space="preserve">Witness preparation in TTI cases is fundamentally different from standard trial preparation, because the witness is a trauma survivor who is being asked to relive the trauma in public. The conventional advice—answer the question, do not volunteer information, stay calm, maintain eye contact—is not wrong, but it is incomplete and potentially dangerous. A trauma survivor who is told to stay calm may shut down entirely. A survivor told to maintain eye contact may dissociate behind a fixed stare. A survivor told not to volunteer information may omit the most important details of their experience because they were not specifically asked.</w:t>
      </w:r>
    </w:p>
    <w:p>
      <w:pPr>
        <w:spacing w:after="0" w:line="480"/>
        <w:ind w:firstLine="720"/>
      </w:pPr>
      <w:r>
        <w:rPr>
          <w:rFonts w:ascii="Times New Roman" w:cs="Times New Roman" w:eastAsia="Times New Roman" w:hAnsi="Times New Roman"/>
          <w:sz w:val="24"/>
          <w:szCs w:val="24"/>
        </w:rPr>
        <w:t xml:space="preserve">Trial by Human preparation follows a different philosophy. The goal is not a controlled witness. The goal is an authentic witness. You want the jury to see the person—not a performance, not a recitation, but a human being telling the truth about something that happened to them.</w:t>
      </w:r>
    </w:p>
    <w:p>
      <w:pPr>
        <w:spacing w:after="0" w:before="240" w:line="480"/>
      </w:pPr>
      <w:r>
        <w:rPr>
          <w:rFonts w:ascii="Times New Roman" w:cs="Times New Roman" w:eastAsia="Times New Roman" w:hAnsi="Times New Roman"/>
          <w:b/>
          <w:bCs/>
          <w:i/>
          <w:iCs/>
          <w:sz w:val="24"/>
          <w:szCs w:val="24"/>
        </w:rPr>
        <w:t xml:space="preserve">The Three Conversations</w:t>
      </w:r>
    </w:p>
    <w:p>
      <w:pPr>
        <w:spacing w:after="0" w:line="480"/>
        <w:ind w:firstLine="720"/>
      </w:pPr>
      <w:r>
        <w:rPr>
          <w:rFonts w:ascii="Times New Roman" w:cs="Times New Roman" w:eastAsia="Times New Roman" w:hAnsi="Times New Roman"/>
          <w:i/>
          <w:iCs/>
          <w:sz w:val="24"/>
          <w:szCs w:val="24"/>
        </w:rPr>
        <w:t xml:space="preserve">Conversation One: The Story.</w:t>
      </w:r>
      <w:r>
        <w:rPr>
          <w:rFonts w:ascii="Times New Roman" w:cs="Times New Roman" w:eastAsia="Times New Roman" w:hAnsi="Times New Roman"/>
          <w:sz w:val="24"/>
          <w:szCs w:val="24"/>
        </w:rPr>
        <w:t xml:space="preserve"> A private session where the client tells their story in their own words, in their own order, without interruption. No legal framing. No strategic coaching. Just the story. Listen. Take notes on what moves you, what surprises you, and what you do not understand. This conversation tells you what the jury needs to hear and in what emotional register. Schedule two to three hours in a comfortable, private space.</w:t>
      </w:r>
    </w:p>
    <w:p>
      <w:pPr>
        <w:spacing w:after="0" w:line="480"/>
        <w:ind w:firstLine="720"/>
      </w:pPr>
      <w:r>
        <w:rPr>
          <w:rFonts w:ascii="Times New Roman" w:cs="Times New Roman" w:eastAsia="Times New Roman" w:hAnsi="Times New Roman"/>
          <w:i/>
          <w:iCs/>
          <w:sz w:val="24"/>
          <w:szCs w:val="24"/>
        </w:rPr>
        <w:t xml:space="preserve">Conversation Two: The Mechanics.</w:t>
      </w:r>
      <w:r>
        <w:rPr>
          <w:rFonts w:ascii="Times New Roman" w:cs="Times New Roman" w:eastAsia="Times New Roman" w:hAnsi="Times New Roman"/>
          <w:sz w:val="24"/>
          <w:szCs w:val="24"/>
        </w:rPr>
        <w:t xml:space="preserve"> Explain how direct examination works, how cross-examination works, what the defense attorney will try to do, and what the client's rights are on the stand. Teach the basics: answer only the question asked, it is okay to say you do not remember, it is okay to ask for a question to be repeated, it is okay to take a break. But also tell them the most important thing: tell the truth. Not the version that sounds best. The truth. Because the truth is always enough.</w:t>
      </w:r>
    </w:p>
    <w:p>
      <w:pPr>
        <w:spacing w:after="0" w:line="480"/>
        <w:ind w:firstLine="720"/>
      </w:pPr>
      <w:r>
        <w:rPr>
          <w:rFonts w:ascii="Times New Roman" w:cs="Times New Roman" w:eastAsia="Times New Roman" w:hAnsi="Times New Roman"/>
          <w:i/>
          <w:iCs/>
          <w:sz w:val="24"/>
          <w:szCs w:val="24"/>
        </w:rPr>
        <w:t xml:space="preserve">Conversation Three: The Practice.</w:t>
      </w:r>
      <w:r>
        <w:rPr>
          <w:rFonts w:ascii="Times New Roman" w:cs="Times New Roman" w:eastAsia="Times New Roman" w:hAnsi="Times New Roman"/>
          <w:sz w:val="24"/>
          <w:szCs w:val="24"/>
        </w:rPr>
        <w:t xml:space="preserve"> Walk through the likely questions—both direct and cross—in the order they will probably come. Do not script answers. Let the client answer in their own words and then discuss what worked and what the defense will attack. If the client breaks down during practice, stop. Talk about it. Develop a plan for what to do if it happens on the stand: ask for water, take a breath, look at a safe face in the gallery. The plan gives the client control over the one thing the program tried to take from them: the ability to choose what happens next.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Direct Examination: The Five Phases</w:t>
      </w:r>
    </w:p>
    <w:p>
      <w:pPr>
        <w:spacing w:after="0" w:line="480"/>
      </w:pPr>
    </w:p>
    <w:p>
      <w:pPr>
        <w:spacing w:after="0" w:line="480"/>
      </w:pPr>
      <w:r>
        <w:rPr>
          <w:rFonts w:ascii="Times New Roman" w:cs="Times New Roman" w:eastAsia="Times New Roman" w:hAnsi="Times New Roman"/>
          <w:sz w:val="24"/>
          <w:szCs w:val="24"/>
        </w:rPr>
        <w:t xml:space="preserve">Structure the direct examination to build toward the emotional core, not away from it.</w:t>
      </w:r>
    </w:p>
    <w:p>
      <w:pPr>
        <w:spacing w:after="0" w:line="480"/>
        <w:ind w:firstLine="720"/>
      </w:pPr>
      <w:r>
        <w:rPr>
          <w:rFonts w:ascii="Times New Roman" w:cs="Times New Roman" w:eastAsia="Times New Roman" w:hAnsi="Times New Roman"/>
          <w:i/>
          <w:iCs/>
          <w:sz w:val="24"/>
          <w:szCs w:val="24"/>
        </w:rPr>
        <w:t xml:space="preserve">Phase 1: Before the program</w:t>
      </w:r>
      <w:r>
        <w:rPr>
          <w:rFonts w:ascii="Times New Roman" w:cs="Times New Roman" w:eastAsia="Times New Roman" w:hAnsi="Times New Roman"/>
          <w:sz w:val="24"/>
          <w:szCs w:val="24"/>
        </w:rPr>
        <w:t xml:space="preserve"> (five to ten minutes). Who was this person before? What were their interests, their relationships, their trajectory? Establish the baseline the jury needs to understand what was taken. Keep it brief—the jury wants to get to the program.</w:t>
      </w:r>
    </w:p>
    <w:p>
      <w:pPr>
        <w:spacing w:after="0" w:line="480"/>
        <w:ind w:firstLine="720"/>
      </w:pPr>
      <w:r>
        <w:rPr>
          <w:rFonts w:ascii="Times New Roman" w:cs="Times New Roman" w:eastAsia="Times New Roman" w:hAnsi="Times New Roman"/>
          <w:i/>
          <w:iCs/>
          <w:sz w:val="24"/>
          <w:szCs w:val="24"/>
        </w:rPr>
        <w:t xml:space="preserve">Phase 2: Entry</w:t>
      </w:r>
      <w:r>
        <w:rPr>
          <w:rFonts w:ascii="Times New Roman" w:cs="Times New Roman" w:eastAsia="Times New Roman" w:hAnsi="Times New Roman"/>
          <w:sz w:val="24"/>
          <w:szCs w:val="24"/>
        </w:rPr>
        <w:t xml:space="preserve"> (five to ten minutes). How did they get there? What were they told? What did their family believe? This phase establishes the consent fraud and sets up the marketing-versus-reality gap that is central to the villain narrative.</w:t>
      </w:r>
    </w:p>
    <w:p>
      <w:pPr>
        <w:spacing w:after="0" w:line="480"/>
        <w:ind w:firstLine="720"/>
      </w:pPr>
      <w:r>
        <w:rPr>
          <w:rFonts w:ascii="Times New Roman" w:cs="Times New Roman" w:eastAsia="Times New Roman" w:hAnsi="Times New Roman"/>
          <w:i/>
          <w:iCs/>
          <w:sz w:val="24"/>
          <w:szCs w:val="24"/>
        </w:rPr>
        <w:t xml:space="preserve">Phase 3: Inside</w:t>
      </w:r>
      <w:r>
        <w:rPr>
          <w:rFonts w:ascii="Times New Roman" w:cs="Times New Roman" w:eastAsia="Times New Roman" w:hAnsi="Times New Roman"/>
          <w:sz w:val="24"/>
          <w:szCs w:val="24"/>
        </w:rPr>
        <w:t xml:space="preserve"> (twenty to forty minutes). The heart of the testimony. Move chronologically through the experience but let the client lead on detail. Ask open questions: "Tell the jury what a typical day was like." "What happened when you broke a rule?" "What happened when you cried?" Do not rush. Let silences happen. If the client breaks down, do not immediately rescue them with a new question. Let the jury sit in the silence with the client. That silence is testimony.</w:t>
      </w:r>
    </w:p>
    <w:p>
      <w:pPr>
        <w:spacing w:after="0" w:line="480"/>
        <w:ind w:firstLine="720"/>
      </w:pPr>
      <w:r>
        <w:rPr>
          <w:rFonts w:ascii="Times New Roman" w:cs="Times New Roman" w:eastAsia="Times New Roman" w:hAnsi="Times New Roman"/>
          <w:i/>
          <w:iCs/>
          <w:sz w:val="24"/>
          <w:szCs w:val="24"/>
        </w:rPr>
        <w:t xml:space="preserve">Phase 4: After</w:t>
      </w:r>
      <w:r>
        <w:rPr>
          <w:rFonts w:ascii="Times New Roman" w:cs="Times New Roman" w:eastAsia="Times New Roman" w:hAnsi="Times New Roman"/>
          <w:sz w:val="24"/>
          <w:szCs w:val="24"/>
        </w:rPr>
        <w:t xml:space="preserve"> (ten to fifteen minutes). What has life been like since? Relationships, employment, mental health, trust, nightmares, triggers. This phase connects the institutional experience to the present-day damages the experts will quantify. Let the client describe it in their own words, not clinical language.</w:t>
      </w:r>
    </w:p>
    <w:p>
      <w:pPr>
        <w:spacing w:after="0" w:line="480"/>
        <w:ind w:firstLine="720"/>
      </w:pPr>
      <w:r>
        <w:rPr>
          <w:rFonts w:ascii="Times New Roman" w:cs="Times New Roman" w:eastAsia="Times New Roman" w:hAnsi="Times New Roman"/>
          <w:i/>
          <w:iCs/>
          <w:sz w:val="24"/>
          <w:szCs w:val="24"/>
        </w:rPr>
        <w:t xml:space="preserve">Phase 5: Why now</w:t>
      </w:r>
      <w:r>
        <w:rPr>
          <w:rFonts w:ascii="Times New Roman" w:cs="Times New Roman" w:eastAsia="Times New Roman" w:hAnsi="Times New Roman"/>
          <w:sz w:val="24"/>
          <w:szCs w:val="24"/>
        </w:rPr>
        <w:t xml:space="preserve"> (three to five minutes). Why did you come forward? What do you want the jury to understand? This is the client's closing statement in their own voice. Let them say what they came to say.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StoryBrand Narrative Architecture for TTI Trials</w:t>
      </w:r>
    </w:p>
    <w:p>
      <w:pPr>
        <w:spacing w:after="0" w:line="480"/>
      </w:pPr>
    </w:p>
    <w:p>
      <w:pPr>
        <w:spacing w:after="0" w:line="480"/>
      </w:pPr>
      <w:r>
        <w:rPr>
          <w:rFonts w:ascii="Times New Roman" w:cs="Times New Roman" w:eastAsia="Times New Roman" w:hAnsi="Times New Roman"/>
          <w:sz w:val="24"/>
          <w:szCs w:val="24"/>
        </w:rPr>
        <w:t xml:space="preserve">Miller's StoryBrand framework identifies seven elements that make a story work. Each one maps directly to the trial of a TTI case.</w:t>
      </w:r>
    </w:p>
    <w:p>
      <w:pPr>
        <w:spacing w:after="0" w:line="480"/>
        <w:ind w:firstLine="720"/>
      </w:pPr>
      <w:r>
        <w:rPr>
          <w:rFonts w:ascii="Times New Roman" w:cs="Times New Roman" w:eastAsia="Times New Roman" w:hAnsi="Times New Roman"/>
          <w:i/>
          <w:iCs/>
          <w:sz w:val="24"/>
          <w:szCs w:val="24"/>
        </w:rPr>
        <w:t xml:space="preserve">The Character (Hero):</w:t>
      </w:r>
      <w:r>
        <w:rPr>
          <w:rFonts w:ascii="Times New Roman" w:cs="Times New Roman" w:eastAsia="Times New Roman" w:hAnsi="Times New Roman"/>
          <w:sz w:val="24"/>
          <w:szCs w:val="24"/>
        </w:rPr>
        <w:t xml:space="preserve"> The jury. Not the plaintiff. The hero is the character whose role the audience plays. The jury will face a problem, receive guidance, and be called to act with courage. The plaintiff is the inciting event—the person whose story reveals the villain and creates the moral imperative for the hero to act. A plaintiff cast as a victim asking for help invites sympathy. A plaintiff cast as a witness offering evidence invites respect. Sympathy fades during deliberation. Respect endures.</w:t>
      </w:r>
    </w:p>
    <w:p>
      <w:pPr>
        <w:spacing w:after="0" w:line="480"/>
        <w:ind w:firstLine="720"/>
      </w:pPr>
      <w:r>
        <w:rPr>
          <w:rFonts w:ascii="Times New Roman" w:cs="Times New Roman" w:eastAsia="Times New Roman" w:hAnsi="Times New Roman"/>
          <w:i/>
          <w:iCs/>
          <w:sz w:val="24"/>
          <w:szCs w:val="24"/>
        </w:rPr>
        <w:t xml:space="preserve">The Problem:</w:t>
      </w:r>
      <w:r>
        <w:rPr>
          <w:rFonts w:ascii="Times New Roman" w:cs="Times New Roman" w:eastAsia="Times New Roman" w:hAnsi="Times New Roman"/>
          <w:sz w:val="24"/>
          <w:szCs w:val="24"/>
        </w:rPr>
        <w:t xml:space="preserve"> Three levels. The </w:t>
      </w:r>
      <w:r>
        <w:rPr>
          <w:rFonts w:ascii="Times New Roman" w:cs="Times New Roman" w:eastAsia="Times New Roman" w:hAnsi="Times New Roman"/>
          <w:i/>
          <w:iCs/>
          <w:sz w:val="24"/>
          <w:szCs w:val="24"/>
        </w:rPr>
        <w:t xml:space="preserve">external problem</w:t>
      </w:r>
      <w:r>
        <w:rPr>
          <w:rFonts w:ascii="Times New Roman" w:cs="Times New Roman" w:eastAsia="Times New Roman" w:hAnsi="Times New Roman"/>
          <w:sz w:val="24"/>
          <w:szCs w:val="24"/>
        </w:rPr>
        <w:t xml:space="preserve"> is the harm itself—the coercive-control system, the specific acts of abuse, the measurable damages. The </w:t>
      </w:r>
      <w:r>
        <w:rPr>
          <w:rFonts w:ascii="Times New Roman" w:cs="Times New Roman" w:eastAsia="Times New Roman" w:hAnsi="Times New Roman"/>
          <w:i/>
          <w:iCs/>
          <w:sz w:val="24"/>
          <w:szCs w:val="24"/>
        </w:rPr>
        <w:t xml:space="preserve">internal problem</w:t>
      </w:r>
      <w:r>
        <w:rPr>
          <w:rFonts w:ascii="Times New Roman" w:cs="Times New Roman" w:eastAsia="Times New Roman" w:hAnsi="Times New Roman"/>
          <w:sz w:val="24"/>
          <w:szCs w:val="24"/>
        </w:rPr>
        <w:t xml:space="preserve"> is what the jury feels when confronting the evidence—the cognitive dissonance of learning that a program marketed as therapy was actually a system of control. The </w:t>
      </w:r>
      <w:r>
        <w:rPr>
          <w:rFonts w:ascii="Times New Roman" w:cs="Times New Roman" w:eastAsia="Times New Roman" w:hAnsi="Times New Roman"/>
          <w:i/>
          <w:iCs/>
          <w:sz w:val="24"/>
          <w:szCs w:val="24"/>
        </w:rPr>
        <w:t xml:space="preserve">philosophical problem</w:t>
      </w:r>
      <w:r>
        <w:rPr>
          <w:rFonts w:ascii="Times New Roman" w:cs="Times New Roman" w:eastAsia="Times New Roman" w:hAnsi="Times New Roman"/>
          <w:sz w:val="24"/>
          <w:szCs w:val="24"/>
        </w:rPr>
        <w:t xml:space="preserve"> is the deepest layer: should programs be allowed to market safety while operating systems of coercive control? A jury that sees only the external problem will calculate damages. A jury that sees the philosophical problem will render justice.</w:t>
      </w:r>
    </w:p>
    <w:p>
      <w:pPr>
        <w:spacing w:after="0" w:line="480"/>
        <w:ind w:firstLine="720"/>
      </w:pPr>
      <w:r>
        <w:rPr>
          <w:rFonts w:ascii="Times New Roman" w:cs="Times New Roman" w:eastAsia="Times New Roman" w:hAnsi="Times New Roman"/>
          <w:i/>
          <w:iCs/>
          <w:sz w:val="24"/>
          <w:szCs w:val="24"/>
        </w:rPr>
        <w:t xml:space="preserve">The Guide:</w:t>
      </w:r>
      <w:r>
        <w:rPr>
          <w:rFonts w:ascii="Times New Roman" w:cs="Times New Roman" w:eastAsia="Times New Roman" w:hAnsi="Times New Roman"/>
          <w:sz w:val="24"/>
          <w:szCs w:val="24"/>
        </w:rPr>
        <w:t xml:space="preserve"> You. Not the hero. The guide who has been where the hero is going. You must demonstrate both empathy (you care about what happened) and authority (you know the facts, the law, and the system). Empathy without authority is sentimentality. Authority without empathy is coldness. The guide who combines both is the guide the hero follows.</w:t>
      </w:r>
    </w:p>
    <w:p>
      <w:pPr>
        <w:spacing w:after="0" w:line="480"/>
        <w:ind w:firstLine="720"/>
      </w:pPr>
      <w:r>
        <w:rPr>
          <w:rFonts w:ascii="Times New Roman" w:cs="Times New Roman" w:eastAsia="Times New Roman" w:hAnsi="Times New Roman"/>
          <w:i/>
          <w:iCs/>
          <w:sz w:val="24"/>
          <w:szCs w:val="24"/>
        </w:rPr>
        <w:t xml:space="preserve">The Plan:</w:t>
      </w:r>
      <w:r>
        <w:rPr>
          <w:rFonts w:ascii="Times New Roman" w:cs="Times New Roman" w:eastAsia="Times New Roman" w:hAnsi="Times New Roman"/>
          <w:sz w:val="24"/>
          <w:szCs w:val="24"/>
        </w:rPr>
        <w:t xml:space="preserve"> The verdict form. Not a legal formality but a narrative element—a specific, step-by-step path from injustice to accountability. Each question on the verdict form maps to a moment in the trial. Each box the jury checks is a step in the journey. Structure is comfort. A jury that has a plan feels confident. A jury without one retreats to the smallest number that feels safe.</w:t>
      </w:r>
    </w:p>
    <w:p>
      <w:pPr>
        <w:spacing w:after="0" w:line="480"/>
        <w:ind w:firstLine="720"/>
      </w:pPr>
      <w:r>
        <w:rPr>
          <w:rFonts w:ascii="Times New Roman" w:cs="Times New Roman" w:eastAsia="Times New Roman" w:hAnsi="Times New Roman"/>
          <w:i/>
          <w:iCs/>
          <w:sz w:val="24"/>
          <w:szCs w:val="24"/>
        </w:rPr>
        <w:t xml:space="preserve">The Call to Action:</w:t>
      </w:r>
      <w:r>
        <w:rPr>
          <w:rFonts w:ascii="Times New Roman" w:cs="Times New Roman" w:eastAsia="Times New Roman" w:hAnsi="Times New Roman"/>
          <w:sz w:val="24"/>
          <w:szCs w:val="24"/>
        </w:rPr>
        <w:t xml:space="preserve"> Your closing argument. Ask for courage, not fairness. Because the jury knows that holding a large program accountable is an act that requires something of them. Fairness sounds easy. Courage sounds necessary. Things that sound easy do not produce large verdicts.</w:t>
      </w:r>
    </w:p>
    <w:p>
      <w:pPr>
        <w:spacing w:after="0" w:line="480"/>
        <w:ind w:firstLine="720"/>
      </w:pPr>
      <w:r>
        <w:rPr>
          <w:rFonts w:ascii="Times New Roman" w:cs="Times New Roman" w:eastAsia="Times New Roman" w:hAnsi="Times New Roman"/>
          <w:i/>
          <w:iCs/>
          <w:sz w:val="24"/>
          <w:szCs w:val="24"/>
        </w:rPr>
        <w:t xml:space="preserve">Failure:</w:t>
      </w:r>
      <w:r>
        <w:rPr>
          <w:rFonts w:ascii="Times New Roman" w:cs="Times New Roman" w:eastAsia="Times New Roman" w:hAnsi="Times New Roman"/>
          <w:sz w:val="24"/>
          <w:szCs w:val="24"/>
        </w:rPr>
        <w:t xml:space="preserve"> What happens if the jury does not act. The program continues to operate the same system. Other children enter the same machinery. The silence that protected the program continues. Paint this picture without melodrama. The facts are enough.</w:t>
      </w:r>
    </w:p>
    <w:p>
      <w:pPr>
        <w:spacing w:after="0" w:line="480"/>
        <w:ind w:firstLine="720"/>
      </w:pPr>
      <w:r>
        <w:rPr>
          <w:rFonts w:ascii="Times New Roman" w:cs="Times New Roman" w:eastAsia="Times New Roman" w:hAnsi="Times New Roman"/>
          <w:i/>
          <w:iCs/>
          <w:sz w:val="24"/>
          <w:szCs w:val="24"/>
        </w:rPr>
        <w:t xml:space="preserve">Success:</w:t>
      </w:r>
      <w:r>
        <w:rPr>
          <w:rFonts w:ascii="Times New Roman" w:cs="Times New Roman" w:eastAsia="Times New Roman" w:hAnsi="Times New Roman"/>
          <w:sz w:val="24"/>
          <w:szCs w:val="24"/>
        </w:rPr>
        <w:t xml:space="preserve"> What the verdict means beyond the dollar amount. Accountability. The message that coercive systems will be exposed, that children's suffering is taken seriously, that the legal system works because twelve people had the courage to make it work. Paint success in terms of the jury's identity—the identity you helped them build during voir dire.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Identifying and Building the TTI Villain</w:t>
      </w:r>
    </w:p>
    <w:p>
      <w:pPr>
        <w:spacing w:after="0" w:line="480"/>
      </w:pPr>
    </w:p>
    <w:p>
      <w:pPr>
        <w:spacing w:after="0" w:line="480"/>
      </w:pPr>
      <w:r>
        <w:rPr>
          <w:rFonts w:ascii="Times New Roman" w:cs="Times New Roman" w:eastAsia="Times New Roman" w:hAnsi="Times New Roman"/>
          <w:sz w:val="24"/>
          <w:szCs w:val="24"/>
        </w:rPr>
        <w:t xml:space="preserve">In most personal injury cases, the defendant is not a villain. The grocery store did not intend for the floor to be wet. The doctor did not mean to nick the artery. Casting these defendants as villains feels forced because it is forced—and juries sense the stretch.</w:t>
      </w:r>
    </w:p>
    <w:p>
      <w:pPr>
        <w:spacing w:after="0" w:line="480"/>
        <w:ind w:firstLine="720"/>
      </w:pPr>
      <w:r>
        <w:rPr>
          <w:rFonts w:ascii="Times New Roman" w:cs="Times New Roman" w:eastAsia="Times New Roman" w:hAnsi="Times New Roman"/>
          <w:sz w:val="24"/>
          <w:szCs w:val="24"/>
        </w:rPr>
        <w:t xml:space="preserve">TTI cases are fundamentally different. The program is a genuine villain. Not because it was careless. Because it was systematic. The program designed a system of control. It recruited vulnerable children into that system through sophisticated marketing to desperate parents. It isolated them. It controlled their information, their communication, their ability to leave. It suppressed complaints. It marketed therapy while operating coercion. And it profited from the entire arrangement. This is not negligence. This is a business model built on the exploitation of parental desperation and child vulnerability.</w:t>
      </w:r>
    </w:p>
    <w:p>
      <w:pPr>
        <w:spacing w:after="0" w:before="240" w:line="480"/>
      </w:pPr>
      <w:r>
        <w:rPr>
          <w:rFonts w:ascii="Times New Roman" w:cs="Times New Roman" w:eastAsia="Times New Roman" w:hAnsi="Times New Roman"/>
          <w:b/>
          <w:bCs/>
          <w:i/>
          <w:iCs/>
          <w:sz w:val="24"/>
          <w:szCs w:val="24"/>
        </w:rPr>
        <w:t xml:space="preserve">The Villain Is the System, Not the Person</w:t>
      </w:r>
    </w:p>
    <w:p>
      <w:pPr>
        <w:spacing w:after="0" w:line="480"/>
        <w:ind w:firstLine="720"/>
      </w:pPr>
      <w:r>
        <w:rPr>
          <w:rFonts w:ascii="Times New Roman" w:cs="Times New Roman" w:eastAsia="Times New Roman" w:hAnsi="Times New Roman"/>
          <w:sz w:val="24"/>
          <w:szCs w:val="24"/>
        </w:rPr>
        <w:t xml:space="preserve">The defense will always try to reduce the case to individual misconduct: one bad staff member, one isolated incident, one unfortunate outcome. If the jury accepts this frame, the program escapes systemic accountability. Your villain must be the system itself. Not the night-shift counselor who applied the restraint. The villain is the institutional system that hired untrained staff, taught them coercive techniques, incentivized compliance over safety, provided no meaningful oversight, and created the conditions that made the specific harm inevitable. The individual is the symptom. The system is the disease.</w:t>
      </w:r>
    </w:p>
    <w:p>
      <w:pPr>
        <w:spacing w:after="0" w:before="240" w:line="480"/>
      </w:pPr>
      <w:r>
        <w:rPr>
          <w:rFonts w:ascii="Times New Roman" w:cs="Times New Roman" w:eastAsia="Times New Roman" w:hAnsi="Times New Roman"/>
          <w:b/>
          <w:bCs/>
          <w:i/>
          <w:iCs/>
          <w:sz w:val="24"/>
          <w:szCs w:val="24"/>
        </w:rPr>
        <w:t xml:space="preserve">Giving the Villain a Face</w:t>
      </w:r>
    </w:p>
    <w:p>
      <w:pPr>
        <w:spacing w:after="0" w:line="480"/>
        <w:ind w:firstLine="720"/>
      </w:pPr>
      <w:r>
        <w:rPr>
          <w:rFonts w:ascii="Times New Roman" w:cs="Times New Roman" w:eastAsia="Times New Roman" w:hAnsi="Times New Roman"/>
          <w:sz w:val="24"/>
          <w:szCs w:val="24"/>
        </w:rPr>
        <w:t xml:space="preserve">Even though the villain is the system, the system must have a human face. Juries cannot direct outrage at an organizational chart. In TTI cases, this avatar is typically the program director, the corporate owner, or the executive who built the level system, who authorized isolation and restraint as behavioral tools, who set the marketing strategy, and who profited while children suffered. The entity map from Chapter 10 identifies this person. The corporate representative deposition reveals what they knew. Put this person on the stand and let the jury watch the person who ran the system try to explain why it was acceptable.</w:t>
      </w:r>
    </w:p>
    <w:p>
      <w:pPr>
        <w:spacing w:after="0" w:before="240" w:line="480"/>
      </w:pPr>
      <w:r>
        <w:rPr>
          <w:rFonts w:ascii="Times New Roman" w:cs="Times New Roman" w:eastAsia="Times New Roman" w:hAnsi="Times New Roman"/>
          <w:b/>
          <w:bCs/>
          <w:i/>
          <w:iCs/>
          <w:sz w:val="24"/>
          <w:szCs w:val="24"/>
        </w:rPr>
        <w:t xml:space="preserve">The Villain's Mask</w:t>
      </w:r>
    </w:p>
    <w:p>
      <w:pPr>
        <w:spacing w:after="0" w:line="480"/>
        <w:ind w:firstLine="720"/>
      </w:pPr>
      <w:r>
        <w:rPr>
          <w:rFonts w:ascii="Times New Roman" w:cs="Times New Roman" w:eastAsia="Times New Roman" w:hAnsi="Times New Roman"/>
          <w:sz w:val="24"/>
          <w:szCs w:val="24"/>
        </w:rPr>
        <w:t xml:space="preserve">Every TTI villain has a mask—the glossy brochure, the accreditation certificate, the parent testimonials, the website promising "individualized clinical care" and "evidence-based treatment." The mask is what the program showed the world. The trial is where you remove it. Structure your case-in-chief as a progressive unmasking: marketing materials beside internal documents, public promises alongside incident reports, accreditation filings next to survivor testimony. Each piece of evidence is a layer removed. By the time you rest your case, the mask is gone, and the jury is looking at the system as it actually operated.</w:t>
      </w:r>
    </w:p>
    <w:p>
      <w:pPr>
        <w:spacing w:after="0" w:line="480"/>
        <w:ind w:firstLine="720"/>
      </w:pPr>
      <w:r>
        <w:rPr>
          <w:rFonts w:ascii="Times New Roman" w:cs="Times New Roman" w:eastAsia="Times New Roman" w:hAnsi="Times New Roman"/>
          <w:sz w:val="24"/>
          <w:szCs w:val="24"/>
        </w:rPr>
        <w:t xml:space="preserve">The unmasking activates something deeper than sympathy or outrage. It activates </w:t>
      </w:r>
      <w:r>
        <w:rPr>
          <w:rFonts w:ascii="Times New Roman" w:cs="Times New Roman" w:eastAsia="Times New Roman" w:hAnsi="Times New Roman"/>
          <w:i/>
          <w:iCs/>
          <w:sz w:val="24"/>
          <w:szCs w:val="24"/>
        </w:rPr>
        <w:t xml:space="preserve">betrayal</w:t>
      </w:r>
      <w:r>
        <w:rPr>
          <w:rFonts w:ascii="Times New Roman" w:cs="Times New Roman" w:eastAsia="Times New Roman" w:hAnsi="Times New Roman"/>
          <w:sz w:val="24"/>
          <w:szCs w:val="24"/>
        </w:rPr>
        <w:t xml:space="preserve">. The jury trusted that licensed programs were safe, that accredited facilities were monitored. The evidence showed them otherwise. A jury that feels betrayed by an institution does not render cautious verdicts.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Villain Reveal: A Five-Movement Voir Dire Framework</w:t>
      </w:r>
    </w:p>
    <w:p>
      <w:pPr>
        <w:spacing w:after="0" w:line="480"/>
      </w:pPr>
    </w:p>
    <w:p>
      <w:pPr>
        <w:spacing w:after="0" w:line="480"/>
      </w:pPr>
      <w:r>
        <w:rPr>
          <w:rFonts w:ascii="Times New Roman" w:cs="Times New Roman" w:eastAsia="Times New Roman" w:hAnsi="Times New Roman"/>
          <w:sz w:val="24"/>
          <w:szCs w:val="24"/>
        </w:rPr>
        <w:t xml:space="preserve">This framework transforms a room of skeptical strangers into a moral body capable of seeing through institutional facades. It is not a forty-five-minute processing exercise. It is five movements, each with a specific psychological objective, designed to be dynamic enough that the jury never feels processed, lectured, or manipulated.</w:t>
      </w:r>
    </w:p>
    <w:p>
      <w:pPr>
        <w:spacing w:after="0" w:before="240" w:line="480"/>
      </w:pPr>
      <w:r>
        <w:rPr>
          <w:rFonts w:ascii="Times New Roman" w:cs="Times New Roman" w:eastAsia="Times New Roman" w:hAnsi="Times New Roman"/>
          <w:b/>
          <w:bCs/>
          <w:i/>
          <w:iCs/>
          <w:sz w:val="24"/>
          <w:szCs w:val="24"/>
        </w:rPr>
        <w:t xml:space="preserve">Movement I: The Pattern Interrupt (Two to Four Minutes)</w:t>
      </w:r>
    </w:p>
    <w:p>
      <w:pPr>
        <w:spacing w:after="0" w:line="480"/>
        <w:ind w:firstLine="720"/>
      </w:pPr>
      <w:r>
        <w:rPr>
          <w:rFonts w:ascii="Times New Roman" w:cs="Times New Roman" w:eastAsia="Times New Roman" w:hAnsi="Times New Roman"/>
          <w:sz w:val="24"/>
          <w:szCs w:val="24"/>
        </w:rPr>
        <w:t xml:space="preserve">Do not begin with a question about fairness. Begin with something real. The most effective pattern interrupt is a brief, authentic, first-person observation that signals you are a human being, not a lawyer running a script: "Before we start, I want to tell you something. I've been preparing for this case for [months/years], and there are parts of it that still keep me up at night. Not because of the legal issues. Because of what happened to a real person inside a program that was supposed to be helping them." This is Trial by Human applied to voir dire. If you are genuinely affected by the case, let the jury see it from the first moment. The pattern interrupt creates curiosity: what could be so bad that it keeps a lawyer up at night? That curiosity is the crack in the wall. Everything that follows enters through it.</w:t>
      </w:r>
    </w:p>
    <w:p>
      <w:pPr>
        <w:spacing w:after="0" w:before="240" w:line="480"/>
      </w:pPr>
      <w:r>
        <w:rPr>
          <w:rFonts w:ascii="Times New Roman" w:cs="Times New Roman" w:eastAsia="Times New Roman" w:hAnsi="Times New Roman"/>
          <w:b/>
          <w:bCs/>
          <w:i/>
          <w:iCs/>
          <w:sz w:val="24"/>
          <w:szCs w:val="24"/>
        </w:rPr>
        <w:t xml:space="preserve">Movement II: The Permission and Mirror (Five to Eight Minutes)</w:t>
      </w:r>
    </w:p>
    <w:p>
      <w:pPr>
        <w:spacing w:after="0" w:line="480"/>
        <w:ind w:firstLine="720"/>
      </w:pPr>
      <w:r>
        <w:rPr>
          <w:rFonts w:ascii="Times New Roman" w:cs="Times New Roman" w:eastAsia="Times New Roman" w:hAnsi="Times New Roman"/>
          <w:sz w:val="24"/>
          <w:szCs w:val="24"/>
        </w:rPr>
        <w:t xml:space="preserve">Give jurors permission to be honest and surface the specific biases that will destroy your case. In TTI cases, five biases matter: the belief that people who sue want money; the belief that programs are generally trustworthy; the belief that the child was probably already troubled; the belief that invisible injuries are exaggerated; and the belief that people who stayed in a bad situation chose to stay. Name each bias without judgment, normalize it, and explore whether the juror can set it aside. A juror who has spoken their bias aloud has externalized it—and an externalized bias is one the juror can examine rather than one that silently controls their deliberation.</w:t>
      </w:r>
    </w:p>
    <w:p>
      <w:pPr>
        <w:spacing w:after="0" w:before="240" w:line="480"/>
      </w:pPr>
      <w:r>
        <w:rPr>
          <w:rFonts w:ascii="Times New Roman" w:cs="Times New Roman" w:eastAsia="Times New Roman" w:hAnsi="Times New Roman"/>
          <w:b/>
          <w:bCs/>
          <w:i/>
          <w:iCs/>
          <w:sz w:val="24"/>
          <w:szCs w:val="24"/>
        </w:rPr>
        <w:t xml:space="preserve">Movement III: The World-Building (Eight to Twelve Minutes)</w:t>
      </w:r>
    </w:p>
    <w:p>
      <w:pPr>
        <w:spacing w:after="0" w:line="480"/>
        <w:ind w:firstLine="720"/>
      </w:pPr>
      <w:r>
        <w:rPr>
          <w:rFonts w:ascii="Times New Roman" w:cs="Times New Roman" w:eastAsia="Times New Roman" w:hAnsi="Times New Roman"/>
          <w:sz w:val="24"/>
          <w:szCs w:val="24"/>
        </w:rPr>
        <w:t xml:space="preserve">This is the centerpiece. You cannot argue the case during voir dire. But you can build the world in which the villain operates—a world the jury did not know existed. The questions are a progressive unveiling: "Do you believe it is possible for an organization—not one bad employee, but the organization itself—to cause harm through the way it operates?" "Do you believe a program that markets itself as helping children could be designed in a way that actually harms the children it claims to serve?" "Has anyone here trusted an institution with someone they loved and later discovered it was not what it appeared to be?" "Do you believe it is possible to be trapped—not by locked doors, but by a system that controls where you go, who you talk to, and what information you receive?"</w:t>
      </w:r>
    </w:p>
    <w:p>
      <w:pPr>
        <w:spacing w:after="0" w:line="480"/>
        <w:ind w:firstLine="720"/>
      </w:pPr>
      <w:r>
        <w:rPr>
          <w:rFonts w:ascii="Times New Roman" w:cs="Times New Roman" w:eastAsia="Times New Roman" w:hAnsi="Times New Roman"/>
          <w:sz w:val="24"/>
          <w:szCs w:val="24"/>
        </w:rPr>
        <w:t xml:space="preserve">Notice what has happened. You have not mentioned the defendant. You have not described the plaintiff's experience. You have built a world in which programs can exploit vulnerability, trust can be weaponized, and systems can trap children without physical force. The jury has entered that world through their own answers. They built it themselves. And a world that people build themselves is a world they believe in.</w:t>
      </w:r>
    </w:p>
    <w:p>
      <w:pPr>
        <w:spacing w:after="0" w:before="240" w:line="480"/>
      </w:pPr>
      <w:r>
        <w:rPr>
          <w:rFonts w:ascii="Times New Roman" w:cs="Times New Roman" w:eastAsia="Times New Roman" w:hAnsi="Times New Roman"/>
          <w:b/>
          <w:bCs/>
          <w:i/>
          <w:iCs/>
          <w:sz w:val="24"/>
          <w:szCs w:val="24"/>
        </w:rPr>
        <w:t xml:space="preserve">Movement IV: The Awakening (Five to Seven Minutes)</w:t>
      </w:r>
    </w:p>
    <w:p>
      <w:pPr>
        <w:spacing w:after="0" w:line="480"/>
        <w:ind w:firstLine="720"/>
      </w:pPr>
      <w:r>
        <w:rPr>
          <w:rFonts w:ascii="Times New Roman" w:cs="Times New Roman" w:eastAsia="Times New Roman" w:hAnsi="Times New Roman"/>
          <w:sz w:val="24"/>
          <w:szCs w:val="24"/>
        </w:rPr>
        <w:t xml:space="preserve">Help jurors see the cultural conditioning that would otherwise prevent them from evaluating the evidence fairly. Every TTI program depends on a cultural assumption: that licensed treatment programs are regulated and safe, that professionals know best, that tough love works. The Awakening asks jurors to see this architecture: "Have you ever learned something about an organization you trusted that completely changed how you saw it?" "Do you believe that the way a program markets itself is always an accurate reflection of how it operates?" The Awakening transforms jurors from consumers of institutional reputation into investigators of institutional reality. A juror who sees themselves as someone who can see through facades will work hard to prove it during deliberation.</w:t>
      </w:r>
    </w:p>
    <w:p>
      <w:pPr>
        <w:spacing w:after="0" w:before="240" w:line="480"/>
      </w:pPr>
      <w:r>
        <w:rPr>
          <w:rFonts w:ascii="Times New Roman" w:cs="Times New Roman" w:eastAsia="Times New Roman" w:hAnsi="Times New Roman"/>
          <w:b/>
          <w:bCs/>
          <w:i/>
          <w:iCs/>
          <w:sz w:val="24"/>
          <w:szCs w:val="24"/>
        </w:rPr>
        <w:t xml:space="preserve">Movement V: The Commission (Five to Eight Minutes)</w:t>
      </w:r>
    </w:p>
    <w:p>
      <w:pPr>
        <w:spacing w:after="0" w:line="480"/>
        <w:ind w:firstLine="720"/>
      </w:pPr>
      <w:r>
        <w:rPr>
          <w:rFonts w:ascii="Times New Roman" w:cs="Times New Roman" w:eastAsia="Times New Roman" w:hAnsi="Times New Roman"/>
          <w:sz w:val="24"/>
          <w:szCs w:val="24"/>
        </w:rPr>
        <w:t xml:space="preserve">Transform the jury from passive evaluators into active agents of accountability. First, address money: "The only tool our legal system gives a jury to hold a program accountable is money. There is no other remedy. You cannot order them to apologize. You cannot order them to change. The only power you have is a verdict that measures the harm. Can you use that tool?" Then the commission itself: "If the evidence shows that a program trusted to care for children instead operated a system that harmed them—and that it concealed what it was doing—do you have the courage to hold them accountable, even if the number is large?" Notice the word </w:t>
      </w:r>
      <w:r>
        <w:rPr>
          <w:rFonts w:ascii="Times New Roman" w:cs="Times New Roman" w:eastAsia="Times New Roman" w:hAnsi="Times New Roman"/>
          <w:i/>
          <w:iCs/>
          <w:sz w:val="24"/>
          <w:szCs w:val="24"/>
        </w:rPr>
        <w:t xml:space="preserve">courage</w:t>
      </w:r>
      <w:r>
        <w:rPr>
          <w:rFonts w:ascii="Times New Roman" w:cs="Times New Roman" w:eastAsia="Times New Roman" w:hAnsi="Times New Roman"/>
          <w:sz w:val="24"/>
          <w:szCs w:val="24"/>
        </w:rPr>
        <w:t xml:space="preserve">. Not fairness. Not duty. Courage. A juror who has been asked for courage will carry that question into deliberation as a test of their own character.</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Extending Authenticity to Every Witness</w:t>
      </w:r>
    </w:p>
    <w:p>
      <w:pPr>
        <w:spacing w:after="0" w:line="480"/>
      </w:pPr>
    </w:p>
    <w:p>
      <w:pPr>
        <w:spacing w:after="0" w:before="240" w:line="480"/>
      </w:pPr>
      <w:r>
        <w:rPr>
          <w:rFonts w:ascii="Times New Roman" w:cs="Times New Roman" w:eastAsia="Times New Roman" w:hAnsi="Times New Roman"/>
          <w:b/>
          <w:bCs/>
          <w:i/>
          <w:iCs/>
          <w:sz w:val="24"/>
          <w:szCs w:val="24"/>
        </w:rPr>
        <w:t xml:space="preserve">Family Members</w:t>
      </w:r>
    </w:p>
    <w:p>
      <w:pPr>
        <w:spacing w:after="0" w:line="480"/>
      </w:pPr>
      <w:r>
        <w:rPr>
          <w:rFonts w:ascii="Times New Roman" w:cs="Times New Roman" w:eastAsia="Times New Roman" w:hAnsi="Times New Roman"/>
          <w:sz w:val="24"/>
          <w:szCs w:val="24"/>
        </w:rPr>
        <w:t xml:space="preserve">Parents carry their own trauma: the guilt of having placed their child in the program, the confusion of having been deceived, the grief of seeing their child transformed by the institutional experience. Do not coach them into clinical language. Let them speak as parents. A mother who says "I sent my daughter to that place because they told me it would save her life, and what they sent back was not my daughter" is more powerful than any expert opinion on C-PTSD. The jury is not evaluating her expertise. They are evaluating her pain.</w:t>
      </w:r>
    </w:p>
    <w:p>
      <w:pPr>
        <w:spacing w:after="0" w:before="240" w:line="480"/>
      </w:pPr>
      <w:r>
        <w:rPr>
          <w:rFonts w:ascii="Times New Roman" w:cs="Times New Roman" w:eastAsia="Times New Roman" w:hAnsi="Times New Roman"/>
          <w:b/>
          <w:bCs/>
          <w:i/>
          <w:iCs/>
          <w:sz w:val="24"/>
          <w:szCs w:val="24"/>
        </w:rPr>
        <w:t xml:space="preserve">Former Staff</w:t>
      </w:r>
    </w:p>
    <w:p>
      <w:pPr>
        <w:spacing w:after="0" w:line="480"/>
        <w:ind w:firstLine="720"/>
      </w:pPr>
      <w:r>
        <w:rPr>
          <w:rFonts w:ascii="Times New Roman" w:cs="Times New Roman" w:eastAsia="Times New Roman" w:hAnsi="Times New Roman"/>
          <w:sz w:val="24"/>
          <w:szCs w:val="24"/>
        </w:rPr>
        <w:t xml:space="preserve">Former employees who left because they could not tolerate what they saw are among the most credible witnesses in TTI litigation. Their testimony carries insider knowledge and the moral authority of someone who chose to walk away. Let them tell the story of what they saw in their own words, describe the moment they knew something was wrong, and explain why they left. The jury sees a person who had a conscience in a system designed to suppress conscience.</w:t>
      </w:r>
    </w:p>
    <w:p>
      <w:pPr>
        <w:spacing w:after="0" w:before="240" w:line="480"/>
      </w:pPr>
      <w:r>
        <w:rPr>
          <w:rFonts w:ascii="Times New Roman" w:cs="Times New Roman" w:eastAsia="Times New Roman" w:hAnsi="Times New Roman"/>
          <w:b/>
          <w:bCs/>
          <w:i/>
          <w:iCs/>
          <w:sz w:val="24"/>
          <w:szCs w:val="24"/>
        </w:rPr>
        <w:t xml:space="preserve">Regulatory Whistleblowers</w:t>
      </w:r>
    </w:p>
    <w:p>
      <w:pPr>
        <w:spacing w:after="0" w:line="480"/>
        <w:ind w:firstLine="720"/>
      </w:pPr>
      <w:r>
        <w:rPr>
          <w:rFonts w:ascii="Times New Roman" w:cs="Times New Roman" w:eastAsia="Times New Roman" w:hAnsi="Times New Roman"/>
          <w:sz w:val="24"/>
          <w:szCs w:val="24"/>
        </w:rPr>
        <w:t xml:space="preserve">Licensing inspectors or former regulators who tried to raise alarms carry institutional authority. When they testify about what they found, what they reported, and what happened when they reported it—typically nothing—the jury sees the failure of the safety net. That failure reinforces the Reptile frame from Chapter 15: the jury is the last line of defense.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Reading the Room: The Unseen Hinges</w:t>
      </w:r>
    </w:p>
    <w:p>
      <w:pPr>
        <w:spacing w:after="0" w:line="480"/>
      </w:pPr>
    </w:p>
    <w:p>
      <w:pPr>
        <w:spacing w:after="0" w:line="480"/>
      </w:pPr>
      <w:r>
        <w:rPr>
          <w:rFonts w:ascii="Times New Roman" w:cs="Times New Roman" w:eastAsia="Times New Roman" w:hAnsi="Times New Roman"/>
          <w:sz w:val="24"/>
          <w:szCs w:val="24"/>
        </w:rPr>
        <w:t xml:space="preserve">Trial by Human requires you to be present in a way that most trial techniques do not demand. You must read the jury constantly throughout the trial, not just during voir dire.</w:t>
      </w:r>
    </w:p>
    <w:p>
      <w:pPr>
        <w:spacing w:after="0" w:line="480"/>
        <w:ind w:firstLine="720"/>
      </w:pPr>
      <w:r>
        <w:rPr>
          <w:rFonts w:ascii="Times New Roman" w:cs="Times New Roman" w:eastAsia="Times New Roman" w:hAnsi="Times New Roman"/>
          <w:sz w:val="24"/>
          <w:szCs w:val="24"/>
        </w:rPr>
        <w:t xml:space="preserve">Watch their faces during testimony. A juror who looks away is processing something uncomfortable. A juror who leans forward is engaged. A juror who crosses their arms is resisting. These signals are data, and they should inform your next move.</w:t>
      </w:r>
    </w:p>
    <w:p>
      <w:pPr>
        <w:spacing w:after="0" w:line="480"/>
        <w:ind w:firstLine="720"/>
      </w:pPr>
      <w:r>
        <w:rPr>
          <w:rFonts w:ascii="Times New Roman" w:cs="Times New Roman" w:eastAsia="Times New Roman" w:hAnsi="Times New Roman"/>
          <w:sz w:val="24"/>
          <w:szCs w:val="24"/>
        </w:rPr>
        <w:t xml:space="preserve">Watch the witness. Survivors carry their trauma in their bodies. A client who begins speaking more quickly is escalating toward a trauma response. A client whose voice goes flat is dissociating. A client who starts fidgeting is trying to stay present. You cannot help the witness if you are looking at your notes. When you see the signs, respond: slow the pace, ask a grounding question, offer a pause. The jury sees you taking care of the witness, and that care tells them something about you and something about what happened to this person.</w:t>
      </w:r>
    </w:p>
    <w:p>
      <w:pPr>
        <w:spacing w:after="0" w:line="480"/>
        <w:ind w:firstLine="720"/>
      </w:pPr>
      <w:r>
        <w:rPr>
          <w:rFonts w:ascii="Times New Roman" w:cs="Times New Roman" w:eastAsia="Times New Roman" w:hAnsi="Times New Roman"/>
          <w:sz w:val="24"/>
          <w:szCs w:val="24"/>
        </w:rPr>
        <w:t xml:space="preserve">Watch the defense. If they object more during a particular line of testimony, that testimony is landing. If they lean back and appear unconcerned, they may be performing nonchalance because the testimony is devastating. Read the room, and adjust.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Layering the Methods: Rules, Reptile, Trial by Human, and StoryBrand</w:t>
      </w:r>
    </w:p>
    <w:p>
      <w:pPr>
        <w:spacing w:after="0" w:line="480"/>
      </w:pPr>
    </w:p>
    <w:p>
      <w:pPr>
        <w:spacing w:after="0" w:line="480"/>
      </w:pPr>
      <w:r>
        <w:rPr>
          <w:rFonts w:ascii="Times New Roman" w:cs="Times New Roman" w:eastAsia="Times New Roman" w:hAnsi="Times New Roman"/>
          <w:sz w:val="24"/>
          <w:szCs w:val="24"/>
        </w:rPr>
        <w:t xml:space="preserve">In most TTI trials, no single method operates alone. The four frameworks work in concert, each doing what it does best.</w:t>
      </w:r>
    </w:p>
    <w:p>
      <w:pPr>
        <w:spacing w:after="0" w:line="480"/>
        <w:ind w:firstLine="720"/>
      </w:pPr>
      <w:r>
        <w:rPr>
          <w:rFonts w:ascii="Times New Roman" w:cs="Times New Roman" w:eastAsia="Times New Roman" w:hAnsi="Times New Roman"/>
          <w:i/>
          <w:iCs/>
          <w:sz w:val="24"/>
          <w:szCs w:val="24"/>
        </w:rPr>
        <w:t xml:space="preserve">Rules of the Road</w:t>
      </w:r>
      <w:r>
        <w:rPr>
          <w:rFonts w:ascii="Times New Roman" w:cs="Times New Roman" w:eastAsia="Times New Roman" w:hAnsi="Times New Roman"/>
          <w:sz w:val="24"/>
          <w:szCs w:val="24"/>
        </w:rPr>
        <w:t xml:space="preserve"> provides the intellectual structure. The jury needs to know what the program should have done. Rules gives them objective standards against which to judge the program's conduct.</w:t>
      </w:r>
    </w:p>
    <w:p>
      <w:pPr>
        <w:spacing w:after="0" w:line="480"/>
        <w:ind w:firstLine="720"/>
      </w:pPr>
      <w:r>
        <w:rPr>
          <w:rFonts w:ascii="Times New Roman" w:cs="Times New Roman" w:eastAsia="Times New Roman" w:hAnsi="Times New Roman"/>
          <w:i/>
          <w:iCs/>
          <w:sz w:val="24"/>
          <w:szCs w:val="24"/>
        </w:rPr>
        <w:t xml:space="preserve">Reptile</w:t>
      </w:r>
      <w:r>
        <w:rPr>
          <w:rFonts w:ascii="Times New Roman" w:cs="Times New Roman" w:eastAsia="Times New Roman" w:hAnsi="Times New Roman"/>
          <w:sz w:val="24"/>
          <w:szCs w:val="24"/>
        </w:rPr>
        <w:t xml:space="preserve"> provides the motivation. The jury needs to know why their verdict matters beyond this case. Reptile activates the survival instinct that transforms a historical dispute into a community-safety decision.</w:t>
      </w:r>
    </w:p>
    <w:p>
      <w:pPr>
        <w:spacing w:after="0" w:line="480"/>
        <w:ind w:firstLine="720"/>
      </w:pPr>
      <w:r>
        <w:rPr>
          <w:rFonts w:ascii="Times New Roman" w:cs="Times New Roman" w:eastAsia="Times New Roman" w:hAnsi="Times New Roman"/>
          <w:i/>
          <w:iCs/>
          <w:sz w:val="24"/>
          <w:szCs w:val="24"/>
        </w:rPr>
        <w:t xml:space="preserve">Trial by Human</w:t>
      </w:r>
      <w:r>
        <w:rPr>
          <w:rFonts w:ascii="Times New Roman" w:cs="Times New Roman" w:eastAsia="Times New Roman" w:hAnsi="Times New Roman"/>
          <w:sz w:val="24"/>
          <w:szCs w:val="24"/>
        </w:rPr>
        <w:t xml:space="preserve"> provides the emotional truth. The jury needs to </w:t>
      </w:r>
      <w:r>
        <w:rPr>
          <w:rFonts w:ascii="Times New Roman" w:cs="Times New Roman" w:eastAsia="Times New Roman" w:hAnsi="Times New Roman"/>
          <w:i/>
          <w:iCs/>
          <w:sz w:val="24"/>
          <w:szCs w:val="24"/>
        </w:rPr>
        <w:t xml:space="preserve">feel</w:t>
      </w:r>
      <w:r>
        <w:rPr>
          <w:rFonts w:ascii="Times New Roman" w:cs="Times New Roman" w:eastAsia="Times New Roman" w:hAnsi="Times New Roman"/>
          <w:sz w:val="24"/>
          <w:szCs w:val="24"/>
        </w:rPr>
        <w:t xml:space="preserve"> what happened. Not understand it abstractly. Feel it. Trial by Human puts them in the room with the survivor and lets the raw human experience do its work.</w:t>
      </w:r>
    </w:p>
    <w:p>
      <w:pPr>
        <w:spacing w:after="0" w:line="480"/>
        <w:ind w:firstLine="720"/>
      </w:pPr>
      <w:r>
        <w:rPr>
          <w:rFonts w:ascii="Times New Roman" w:cs="Times New Roman" w:eastAsia="Times New Roman" w:hAnsi="Times New Roman"/>
          <w:i/>
          <w:iCs/>
          <w:sz w:val="24"/>
          <w:szCs w:val="24"/>
        </w:rPr>
        <w:t xml:space="preserve">StoryBrand</w:t>
      </w:r>
      <w:r>
        <w:rPr>
          <w:rFonts w:ascii="Times New Roman" w:cs="Times New Roman" w:eastAsia="Times New Roman" w:hAnsi="Times New Roman"/>
          <w:sz w:val="24"/>
          <w:szCs w:val="24"/>
        </w:rPr>
        <w:t xml:space="preserve"> provides the narrative architecture. The jury needs to know who the characters are, what their roles are, and what they are being asked to do. StoryBrand casts the jury as the hero, you as the guide, and the program's system as the villain, giving the trial a coherent narrative arc from voir dire through verdict.</w:t>
      </w:r>
    </w:p>
    <w:p>
      <w:pPr>
        <w:spacing w:after="0" w:line="480"/>
        <w:ind w:firstLine="720"/>
      </w:pPr>
      <w:r>
        <w:rPr>
          <w:rFonts w:ascii="Times New Roman" w:cs="Times New Roman" w:eastAsia="Times New Roman" w:hAnsi="Times New Roman"/>
          <w:sz w:val="24"/>
          <w:szCs w:val="24"/>
        </w:rPr>
        <w:t xml:space="preserve">The sequence matters. Rules establishes the framework early—in voir dire and opening. Reptile sustains the motivation throughout—in cross-examination and closing. Trial by Human carries the emotional core—in the survivor's testimony, in the family's testimony, and in the quiet moments when the courtroom falls silent because someone just said something true. StoryBrand structures the entire trial as a hero's journey, from the ordinary world of voir dire through the road of trials in your case-in-chief to the return with the elixir in closing argument. The trial should build toward the moment the survivor tells the jury what happened, in their own words, without filters. That is when the case is won or lost. Trust that moment. Prepare for it. Protect it. And then let it happen.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Closing Argument Blueprint: The Human Moment</w:t>
      </w:r>
    </w:p>
    <w:p>
      <w:pPr>
        <w:spacing w:after="0" w:line="480"/>
      </w:pPr>
    </w:p>
    <w:p>
      <w:pPr>
        <w:spacing w:after="0" w:line="480"/>
      </w:pPr>
      <w:r>
        <w:rPr>
          <w:rFonts w:ascii="Times New Roman" w:cs="Times New Roman" w:eastAsia="Times New Roman" w:hAnsi="Times New Roman"/>
          <w:sz w:val="24"/>
          <w:szCs w:val="24"/>
        </w:rPr>
        <w:t xml:space="preserve">This closing framework centers the verdict on the jury's connection to the survivor.</w:t>
      </w:r>
    </w:p>
    <w:p>
      <w:pPr>
        <w:spacing w:after="0" w:line="480"/>
        <w:ind w:firstLine="720"/>
      </w:pPr>
      <w:r>
        <w:rPr>
          <w:rFonts w:ascii="Times New Roman" w:cs="Times New Roman" w:eastAsia="Times New Roman" w:hAnsi="Times New Roman"/>
          <w:i/>
          <w:iCs/>
          <w:sz w:val="24"/>
          <w:szCs w:val="24"/>
        </w:rPr>
        <w:t xml:space="preserve">The moment:</w:t>
      </w:r>
      <w:r>
        <w:rPr>
          <w:rFonts w:ascii="Times New Roman" w:cs="Times New Roman" w:eastAsia="Times New Roman" w:hAnsi="Times New Roman"/>
          <w:sz w:val="24"/>
          <w:szCs w:val="24"/>
        </w:rPr>
        <w:t xml:space="preserve"> "There was a moment in this trial when [client] sat in that chair and told you what happened. You heard it. You saw it. You felt it. That moment was the truth. Everything else—the documents, the experts, the cross-examination—confirmed it. But you already knew. You knew because you saw a human being telling the truth about something that should never have happened."</w:t>
      </w:r>
    </w:p>
    <w:p>
      <w:pPr>
        <w:spacing w:after="0" w:line="480"/>
        <w:ind w:firstLine="720"/>
      </w:pPr>
      <w:r>
        <w:rPr>
          <w:rFonts w:ascii="Times New Roman" w:cs="Times New Roman" w:eastAsia="Times New Roman" w:hAnsi="Times New Roman"/>
          <w:i/>
          <w:iCs/>
          <w:sz w:val="24"/>
          <w:szCs w:val="24"/>
        </w:rPr>
        <w:t xml:space="preserve">The ask:</w:t>
      </w:r>
      <w:r>
        <w:rPr>
          <w:rFonts w:ascii="Times New Roman" w:cs="Times New Roman" w:eastAsia="Times New Roman" w:hAnsi="Times New Roman"/>
          <w:sz w:val="24"/>
          <w:szCs w:val="24"/>
        </w:rPr>
        <w:t xml:space="preserve"> "I am not asking you to feel sorry for [client]. I am asking you to believe them. Because they earned that. They sat in front of twelve strangers and told the hardest story of their life. They did not perform. They did not exaggerate. They told you the truth. And the truth is that this program took something from them that cannot be fully repaired."</w:t>
      </w:r>
    </w:p>
    <w:p>
      <w:pPr>
        <w:spacing w:after="0" w:line="480"/>
        <w:ind w:firstLine="720"/>
      </w:pPr>
      <w:r>
        <w:rPr>
          <w:rFonts w:ascii="Times New Roman" w:cs="Times New Roman" w:eastAsia="Times New Roman" w:hAnsi="Times New Roman"/>
          <w:i/>
          <w:iCs/>
          <w:sz w:val="24"/>
          <w:szCs w:val="24"/>
        </w:rPr>
        <w:t xml:space="preserve">The verdict as recognition:</w:t>
      </w:r>
      <w:r>
        <w:rPr>
          <w:rFonts w:ascii="Times New Roman" w:cs="Times New Roman" w:eastAsia="Times New Roman" w:hAnsi="Times New Roman"/>
          <w:sz w:val="24"/>
          <w:szCs w:val="24"/>
        </w:rPr>
        <w:t xml:space="preserve"> "Your verdict will not fix what happened. Nothing can. But it will do something that no one has ever done for [client] before. It will say: I heard you. I believe you. What happened to you was real, it was wrong, and it mattered. That is what a verdict is. Not a number. A recognition."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Authenticity Self-Assessment</w:t>
      </w:r>
    </w:p>
    <w:p>
      <w:pPr>
        <w:spacing w:after="0" w:line="480"/>
      </w:pPr>
    </w:p>
    <w:p>
      <w:pPr>
        <w:spacing w:after="0" w:line="480"/>
      </w:pPr>
      <w:r>
        <w:rPr>
          <w:rFonts w:ascii="Times New Roman" w:cs="Times New Roman" w:eastAsia="Times New Roman" w:hAnsi="Times New Roman"/>
          <w:sz w:val="24"/>
          <w:szCs w:val="24"/>
        </w:rPr>
        <w:t xml:space="preserve">Ask yourself these questions during trial preparation. Be honest.</w:t>
      </w:r>
    </w:p>
    <w:p>
      <w:pPr>
        <w:spacing w:after="0" w:line="480"/>
        <w:ind w:firstLine="720"/>
      </w:pPr>
      <w:r>
        <w:rPr>
          <w:rFonts w:ascii="Times New Roman" w:cs="Times New Roman" w:eastAsia="Times New Roman" w:hAnsi="Times New Roman"/>
          <w:i/>
          <w:iCs/>
          <w:sz w:val="24"/>
          <w:szCs w:val="24"/>
        </w:rPr>
        <w:t xml:space="preserve">Do I believe this case?</w:t>
      </w:r>
      <w:r>
        <w:rPr>
          <w:rFonts w:ascii="Times New Roman" w:cs="Times New Roman" w:eastAsia="Times New Roman" w:hAnsi="Times New Roman"/>
          <w:sz w:val="24"/>
          <w:szCs w:val="24"/>
        </w:rPr>
        <w:t xml:space="preserve"> Not legally—emotionally. Am I affected by what happened to this person? If not, why not? What am I missing?</w:t>
      </w:r>
    </w:p>
    <w:p>
      <w:pPr>
        <w:spacing w:after="0" w:line="480"/>
        <w:ind w:firstLine="720"/>
      </w:pPr>
      <w:r>
        <w:rPr>
          <w:rFonts w:ascii="Times New Roman" w:cs="Times New Roman" w:eastAsia="Times New Roman" w:hAnsi="Times New Roman"/>
          <w:i/>
          <w:iCs/>
          <w:sz w:val="24"/>
          <w:szCs w:val="24"/>
        </w:rPr>
        <w:t xml:space="preserve">Am I hiding behind structure?</w:t>
      </w:r>
      <w:r>
        <w:rPr>
          <w:rFonts w:ascii="Times New Roman" w:cs="Times New Roman" w:eastAsia="Times New Roman" w:hAnsi="Times New Roman"/>
          <w:sz w:val="24"/>
          <w:szCs w:val="24"/>
        </w:rPr>
        <w:t xml:space="preserve"> Am I using outlines, frameworks, and technology to avoid being present in the room? Would I be more effective with fewer notes and more attention to the jury?</w:t>
      </w:r>
    </w:p>
    <w:p>
      <w:pPr>
        <w:spacing w:after="0" w:line="480"/>
        <w:ind w:firstLine="720"/>
      </w:pPr>
      <w:r>
        <w:rPr>
          <w:rFonts w:ascii="Times New Roman" w:cs="Times New Roman" w:eastAsia="Times New Roman" w:hAnsi="Times New Roman"/>
          <w:i/>
          <w:iCs/>
          <w:sz w:val="24"/>
          <w:szCs w:val="24"/>
        </w:rPr>
        <w:t xml:space="preserve">Am I performing or being?</w:t>
      </w:r>
      <w:r>
        <w:rPr>
          <w:rFonts w:ascii="Times New Roman" w:cs="Times New Roman" w:eastAsia="Times New Roman" w:hAnsi="Times New Roman"/>
          <w:sz w:val="24"/>
          <w:szCs w:val="24"/>
        </w:rPr>
        <w:t xml:space="preserve"> When I practice my opening, does it sound like a speech or a conversation? Would I say this to a friend? If not, rewrite it until I would.</w:t>
      </w:r>
    </w:p>
    <w:p>
      <w:pPr>
        <w:spacing w:after="0" w:line="480"/>
        <w:ind w:firstLine="720"/>
      </w:pPr>
      <w:r>
        <w:rPr>
          <w:rFonts w:ascii="Times New Roman" w:cs="Times New Roman" w:eastAsia="Times New Roman" w:hAnsi="Times New Roman"/>
          <w:i/>
          <w:iCs/>
          <w:sz w:val="24"/>
          <w:szCs w:val="24"/>
        </w:rPr>
        <w:t xml:space="preserve">Am I protecting the client or controlling them?</w:t>
      </w:r>
      <w:r>
        <w:rPr>
          <w:rFonts w:ascii="Times New Roman" w:cs="Times New Roman" w:eastAsia="Times New Roman" w:hAnsi="Times New Roman"/>
          <w:sz w:val="24"/>
          <w:szCs w:val="24"/>
        </w:rPr>
        <w:t xml:space="preserve"> Overpreparation can suppress the very authenticity that makes a survivor's testimony powerful. Have I prepared the client enough to feel safe and not so much that they sound rehearsed?</w:t>
      </w:r>
    </w:p>
    <w:p>
      <w:pPr>
        <w:spacing w:after="0" w:line="480"/>
        <w:ind w:firstLine="720"/>
      </w:pPr>
      <w:r>
        <w:rPr>
          <w:rFonts w:ascii="Times New Roman" w:cs="Times New Roman" w:eastAsia="Times New Roman" w:hAnsi="Times New Roman"/>
          <w:i/>
          <w:iCs/>
          <w:sz w:val="24"/>
          <w:szCs w:val="24"/>
        </w:rPr>
        <w:t xml:space="preserve">Can I sit with silence?</w:t>
      </w:r>
      <w:r>
        <w:rPr>
          <w:rFonts w:ascii="Times New Roman" w:cs="Times New Roman" w:eastAsia="Times New Roman" w:hAnsi="Times New Roman"/>
          <w:sz w:val="24"/>
          <w:szCs w:val="24"/>
        </w:rPr>
        <w:t xml:space="preserve"> When the client pauses on the stand, can I resist the urge to fill the silence? Can I let the jury feel the weight of what was just said? Silence is not dead air. It is the moment when the jury processes the truth.</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Trial by Human, StoryBrand, and the Villain Reveal are three integrated frameworks that turn TTI cases from complicated institutional abuse litigation into morally irresistible stories the jury carries into deliberation.</w:t>
      </w:r>
    </w:p>
    <w:p>
      <w:pPr>
        <w:spacing w:after="0" w:line="480"/>
        <w:ind w:firstLine="720"/>
      </w:pPr>
      <w:r>
        <w:rPr>
          <w:rFonts w:ascii="Times New Roman" w:cs="Times New Roman" w:eastAsia="Times New Roman" w:hAnsi="Times New Roman"/>
          <w:sz w:val="24"/>
          <w:szCs w:val="24"/>
        </w:rPr>
        <w:t xml:space="preserve">Trial by Human is built on radical authenticity: be believed by being real. The First-Time Principle demands that every piece of evidence be presented with the weight it deserves. Vulnerability—in the survivor, in the lawyer—is not weakness but the case's greatest strategic asset. Prepare survivors through three conversations: story, mechanics, and practice. Structure direct examination in five phases that build toward the emotional core.</w:t>
      </w:r>
    </w:p>
    <w:p>
      <w:pPr>
        <w:spacing w:after="0" w:line="480"/>
        <w:ind w:firstLine="720"/>
      </w:pPr>
      <w:r>
        <w:rPr>
          <w:rFonts w:ascii="Times New Roman" w:cs="Times New Roman" w:eastAsia="Times New Roman" w:hAnsi="Times New Roman"/>
          <w:sz w:val="24"/>
          <w:szCs w:val="24"/>
        </w:rPr>
        <w:t xml:space="preserve">StoryBrand provides narrative architecture by casting the jury as the hero, you as the guide, the program's system as the villain, and the verdict as the hero's act of courage. Address the external, internal, and philosophical problems. Give the hero a plan (the verdict form), a call to action (courage, not fairness), a picture of failure (the program continues), and a picture of success (accountability and recognition).</w:t>
      </w:r>
    </w:p>
    <w:p>
      <w:pPr>
        <w:spacing w:after="0" w:line="480"/>
        <w:ind w:firstLine="720"/>
      </w:pPr>
      <w:r>
        <w:rPr>
          <w:rFonts w:ascii="Times New Roman" w:cs="Times New Roman" w:eastAsia="Times New Roman" w:hAnsi="Times New Roman"/>
          <w:sz w:val="24"/>
          <w:szCs w:val="24"/>
        </w:rPr>
        <w:t xml:space="preserve">The Villain Reveal is a five-movement voir dire framework: Pattern Interrupt (break defensive skepticism), Permission and Mirror (surface critical biases), World-Building (reveal the world of institutional abuse through juror discovery), The Awakening (expose cultural conditioning), and The Commission (transform passive evaluators into agents of accountability). Total: twenty-five to forty minutes.</w:t>
      </w:r>
    </w:p>
    <w:p>
      <w:pPr>
        <w:spacing w:after="0" w:line="480"/>
        <w:ind w:firstLine="720"/>
      </w:pPr>
      <w:r>
        <w:rPr>
          <w:rFonts w:ascii="Times New Roman" w:cs="Times New Roman" w:eastAsia="Times New Roman" w:hAnsi="Times New Roman"/>
          <w:sz w:val="24"/>
          <w:szCs w:val="24"/>
        </w:rPr>
        <w:t xml:space="preserve">In TTI cases, the villain is the system—not any individual—but the system must have a human face (the avatar) and a mask (the marketing facade). Structure the trial as a progressive unmasking that activates betrayal, not just sympathy. Layer all four methods—Rules, Reptile, Trial by Human, and StoryBrand—so each does what it does best: intellectual structure, motivational urgency, emotional truth, and narrative coherence.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Trial by Human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2026-05-13T20:44:58.033Z</dcterms:created>
  <dcterms:modified xsi:type="dcterms:W3CDTF">2026-05-13T20:44:58.033Z</dcterms:modified>
</cp:coreProperties>
</file>

<file path=docProps/custom.xml><?xml version="1.0" encoding="utf-8"?>
<Properties xmlns="http://schemas.openxmlformats.org/officeDocument/2006/custom-properties" xmlns:vt="http://schemas.openxmlformats.org/officeDocument/2006/docPropsVTypes"/>
</file>