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22</w:t>
      </w:r>
    </w:p>
    <w:p>
      <w:pPr>
        <w:spacing w:after="0" w:line="480"/>
      </w:pPr>
    </w:p>
    <w:p>
      <w:pPr>
        <w:spacing w:after="0" w:line="480"/>
        <w:jc w:val="center"/>
      </w:pPr>
      <w:r>
        <w:rPr>
          <w:rFonts w:ascii="Times New Roman" w:cs="Times New Roman" w:eastAsia="Times New Roman" w:hAnsi="Times New Roman"/>
          <w:sz w:val="24"/>
          <w:szCs w:val="24"/>
        </w:rPr>
        <w:t xml:space="preserve">After the Verdict</w:t>
      </w:r>
    </w:p>
    <w:p>
      <w:pPr>
        <w:spacing w:after="0" w:line="480"/>
        <w:jc w:val="center"/>
      </w:pPr>
      <w:r>
        <w:rPr>
          <w:rFonts w:ascii="Times New Roman" w:cs="Times New Roman" w:eastAsia="Times New Roman" w:hAnsi="Times New Roman"/>
          <w:i/>
          <w:iCs/>
          <w:sz w:val="24"/>
          <w:szCs w:val="24"/>
        </w:rPr>
        <w:t xml:space="preserve">Rebuilding, Advocacy, and the Road Ahead</w:t>
      </w:r>
    </w:p>
    <w:p>
      <w:pPr>
        <w:spacing w:after="0" w:line="480"/>
      </w:pPr>
    </w:p>
    <w:p>
      <w:pPr>
        <w:spacing w:after="0" w:line="480"/>
      </w:pPr>
      <w:r>
        <w:rPr>
          <w:rFonts w:ascii="Times New Roman" w:cs="Times New Roman" w:eastAsia="Times New Roman" w:hAnsi="Times New Roman"/>
          <w:sz w:val="24"/>
          <w:szCs w:val="24"/>
        </w:rPr>
        <w:t xml:space="preserve">The verdict is not the end. For the lawyer, the file closes. For the survivor, the next chapter opens.</w:t>
      </w:r>
    </w:p>
    <w:p>
      <w:pPr>
        <w:spacing w:after="0" w:line="480"/>
        <w:ind w:firstLine="720"/>
      </w:pPr>
      <w:r>
        <w:rPr>
          <w:rFonts w:ascii="Times New Roman" w:cs="Times New Roman" w:eastAsia="Times New Roman" w:hAnsi="Times New Roman"/>
          <w:sz w:val="24"/>
          <w:szCs w:val="24"/>
        </w:rPr>
        <w:t xml:space="preserve">The legal system promises resolution. It does not promise healing. A jury can hold a TTI program accountable, award damages that measure the harm, and send a message that coercive systems will not be tolerated. What a jury cannot do is give back the years that were taken, restore the relationships that were destroyed, or repair the neurological architecture that was reshaped by sustained coercive control during adolescence. The money arrives. The case is over. And the survivor wakes up the next morning carrying the same injuries they carried the morning before the verdict—except now there is no legal process to structure their days, no lawyer on the other end of the phone, no trial date on the horizon giving shape to the future.</w:t>
      </w:r>
    </w:p>
    <w:p>
      <w:pPr>
        <w:spacing w:after="0" w:line="480"/>
        <w:ind w:firstLine="720"/>
      </w:pPr>
      <w:r>
        <w:rPr>
          <w:rFonts w:ascii="Times New Roman" w:cs="Times New Roman" w:eastAsia="Times New Roman" w:hAnsi="Times New Roman"/>
          <w:sz w:val="24"/>
          <w:szCs w:val="24"/>
        </w:rPr>
        <w:t xml:space="preserve">This chapter addresses what happens after the case ends. It is written for both audiences this book serves: the survivors who are navigating life after litigation, and the lawyers who represent them. For survivors, it offers a frank discussion of what the post-resolution period looks like, what to expect, and where to find support. For lawyers, it addresses the practical responsibilities that continue after the verdict or settlement, the ethical obligations that govern the post-resolution period, and the broader systemic advocacy that transforms individual case outcomes into reform of the troubled teen industry.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Post-Verdict Drop</w:t>
      </w:r>
    </w:p>
    <w:p>
      <w:pPr>
        <w:spacing w:after="0" w:line="480"/>
      </w:pPr>
    </w:p>
    <w:p>
      <w:pPr>
        <w:spacing w:after="0" w:line="480"/>
      </w:pPr>
      <w:r>
        <w:rPr>
          <w:rFonts w:ascii="Times New Roman" w:cs="Times New Roman" w:eastAsia="Times New Roman" w:hAnsi="Times New Roman"/>
          <w:sz w:val="24"/>
          <w:szCs w:val="24"/>
        </w:rPr>
        <w:t xml:space="preserve">Every TTI survivor who goes through litigation experiences a version of the same phenomenon after the case resolves.</w:t>
      </w:r>
    </w:p>
    <w:p>
      <w:pPr>
        <w:spacing w:after="0" w:line="480"/>
        <w:ind w:firstLine="720"/>
      </w:pPr>
      <w:r>
        <w:rPr>
          <w:rFonts w:ascii="Times New Roman" w:cs="Times New Roman" w:eastAsia="Times New Roman" w:hAnsi="Times New Roman"/>
          <w:sz w:val="24"/>
          <w:szCs w:val="24"/>
        </w:rPr>
        <w:t xml:space="preserve">Therapists who work with trauma survivors call it the post-resolution drop—a period of emotional deflation, disorientation, and sometimes acute distress that follows the end of the legal process. The drop happens because the litigation itself served a psychological function that neither the lawyer nor the survivor fully appreciated while it was happening.</w:t>
      </w:r>
    </w:p>
    <w:p>
      <w:pPr>
        <w:spacing w:after="0" w:line="480"/>
        <w:ind w:firstLine="720"/>
      </w:pPr>
      <w:r>
        <w:rPr>
          <w:rFonts w:ascii="Times New Roman" w:cs="Times New Roman" w:eastAsia="Times New Roman" w:hAnsi="Times New Roman"/>
          <w:sz w:val="24"/>
          <w:szCs w:val="24"/>
        </w:rPr>
        <w:t xml:space="preserve">The case gave the survivor a structure: appointments to attend, documents to review, depositions to prepare for, a trial date to work toward. The case gave the survivor a purpose: holding the program accountable, telling the truth, fighting for justice. The case gave the survivor a relationship: the lawyer, the legal team, the experts who validated their experience. And the case gave the survivor a future that mattered—a day when the truth would be heard and the program would be held responsible.</w:t>
      </w:r>
    </w:p>
    <w:p>
      <w:pPr>
        <w:spacing w:after="0" w:line="480"/>
        <w:ind w:firstLine="720"/>
      </w:pPr>
      <w:r>
        <w:rPr>
          <w:rFonts w:ascii="Times New Roman" w:cs="Times New Roman" w:eastAsia="Times New Roman" w:hAnsi="Times New Roman"/>
          <w:sz w:val="24"/>
          <w:szCs w:val="24"/>
        </w:rPr>
        <w:t xml:space="preserve">When the case ends, all of these psychological supports disappear simultaneously. The structure is gone. The purpose is fulfilled or abandoned. The relationship with the legal team attenuates. The future that organized the survivor's emotional energy no longer exists. What remains is the settlement check or the verdict amount—and the same injuries the survivor carried before the case began, now without the scaffolding that held them up.</w:t>
      </w:r>
    </w:p>
    <w:p>
      <w:pPr>
        <w:spacing w:after="0" w:line="480"/>
        <w:ind w:firstLine="720"/>
      </w:pPr>
      <w:r>
        <w:rPr>
          <w:rFonts w:ascii="Times New Roman" w:cs="Times New Roman" w:eastAsia="Times New Roman" w:hAnsi="Times New Roman"/>
          <w:sz w:val="24"/>
          <w:szCs w:val="24"/>
        </w:rPr>
        <w:t xml:space="preserve">The drop is not a sign that the resolution was wrong. It is a predictable consequence of losing the psychological infrastructure that the litigation provided. Lawyers who understand the drop can prepare their clients for it—and that preparation, delivered honestly during the final weeks of the case, may be the most important thing the lawyer does for the client after the verdict.</w:t>
      </w:r>
    </w:p>
    <w:p>
      <w:pPr>
        <w:spacing w:after="0" w:before="240" w:line="480"/>
      </w:pPr>
      <w:r>
        <w:rPr>
          <w:rFonts w:ascii="Times New Roman" w:cs="Times New Roman" w:eastAsia="Times New Roman" w:hAnsi="Times New Roman"/>
          <w:b/>
          <w:bCs/>
          <w:i/>
          <w:iCs/>
          <w:sz w:val="24"/>
          <w:szCs w:val="24"/>
        </w:rPr>
        <w:t xml:space="preserve">What the Drop Looks Like</w:t>
      </w:r>
    </w:p>
    <w:p>
      <w:pPr>
        <w:spacing w:after="0" w:line="480"/>
        <w:ind w:firstLine="720"/>
      </w:pPr>
      <w:r>
        <w:rPr>
          <w:rFonts w:ascii="Times New Roman" w:cs="Times New Roman" w:eastAsia="Times New Roman" w:hAnsi="Times New Roman"/>
          <w:sz w:val="24"/>
          <w:szCs w:val="24"/>
        </w:rPr>
        <w:t xml:space="preserve">The post-resolution drop manifests differently for different survivors, but common experiences include a return of symptoms that had improved during litigation—sleep disturbance, anxiety, depression, dissociation—as if the progress made during the case was temporary. Some survivors experience anger: at the program, at the legal system, at the settlement amount, at themselves for feeling worse instead of better. Some experience numbness—a flat emotional state that feels like the opposite of the intensity that characterized the litigation period. Some experience grief: not for the TTI experience itself, but for the loss of the legal team, the purpose, the structure that the case provided.</w:t>
      </w:r>
    </w:p>
    <w:p>
      <w:pPr>
        <w:spacing w:after="0" w:line="480"/>
        <w:ind w:firstLine="720"/>
      </w:pPr>
      <w:r>
        <w:rPr>
          <w:rFonts w:ascii="Times New Roman" w:cs="Times New Roman" w:eastAsia="Times New Roman" w:hAnsi="Times New Roman"/>
          <w:sz w:val="24"/>
          <w:szCs w:val="24"/>
        </w:rPr>
        <w:t xml:space="preserve">The drop is typically most acute in the first three to six months after resolution. It can be exacerbated by financial stress—particularly if the settlement is spent quickly or managed poorly—and by the loss of the therapeutic relationship if therapy was being funded through the litigation and was not continued afterward. It can also be triggered by media coverage of TTI cases, contact from other survivors, or reminders of the program experience that the litigation had kept at a controlled distance.</w:t>
      </w:r>
    </w:p>
    <w:p>
      <w:pPr>
        <w:spacing w:after="0" w:before="240" w:line="480"/>
      </w:pPr>
      <w:r>
        <w:rPr>
          <w:rFonts w:ascii="Times New Roman" w:cs="Times New Roman" w:eastAsia="Times New Roman" w:hAnsi="Times New Roman"/>
          <w:b/>
          <w:bCs/>
          <w:i/>
          <w:iCs/>
          <w:sz w:val="24"/>
          <w:szCs w:val="24"/>
        </w:rPr>
        <w:t xml:space="preserve">Preparing for the Drop</w:t>
      </w:r>
    </w:p>
    <w:p>
      <w:pPr>
        <w:spacing w:after="0" w:line="480"/>
        <w:ind w:firstLine="720"/>
      </w:pPr>
      <w:r>
        <w:rPr>
          <w:rFonts w:ascii="Times New Roman" w:cs="Times New Roman" w:eastAsia="Times New Roman" w:hAnsi="Times New Roman"/>
          <w:sz w:val="24"/>
          <w:szCs w:val="24"/>
        </w:rPr>
        <w:t xml:space="preserve">The preparation conversation should happen at least two weeks before the anticipated resolution—before the final mediation, before the settlement check arrives, before the verdict is rendered. The lawyer should tell the client directly: </w:t>
      </w:r>
      <w:r>
        <w:rPr>
          <w:rFonts w:ascii="Times New Roman" w:cs="Times New Roman" w:eastAsia="Times New Roman" w:hAnsi="Times New Roman"/>
          <w:i/>
          <w:iCs/>
          <w:sz w:val="24"/>
          <w:szCs w:val="24"/>
        </w:rPr>
        <w:t xml:space="preserve">When this case ends, you may feel worse before you feel better. That is normal. It does not mean the resolution was wrong. It means that the case was holding something up for you, and when it is gone, you will feel the weight again. Here is what we have set up to help you through that period.</w:t>
      </w:r>
    </w:p>
    <w:p>
      <w:pPr>
        <w:spacing w:after="0" w:line="480"/>
        <w:ind w:firstLine="720"/>
      </w:pPr>
      <w:r>
        <w:rPr>
          <w:rFonts w:ascii="Times New Roman" w:cs="Times New Roman" w:eastAsia="Times New Roman" w:hAnsi="Times New Roman"/>
          <w:sz w:val="24"/>
          <w:szCs w:val="24"/>
        </w:rPr>
        <w:t xml:space="preserve">The 'what we have set up' should include confirmation that the survivor's therapeutic relationship will continue, a financial management plan, a support network that does not depend on the legal team, and a realistic timeline for the post-resolution adjustment. The survivor should know that three to six months of difficulty is normal, that the difficulty does not erase the value of the resolution, and that the skills and strength they demonstrated during the litigation are the same skills and strength that will carry them through the transition.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Financial Management After Settlement</w:t>
      </w:r>
    </w:p>
    <w:p>
      <w:pPr>
        <w:spacing w:after="0" w:line="480"/>
      </w:pPr>
    </w:p>
    <w:p>
      <w:pPr>
        <w:spacing w:after="0" w:line="480"/>
      </w:pPr>
      <w:r>
        <w:rPr>
          <w:rFonts w:ascii="Times New Roman" w:cs="Times New Roman" w:eastAsia="Times New Roman" w:hAnsi="Times New Roman"/>
          <w:sz w:val="24"/>
          <w:szCs w:val="24"/>
        </w:rPr>
        <w:t xml:space="preserve">The settlement check is the most money many TTI survivors have ever received. It is also the most dangerous moment in the post-resolution period.</w:t>
      </w:r>
    </w:p>
    <w:p>
      <w:pPr>
        <w:spacing w:after="0" w:line="480"/>
        <w:ind w:firstLine="720"/>
      </w:pPr>
      <w:r>
        <w:rPr>
          <w:rFonts w:ascii="Times New Roman" w:cs="Times New Roman" w:eastAsia="Times New Roman" w:hAnsi="Times New Roman"/>
          <w:sz w:val="24"/>
          <w:szCs w:val="24"/>
        </w:rPr>
        <w:t xml:space="preserve">The clinical literature on trauma and financial decision-making is clear: trauma survivors—particularly those who experienced institutional abuse during developmental years—are at elevated risk for financial mismanagement, exploitation, and rapid dissipation of settlement funds. This is not a judgment about the survivor's intelligence or character. It is a consequence of what the program did to them. Coercive TTI programs attack executive functioning—the cognitive capacity for planning, impulse control, delayed gratification, and long-term thinking. A survivor whose executive functioning was disrupted during adolescence may be brilliant, articulate, and perceptive—and still unable to manage a large sum of money without support. The program that created this vulnerability does not get to escape accountability because the survivor cannot manage the proceeds. But the lawyer who secured the settlement has a moral obligation to help the survivor protect it.</w:t>
      </w:r>
    </w:p>
    <w:p>
      <w:pPr>
        <w:spacing w:after="0" w:before="240" w:line="480"/>
      </w:pPr>
      <w:r>
        <w:rPr>
          <w:rFonts w:ascii="Times New Roman" w:cs="Times New Roman" w:eastAsia="Times New Roman" w:hAnsi="Times New Roman"/>
          <w:b/>
          <w:bCs/>
          <w:i/>
          <w:iCs/>
          <w:sz w:val="24"/>
          <w:szCs w:val="24"/>
        </w:rPr>
        <w:t xml:space="preserve">Structured Settlements</w:t>
      </w:r>
    </w:p>
    <w:p>
      <w:pPr>
        <w:spacing w:after="0" w:line="480"/>
        <w:ind w:firstLine="720"/>
      </w:pPr>
      <w:r>
        <w:rPr>
          <w:rFonts w:ascii="Times New Roman" w:cs="Times New Roman" w:eastAsia="Times New Roman" w:hAnsi="Times New Roman"/>
          <w:sz w:val="24"/>
          <w:szCs w:val="24"/>
        </w:rPr>
        <w:t xml:space="preserve">For survivors with significant executive functioning concerns, a structured settlement—an annuity that provides guaranteed periodic payments rather than a lump sum—is the best financial protection available. The structure removes the temptation and the risk of rapid dissipation while providing a reliable income stream that funds the survivor's ongoing needs. The payments can be designed to cover therapy costs, living expenses, and periodic lump-sum distributions for major life events like education or home purchase.</w:t>
      </w:r>
    </w:p>
    <w:p>
      <w:pPr>
        <w:spacing w:after="0" w:line="480"/>
        <w:ind w:firstLine="720"/>
      </w:pPr>
      <w:r>
        <w:rPr>
          <w:rFonts w:ascii="Times New Roman" w:cs="Times New Roman" w:eastAsia="Times New Roman" w:hAnsi="Times New Roman"/>
          <w:sz w:val="24"/>
          <w:szCs w:val="24"/>
        </w:rPr>
        <w:t xml:space="preserve">The disadvantage of a structured settlement is loss of flexibility: the survivor cannot access the full amount if an emergency arises. The lawyer should discuss both options with the client and, where appropriate, recommend a hybrid approach: a portion of the settlement paid as a lump sum for immediate needs—debt reduction, housing, a car, the tangible markers of stability—with the remainder structured to provide long-term security.</w:t>
      </w:r>
    </w:p>
    <w:p>
      <w:pPr>
        <w:spacing w:after="0" w:before="240" w:line="480"/>
      </w:pPr>
      <w:r>
        <w:rPr>
          <w:rFonts w:ascii="Times New Roman" w:cs="Times New Roman" w:eastAsia="Times New Roman" w:hAnsi="Times New Roman"/>
          <w:b/>
          <w:bCs/>
          <w:i/>
          <w:iCs/>
          <w:sz w:val="24"/>
          <w:szCs w:val="24"/>
        </w:rPr>
        <w:t xml:space="preserve">Financial Advisory Referrals</w:t>
      </w:r>
    </w:p>
    <w:p>
      <w:pPr>
        <w:spacing w:after="0" w:line="480"/>
        <w:ind w:firstLine="720"/>
      </w:pPr>
      <w:r>
        <w:rPr>
          <w:rFonts w:ascii="Times New Roman" w:cs="Times New Roman" w:eastAsia="Times New Roman" w:hAnsi="Times New Roman"/>
          <w:sz w:val="24"/>
          <w:szCs w:val="24"/>
        </w:rPr>
        <w:t xml:space="preserve">Every TTI settlement above a threshold that justifies advisory fees should include a referral to a financial advisor who has experience working with settlement recipients. Not a wealth manager who caters to high-net-worth clients. A financial advisor who understands that the person sitting across from them may have never had a bank account, may not understand compound interest, may be vulnerable to exploitation by family members or romantic partners, and may need patient, non-judgmental financial education before they need an investment strategy.</w:t>
      </w:r>
    </w:p>
    <w:p>
      <w:pPr>
        <w:spacing w:after="0" w:line="480"/>
        <w:ind w:firstLine="720"/>
      </w:pPr>
      <w:r>
        <w:rPr>
          <w:rFonts w:ascii="Times New Roman" w:cs="Times New Roman" w:eastAsia="Times New Roman" w:hAnsi="Times New Roman"/>
          <w:sz w:val="24"/>
          <w:szCs w:val="24"/>
        </w:rPr>
        <w:t xml:space="preserve">The referral should happen before the check arrives, not after. The survivor should have a financial plan in place—however simple—before the money hits their account. The plan should cover immediate needs, short-term stability, long-term security, and protection against exploitation. The financial advisor should understand the survivor's trauma history. This is not standard financial planning. It is trauma-informed financial planning.</w:t>
      </w:r>
    </w:p>
    <w:p>
      <w:pPr>
        <w:spacing w:after="0" w:before="240" w:line="480"/>
      </w:pPr>
      <w:r>
        <w:rPr>
          <w:rFonts w:ascii="Times New Roman" w:cs="Times New Roman" w:eastAsia="Times New Roman" w:hAnsi="Times New Roman"/>
          <w:b/>
          <w:bCs/>
          <w:i/>
          <w:iCs/>
          <w:sz w:val="24"/>
          <w:szCs w:val="24"/>
        </w:rPr>
        <w:t xml:space="preserve">Protecting Against Exploitation</w:t>
      </w:r>
    </w:p>
    <w:p>
      <w:pPr>
        <w:spacing w:after="0" w:line="480"/>
        <w:ind w:firstLine="720"/>
      </w:pPr>
      <w:r>
        <w:rPr>
          <w:rFonts w:ascii="Times New Roman" w:cs="Times New Roman" w:eastAsia="Times New Roman" w:hAnsi="Times New Roman"/>
          <w:sz w:val="24"/>
          <w:szCs w:val="24"/>
        </w:rPr>
        <w:t xml:space="preserve">TTI survivors are at elevated risk of financial exploitation after settlement—by family members who suddenly reappear, by romantic partners attracted to the settlement rather than the person, by predatory lenders, by scam artists, and by well-meaning but incompetent advisors. The vulnerability is structural: the program taught the survivor that the people who claim to care about them are the people who will exploit them, and the survivor's damaged trust radar makes it difficult to distinguish genuine support from predatory interest.</w:t>
      </w:r>
    </w:p>
    <w:p>
      <w:pPr>
        <w:spacing w:after="0" w:line="480"/>
        <w:ind w:firstLine="720"/>
      </w:pPr>
      <w:r>
        <w:rPr>
          <w:rFonts w:ascii="Times New Roman" w:cs="Times New Roman" w:eastAsia="Times New Roman" w:hAnsi="Times New Roman"/>
          <w:sz w:val="24"/>
          <w:szCs w:val="24"/>
        </w:rPr>
        <w:t xml:space="preserve">The lawyer's responsibility does not extend to post-settlement financial monitoring. But the lawyer can, during the final stages of representation, discuss the risk openly with the client. </w:t>
      </w:r>
      <w:r>
        <w:rPr>
          <w:rFonts w:ascii="Times New Roman" w:cs="Times New Roman" w:eastAsia="Times New Roman" w:hAnsi="Times New Roman"/>
          <w:i/>
          <w:iCs/>
          <w:sz w:val="24"/>
          <w:szCs w:val="24"/>
        </w:rPr>
        <w:t xml:space="preserve">People may come into your life after this settlement who were not there before. Some of them will be genuine. Some will not. The skills you used to survive the program—the ability to read people, to sense when something is wrong, to protect yourself—those skills apply here too. Trust them.</w:t>
      </w:r>
      <w:r>
        <w:rPr>
          <w:rFonts w:ascii="Times New Roman" w:cs="Times New Roman" w:eastAsia="Times New Roman" w:hAnsi="Times New Roman"/>
          <w:sz w:val="24"/>
          <w:szCs w:val="24"/>
        </w:rPr>
        <w:t xml:space="preserve"> This conversation, delivered with respect rather than condescension, can be the single most protective act the lawyer performs after the resolution.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From Survivor to Advocate</w:t>
      </w:r>
    </w:p>
    <w:p>
      <w:pPr>
        <w:spacing w:after="0" w:line="480"/>
      </w:pPr>
    </w:p>
    <w:p>
      <w:pPr>
        <w:spacing w:after="0" w:line="480"/>
      </w:pPr>
      <w:r>
        <w:rPr>
          <w:rFonts w:ascii="Times New Roman" w:cs="Times New Roman" w:eastAsia="Times New Roman" w:hAnsi="Times New Roman"/>
          <w:sz w:val="24"/>
          <w:szCs w:val="24"/>
        </w:rPr>
        <w:t xml:space="preserve">Some survivors, after the legal process ends, discover that they want to do something with what happened to them. Not just recover from it. Use it.</w:t>
      </w:r>
    </w:p>
    <w:p>
      <w:pPr>
        <w:spacing w:after="0" w:line="480"/>
        <w:ind w:firstLine="720"/>
      </w:pPr>
      <w:r>
        <w:rPr>
          <w:rFonts w:ascii="Times New Roman" w:cs="Times New Roman" w:eastAsia="Times New Roman" w:hAnsi="Times New Roman"/>
          <w:sz w:val="24"/>
          <w:szCs w:val="24"/>
        </w:rPr>
        <w:t xml:space="preserve">The experience of being believed by a lawyer, validated by a jury or a settlement, and compensated for harm that was once invisible creates a transformation in some survivors that goes beyond healing. They become advocates. This transformation is not universal and should not be expected or pressured. Many survivors want nothing more than to close the chapter and rebuild their lives in private. That choice deserves complete respect. But for those who feel called to advocacy—who want to speak publicly, support other survivors, lobby for regulatory reform, or contribute to the dismantling of the TTI—the post-resolution period can be the beginning of something powerful.</w:t>
      </w:r>
    </w:p>
    <w:p>
      <w:pPr>
        <w:spacing w:after="0" w:before="240" w:line="480"/>
      </w:pPr>
      <w:r>
        <w:rPr>
          <w:rFonts w:ascii="Times New Roman" w:cs="Times New Roman" w:eastAsia="Times New Roman" w:hAnsi="Times New Roman"/>
          <w:b/>
          <w:bCs/>
          <w:i/>
          <w:iCs/>
          <w:sz w:val="24"/>
          <w:szCs w:val="24"/>
        </w:rPr>
        <w:t xml:space="preserve">Speaking Publicly</w:t>
      </w:r>
    </w:p>
    <w:p>
      <w:pPr>
        <w:spacing w:after="0" w:line="480"/>
        <w:ind w:firstLine="720"/>
      </w:pPr>
      <w:r>
        <w:rPr>
          <w:rFonts w:ascii="Times New Roman" w:cs="Times New Roman" w:eastAsia="Times New Roman" w:hAnsi="Times New Roman"/>
          <w:sz w:val="24"/>
          <w:szCs w:val="24"/>
        </w:rPr>
        <w:t xml:space="preserve">If the settlement does not include a full confidentiality provision—or if the case went to verdict, which is a public record—the survivor may choose to speak publicly about their experience. Public speaking can be profoundly healing: it transforms the survivor's narrative from a private wound into a public testimony, from a source of shame into a source of strength. It can also be destabilizing if the survivor is not ready, if they have not processed the experience sufficiently in therapy, or if the public response is hostile or dismissive.</w:t>
      </w:r>
    </w:p>
    <w:p>
      <w:pPr>
        <w:spacing w:after="0" w:line="480"/>
        <w:ind w:firstLine="720"/>
      </w:pPr>
      <w:r>
        <w:rPr>
          <w:rFonts w:ascii="Times New Roman" w:cs="Times New Roman" w:eastAsia="Times New Roman" w:hAnsi="Times New Roman"/>
          <w:sz w:val="24"/>
          <w:szCs w:val="24"/>
        </w:rPr>
        <w:t xml:space="preserve">The lawyer can support the survivor's transition to public advocacy by connecting them with organizations like Unsilenced that specialize in TTI survivor advocacy, media professionals who can help manage press inquiries, and other survivors who have navigated the transition successfully. The lawyer should not direct the survivor's advocacy or attempt to control their public narrative. The survivor's story belongs to the survivor. The lawyer's role is to make the introduction and then step back.</w:t>
      </w:r>
    </w:p>
    <w:p>
      <w:pPr>
        <w:spacing w:after="0" w:before="240" w:line="480"/>
      </w:pPr>
      <w:r>
        <w:rPr>
          <w:rFonts w:ascii="Times New Roman" w:cs="Times New Roman" w:eastAsia="Times New Roman" w:hAnsi="Times New Roman"/>
          <w:b/>
          <w:bCs/>
          <w:i/>
          <w:iCs/>
          <w:sz w:val="24"/>
          <w:szCs w:val="24"/>
        </w:rPr>
        <w:t xml:space="preserve">Supporting Other Survivors</w:t>
      </w:r>
    </w:p>
    <w:p>
      <w:pPr>
        <w:spacing w:after="0" w:line="480"/>
        <w:ind w:firstLine="720"/>
      </w:pPr>
      <w:r>
        <w:rPr>
          <w:rFonts w:ascii="Times New Roman" w:cs="Times New Roman" w:eastAsia="Times New Roman" w:hAnsi="Times New Roman"/>
          <w:sz w:val="24"/>
          <w:szCs w:val="24"/>
        </w:rPr>
        <w:t xml:space="preserve">Many survivors find meaning in supporting others who are earlier in the process—those who are still inside programs, those who have recently left, and those who are considering litigation. This peer support can take many forms: informal one-on-one support, participation in survivor networks, testimony at regulatory hearings, or cooperation with lawyers who are pursuing cases against the same program or related programs in the TTI network.</w:t>
      </w:r>
    </w:p>
    <w:p>
      <w:pPr>
        <w:spacing w:after="0" w:line="480"/>
        <w:ind w:firstLine="720"/>
      </w:pPr>
      <w:r>
        <w:rPr>
          <w:rFonts w:ascii="Times New Roman" w:cs="Times New Roman" w:eastAsia="Times New Roman" w:hAnsi="Times New Roman"/>
          <w:sz w:val="24"/>
          <w:szCs w:val="24"/>
        </w:rPr>
        <w:t xml:space="preserve">The lawyer can facilitate this by maintaining a referral network of survivor advocates—former clients who have expressed willingness to speak with prospective clients. A survivor who is considering litigation and who speaks with someone who has been through the process and emerged whole is more likely to move forward. And the former client who provides that support often experiences it as one of the most meaningful acts of their post-litigation life: the transformation from someone who was harmed into someone who helps.</w:t>
      </w:r>
    </w:p>
    <w:p>
      <w:pPr>
        <w:spacing w:after="0" w:before="240" w:line="480"/>
      </w:pPr>
      <w:r>
        <w:rPr>
          <w:rFonts w:ascii="Times New Roman" w:cs="Times New Roman" w:eastAsia="Times New Roman" w:hAnsi="Times New Roman"/>
          <w:b/>
          <w:bCs/>
          <w:i/>
          <w:iCs/>
          <w:sz w:val="24"/>
          <w:szCs w:val="24"/>
        </w:rPr>
        <w:t xml:space="preserve">Legislative and Regulatory Advocacy</w:t>
      </w:r>
    </w:p>
    <w:p>
      <w:pPr>
        <w:spacing w:after="0" w:line="480"/>
        <w:ind w:firstLine="720"/>
      </w:pPr>
      <w:r>
        <w:rPr>
          <w:rFonts w:ascii="Times New Roman" w:cs="Times New Roman" w:eastAsia="Times New Roman" w:hAnsi="Times New Roman"/>
          <w:sz w:val="24"/>
          <w:szCs w:val="24"/>
        </w:rPr>
        <w:t xml:space="preserve">Individual case outcomes change individual lives. Legislative and regulatory advocacy changes systems. TTI lawyers have a unique capacity for systemic advocacy because they have the evidence: the documents, the patterns, the expert testimony, the institutional practices that no regulator has seen because no case has ever exposed them. When that evidence is used not only in the courtroom but in the statehouse, the regulatory hearing room, and the public record, individual case outcomes become catalysts for systemic reform.</w:t>
      </w:r>
    </w:p>
    <w:p>
      <w:pPr>
        <w:spacing w:after="0" w:line="480"/>
        <w:ind w:firstLine="720"/>
      </w:pPr>
      <w:r>
        <w:rPr>
          <w:rFonts w:ascii="Times New Roman" w:cs="Times New Roman" w:eastAsia="Times New Roman" w:hAnsi="Times New Roman"/>
          <w:sz w:val="24"/>
          <w:szCs w:val="24"/>
        </w:rPr>
        <w:t xml:space="preserve">The forms of systemic advocacy available to TTI lawyers include legislative testimony in support of bills that strengthen regulation of residential treatment programs; regulatory complaints and petitions based on evidence uncovered during litigation; amicus briefs in appellate cases that establish precedent favorable to institutional abuse claims; public education through media, academic publication, and speaking engagements; and coalition building with survivor organizations like Unsilenced, other plaintiff's firms, and advocacy groups that share the goal of TTI reform.</w:t>
      </w:r>
    </w:p>
    <w:p>
      <w:pPr>
        <w:spacing w:after="0" w:line="480"/>
        <w:ind w:firstLine="720"/>
      </w:pPr>
      <w:r>
        <w:rPr>
          <w:rFonts w:ascii="Times New Roman" w:cs="Times New Roman" w:eastAsia="Times New Roman" w:hAnsi="Times New Roman"/>
          <w:sz w:val="24"/>
          <w:szCs w:val="24"/>
        </w:rPr>
        <w:t xml:space="preserve">This advocacy is not charity work. It is practice development. The lawyer who testifies before a legislative committee about the need for TTI regulation becomes the lawyer that every TTI survivor in the state calls when they decide to pursue a claim. The lawyer who publishes about the BITE model's application to residential treatment becomes the lawyer that survivors find when they search for representation. Systemic advocacy creates awareness, and awareness creates clients. The work feeds itself.</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Lawyer's Continuing Obligations</w:t>
      </w:r>
    </w:p>
    <w:p>
      <w:pPr>
        <w:spacing w:after="0" w:line="480"/>
      </w:pPr>
    </w:p>
    <w:p>
      <w:pPr>
        <w:spacing w:after="0" w:line="480"/>
      </w:pPr>
      <w:r>
        <w:rPr>
          <w:rFonts w:ascii="Times New Roman" w:cs="Times New Roman" w:eastAsia="Times New Roman" w:hAnsi="Times New Roman"/>
          <w:sz w:val="24"/>
          <w:szCs w:val="24"/>
        </w:rPr>
        <w:t xml:space="preserve">The file is closed, but the lawyer's obligations do not end entirely.</w:t>
      </w:r>
    </w:p>
    <w:p>
      <w:pPr>
        <w:spacing w:after="0" w:before="240" w:line="480"/>
      </w:pPr>
      <w:r>
        <w:rPr>
          <w:rFonts w:ascii="Times New Roman" w:cs="Times New Roman" w:eastAsia="Times New Roman" w:hAnsi="Times New Roman"/>
          <w:b/>
          <w:bCs/>
          <w:i/>
          <w:iCs/>
          <w:sz w:val="24"/>
          <w:szCs w:val="24"/>
        </w:rPr>
        <w:t xml:space="preserve">Post-Judgment Collection</w:t>
      </w:r>
    </w:p>
    <w:p>
      <w:pPr>
        <w:spacing w:after="0" w:line="480"/>
        <w:ind w:firstLine="720"/>
      </w:pPr>
      <w:r>
        <w:rPr>
          <w:rFonts w:ascii="Times New Roman" w:cs="Times New Roman" w:eastAsia="Times New Roman" w:hAnsi="Times New Roman"/>
          <w:sz w:val="24"/>
          <w:szCs w:val="24"/>
        </w:rPr>
        <w:t xml:space="preserve">If the case went to verdict and the defendant has not satisfied the judgment, the lawyer must pursue collection. In TTI cases, collection can be complex because the defendant may be a corporate shell, a program with assets held in related entities, or an ownership structure designed to insulate assets. The two-track pleading strategy helps here: the insurance carrier's obligation to satisfy the insured counts is contractual, and the carrier typically pays promptly after verdict. The uninsured counts—intentional torts and punitive damages—require collection from the program's and individual defendants' assets, which may involve supplemental proceedings, asset tracing, and enforcement motions.</w:t>
      </w:r>
    </w:p>
    <w:p>
      <w:pPr>
        <w:spacing w:after="0" w:before="240" w:line="480"/>
      </w:pPr>
      <w:r>
        <w:rPr>
          <w:rFonts w:ascii="Times New Roman" w:cs="Times New Roman" w:eastAsia="Times New Roman" w:hAnsi="Times New Roman"/>
          <w:b/>
          <w:bCs/>
          <w:i/>
          <w:iCs/>
          <w:sz w:val="24"/>
          <w:szCs w:val="24"/>
        </w:rPr>
        <w:t xml:space="preserve">Appellate Preservation</w:t>
      </w:r>
    </w:p>
    <w:p>
      <w:pPr>
        <w:spacing w:after="0" w:line="480"/>
        <w:ind w:firstLine="720"/>
      </w:pPr>
      <w:r>
        <w:rPr>
          <w:rFonts w:ascii="Times New Roman" w:cs="Times New Roman" w:eastAsia="Times New Roman" w:hAnsi="Times New Roman"/>
          <w:sz w:val="24"/>
          <w:szCs w:val="24"/>
        </w:rPr>
        <w:t xml:space="preserve">If the case went to verdict, the defendant will likely appeal. The trial lawyer's obligation is to preserve the record: ensure that all evidentiary rulings, objections, and motions were properly documented, and that the verdict is supported by the evidence presented at trial. In TTI cases, the most common appellate issues are the admissibility of BITE model testimony, the sufficiency of the evidence supporting the coercive-system theory, the punitive damages award, and the admission of pattern evidence. Prepare for the appeal during the trial by making your record at every critical juncture.</w:t>
      </w:r>
    </w:p>
    <w:p>
      <w:pPr>
        <w:spacing w:after="0" w:before="240" w:line="480"/>
      </w:pPr>
      <w:r>
        <w:rPr>
          <w:rFonts w:ascii="Times New Roman" w:cs="Times New Roman" w:eastAsia="Times New Roman" w:hAnsi="Times New Roman"/>
          <w:b/>
          <w:bCs/>
          <w:i/>
          <w:iCs/>
          <w:sz w:val="24"/>
          <w:szCs w:val="24"/>
        </w:rPr>
        <w:t xml:space="preserve">Lien Resolution</w:t>
      </w:r>
    </w:p>
    <w:p>
      <w:pPr>
        <w:spacing w:after="0" w:line="480"/>
        <w:ind w:firstLine="720"/>
      </w:pPr>
      <w:r>
        <w:rPr>
          <w:rFonts w:ascii="Times New Roman" w:cs="Times New Roman" w:eastAsia="Times New Roman" w:hAnsi="Times New Roman"/>
          <w:sz w:val="24"/>
          <w:szCs w:val="24"/>
        </w:rPr>
        <w:t xml:space="preserve">Settlement funds are frequently subject to liens—from health insurers, Medicaid, Medicare, ERISA plans, and medical providers. The lawyer's obligation to resolve these liens before disbursing funds to the client is absolute. In TTI cases, lien resolution can be particularly complex because the survivor's treatment history may span years and multiple providers. Begin the lien identification process early in the case—during intake, not after settlement—and track all potential lienholders throughout the litigation.</w:t>
      </w:r>
    </w:p>
    <w:p>
      <w:pPr>
        <w:spacing w:after="0" w:before="240" w:line="480"/>
      </w:pPr>
      <w:r>
        <w:rPr>
          <w:rFonts w:ascii="Times New Roman" w:cs="Times New Roman" w:eastAsia="Times New Roman" w:hAnsi="Times New Roman"/>
          <w:b/>
          <w:bCs/>
          <w:i/>
          <w:iCs/>
          <w:sz w:val="24"/>
          <w:szCs w:val="24"/>
        </w:rPr>
        <w:t xml:space="preserve">Tax Considerations</w:t>
      </w:r>
    </w:p>
    <w:p>
      <w:pPr>
        <w:spacing w:after="0" w:line="480"/>
        <w:ind w:firstLine="720"/>
      </w:pPr>
      <w:r>
        <w:rPr>
          <w:rFonts w:ascii="Times New Roman" w:cs="Times New Roman" w:eastAsia="Times New Roman" w:hAnsi="Times New Roman"/>
          <w:sz w:val="24"/>
          <w:szCs w:val="24"/>
        </w:rPr>
        <w:t xml:space="preserve">Under IRC Section 104(a)(2), damages received on account of personal physical injuries or physical sickness are excluded from gross income. The application of this exclusion to TTI cases—where the injuries are predominantly psychological but often accompanied by physical restraint, assault, and coercion—requires careful analysis. The current case law generally holds that emotional distress damages are taxable unless they arise from a physical injury, but the definition of physical injury in the context of TTI abuse—where restraint, prone holds, and physical coercion are often part of the program's system—creates opportunities for exclusion that a knowledgeable tax advisor can identify. Ensure that the settlement agreement allocates damages in a way that maximizes the tax exclusion and refer the client to a tax professional before the funds are disbursed.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Building a TTI Practice</w:t>
      </w:r>
    </w:p>
    <w:p>
      <w:pPr>
        <w:spacing w:after="0" w:line="480"/>
      </w:pPr>
    </w:p>
    <w:p>
      <w:pPr>
        <w:spacing w:after="0" w:line="480"/>
      </w:pPr>
      <w:r>
        <w:rPr>
          <w:rFonts w:ascii="Times New Roman" w:cs="Times New Roman" w:eastAsia="Times New Roman" w:hAnsi="Times New Roman"/>
          <w:sz w:val="24"/>
          <w:szCs w:val="24"/>
        </w:rPr>
        <w:t xml:space="preserve">If you have read this far, you are either a lawyer who wants to represent TTI survivors or a lawyer who already does and wants to do it better. Either way, the question is the same: how do you build a sustainable practice in this area?</w:t>
      </w:r>
    </w:p>
    <w:p>
      <w:pPr>
        <w:spacing w:after="0" w:line="480"/>
        <w:ind w:firstLine="720"/>
      </w:pPr>
      <w:r>
        <w:rPr>
          <w:rFonts w:ascii="Times New Roman" w:cs="Times New Roman" w:eastAsia="Times New Roman" w:hAnsi="Times New Roman"/>
          <w:sz w:val="24"/>
          <w:szCs w:val="24"/>
        </w:rPr>
        <w:t xml:space="preserve">The answer is not complicated, but it requires discipline. Take cases you believe in. Prepare them as if every one is going to trial. Use the frameworks in this book—the BITE model from Chapter 5, the coercive-system theory from Chapters 2 through 4, the two-track insurance architecture from Chapter 11, the Villain Reveal voir dire from Chapter 16, the StoryBrand narrative, the harms-and-losses framework from Chapter 17, the witness polarization and preparation framework from Chapter 18—to build cases that are stronger than anything the defense has seen before. Use AI tools to manage the workload so you can take more cases without burning out your team. Use the settlement dynamics from Chapter 21 to resolve cases at their full value. And use the outcomes—the verdicts, the settlements, the regulatory reforms—to build a reputation that brings the next case through the door.</w:t>
      </w:r>
    </w:p>
    <w:p>
      <w:pPr>
        <w:spacing w:after="0" w:line="480"/>
        <w:ind w:firstLine="720"/>
      </w:pPr>
      <w:r>
        <w:rPr>
          <w:rFonts w:ascii="Times New Roman" w:cs="Times New Roman" w:eastAsia="Times New Roman" w:hAnsi="Times New Roman"/>
          <w:sz w:val="24"/>
          <w:szCs w:val="24"/>
        </w:rPr>
        <w:t xml:space="preserve">Invest in education—both receiving it and delivering it. Monthly Zoom sessions co-presented by experienced practitioners and survivor leaders provide ongoing training that keeps your skills current and your commitment grounded. State trial lawyer association presentations put TTI litigation methodologies in front of practitioners who may never have considered institutional abuse as a practice area. Join the attorney directories and co-counsel referral networks that are connecting TTI practitioners across state lines—because multi-front litigation pressure against the same corporate entity is exponentially more powerful than a single case in a single jurisdiction.</w:t>
      </w:r>
    </w:p>
    <w:p>
      <w:pPr>
        <w:spacing w:after="0" w:line="480"/>
        <w:ind w:firstLine="720"/>
      </w:pPr>
      <w:r>
        <w:rPr>
          <w:rFonts w:ascii="Times New Roman" w:cs="Times New Roman" w:eastAsia="Times New Roman" w:hAnsi="Times New Roman"/>
          <w:sz w:val="24"/>
          <w:szCs w:val="24"/>
        </w:rPr>
        <w:t xml:space="preserve">TTI litigation is the frontier of plaintiff's practice. The legal theories are developing. The expert frameworks are evolving. The public awareness is growing. Survivors are finding their voices through organizations like Unsilenced and through social media platforms that did not exist a decade ago. And the programs—some of them—are beginning to feel the pressure of accountability for the first time. A generation ago, a survivor of a TTI program had almost no legal recourse. Today, the tools exist. The frameworks are here. The question is whether enough lawyers are willing to learn them, use them, and sustain the practice over the years it takes to change the system.</w:t>
      </w:r>
    </w:p>
    <w:p>
      <w:pPr>
        <w:spacing w:after="0" w:line="480"/>
        <w:ind w:firstLine="720"/>
      </w:pPr>
      <w:r>
        <w:rPr>
          <w:rFonts w:ascii="Times New Roman" w:cs="Times New Roman" w:eastAsia="Times New Roman" w:hAnsi="Times New Roman"/>
          <w:sz w:val="24"/>
          <w:szCs w:val="24"/>
        </w:rPr>
        <w:t xml:space="preserve">If you are one of those lawyers, this book was written for you. Take what is useful. Adapt what needs adapting. Improve what can be improved. And go help someone who needs you.</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Practitioner's Toolkit</w:t>
      </w:r>
    </w:p>
    <w:p>
      <w:pPr>
        <w:spacing w:after="0" w:line="480"/>
      </w:pPr>
    </w:p>
    <w:p>
      <w:pPr>
        <w:spacing w:after="0" w:before="240" w:line="480"/>
      </w:pPr>
      <w:r>
        <w:rPr>
          <w:rFonts w:ascii="Times New Roman" w:cs="Times New Roman" w:eastAsia="Times New Roman" w:hAnsi="Times New Roman"/>
          <w:b/>
          <w:bCs/>
          <w:i/>
          <w:iCs/>
          <w:sz w:val="24"/>
          <w:szCs w:val="24"/>
        </w:rPr>
        <w:t xml:space="preserve">Post-Resolution Client Transition Checklist</w:t>
      </w:r>
    </w:p>
    <w:p>
      <w:pPr>
        <w:spacing w:after="0" w:line="480"/>
      </w:pPr>
      <w:r>
        <w:rPr>
          <w:rFonts w:ascii="Times New Roman" w:cs="Times New Roman" w:eastAsia="Times New Roman" w:hAnsi="Times New Roman"/>
          <w:sz w:val="24"/>
          <w:szCs w:val="24"/>
        </w:rPr>
        <w:t xml:space="preserve">Complete each item before final disbursement of settlement or judgment funds.</w:t>
      </w:r>
    </w:p>
    <w:p>
      <w:pPr>
        <w:spacing w:after="0" w:line="480"/>
      </w:pPr>
    </w:p>
    <w:p>
      <w:pPr>
        <w:spacing w:after="0" w:line="480"/>
      </w:pPr>
      <w:r>
        <w:rPr>
          <w:rFonts w:ascii="Times New Roman" w:cs="Times New Roman" w:eastAsia="Times New Roman" w:hAnsi="Times New Roman"/>
          <w:sz w:val="24"/>
          <w:szCs w:val="24"/>
        </w:rPr>
        <w:t xml:space="preserve">— Therapeutic continuity confirmed. Survivor has an ongoing therapeutic relationship that will continue after the case ends. If therapy was litigation-funded, settlement allocates funds for continued treatment.</w:t>
      </w:r>
    </w:p>
    <w:p>
      <w:pPr>
        <w:spacing w:after="0" w:line="480"/>
      </w:pPr>
      <w:r>
        <w:rPr>
          <w:rFonts w:ascii="Times New Roman" w:cs="Times New Roman" w:eastAsia="Times New Roman" w:hAnsi="Times New Roman"/>
          <w:sz w:val="24"/>
          <w:szCs w:val="24"/>
        </w:rPr>
        <w:t xml:space="preserve">— Financial advisor referral made. Advisor has experience with settlement recipients and understands trauma-informed financial planning. Introduction made before funds are disbursed.</w:t>
      </w:r>
    </w:p>
    <w:p>
      <w:pPr>
        <w:spacing w:after="0" w:line="480"/>
      </w:pPr>
      <w:r>
        <w:rPr>
          <w:rFonts w:ascii="Times New Roman" w:cs="Times New Roman" w:eastAsia="Times New Roman" w:hAnsi="Times New Roman"/>
          <w:sz w:val="24"/>
          <w:szCs w:val="24"/>
        </w:rPr>
        <w:t xml:space="preserve">— Financial plan in place. Covers immediate needs, short-term stability (6–12 months), long-term security, and protection against exploitation. Includes structured settlement component if appropriate.</w:t>
      </w:r>
    </w:p>
    <w:p>
      <w:pPr>
        <w:spacing w:after="0" w:line="480"/>
      </w:pPr>
      <w:r>
        <w:rPr>
          <w:rFonts w:ascii="Times New Roman" w:cs="Times New Roman" w:eastAsia="Times New Roman" w:hAnsi="Times New Roman"/>
          <w:sz w:val="24"/>
          <w:szCs w:val="24"/>
        </w:rPr>
        <w:t xml:space="preserve">— Lien resolution complete. All health insurance, Medicaid, Medicare, ERISA, and provider liens identified, negotiated, and resolved.</w:t>
      </w:r>
    </w:p>
    <w:p>
      <w:pPr>
        <w:spacing w:after="0" w:line="480"/>
      </w:pPr>
      <w:r>
        <w:rPr>
          <w:rFonts w:ascii="Times New Roman" w:cs="Times New Roman" w:eastAsia="Times New Roman" w:hAnsi="Times New Roman"/>
          <w:sz w:val="24"/>
          <w:szCs w:val="24"/>
        </w:rPr>
        <w:t xml:space="preserve">— Tax analysis complete. Settlement agreement allocates damages to maximize IRC § 104(a)(2) exclusion. Client referred to tax professional.</w:t>
      </w:r>
    </w:p>
    <w:p>
      <w:pPr>
        <w:spacing w:after="0" w:line="480"/>
      </w:pPr>
      <w:r>
        <w:rPr>
          <w:rFonts w:ascii="Times New Roman" w:cs="Times New Roman" w:eastAsia="Times New Roman" w:hAnsi="Times New Roman"/>
          <w:sz w:val="24"/>
          <w:szCs w:val="24"/>
        </w:rPr>
        <w:t xml:space="preserve">— Post-resolution drop discussed. Survivor understands that emotional difficulty in the 3–6 months following resolution is normal and has support systems in place.</w:t>
      </w:r>
    </w:p>
    <w:p>
      <w:pPr>
        <w:spacing w:after="0" w:line="480"/>
      </w:pPr>
      <w:r>
        <w:rPr>
          <w:rFonts w:ascii="Times New Roman" w:cs="Times New Roman" w:eastAsia="Times New Roman" w:hAnsi="Times New Roman"/>
          <w:sz w:val="24"/>
          <w:szCs w:val="24"/>
        </w:rPr>
        <w:t xml:space="preserve">— Support network identified. Survivor has at least one relationship outside the legal team that provides ongoing support: therapist, support group, family member, peer advocate.</w:t>
      </w:r>
    </w:p>
    <w:p>
      <w:pPr>
        <w:spacing w:after="0" w:line="480"/>
      </w:pPr>
      <w:r>
        <w:rPr>
          <w:rFonts w:ascii="Times New Roman" w:cs="Times New Roman" w:eastAsia="Times New Roman" w:hAnsi="Times New Roman"/>
          <w:sz w:val="24"/>
          <w:szCs w:val="24"/>
        </w:rPr>
        <w:t xml:space="preserve">— Exploitation risk discussed. Honest, respectful conversation about financial exploitation risk.</w:t>
      </w:r>
    </w:p>
    <w:p>
      <w:pPr>
        <w:spacing w:after="0" w:line="480"/>
      </w:pPr>
      <w:r>
        <w:rPr>
          <w:rFonts w:ascii="Times New Roman" w:cs="Times New Roman" w:eastAsia="Times New Roman" w:hAnsi="Times New Roman"/>
          <w:sz w:val="24"/>
          <w:szCs w:val="24"/>
        </w:rPr>
        <w:t xml:space="preserve">— File retention protocol. File retained per jurisdictional requirements. Key documents indexed for potential future use.</w:t>
      </w:r>
    </w:p>
    <w:p>
      <w:pPr>
        <w:spacing w:after="0" w:line="480"/>
      </w:pPr>
    </w:p>
    <w:p>
      <w:pPr>
        <w:spacing w:after="0" w:before="240" w:line="480"/>
      </w:pPr>
      <w:r>
        <w:rPr>
          <w:rFonts w:ascii="Times New Roman" w:cs="Times New Roman" w:eastAsia="Times New Roman" w:hAnsi="Times New Roman"/>
          <w:b/>
          <w:bCs/>
          <w:i/>
          <w:iCs/>
          <w:sz w:val="24"/>
          <w:szCs w:val="24"/>
        </w:rPr>
        <w:t xml:space="preserve">Structured Settlement Decision Framework</w:t>
      </w:r>
    </w:p>
    <w:p>
      <w:pPr>
        <w:spacing w:after="0" w:line="480"/>
      </w:pPr>
      <w:r>
        <w:rPr>
          <w:rFonts w:ascii="Times New Roman" w:cs="Times New Roman" w:eastAsia="Times New Roman" w:hAnsi="Times New Roman"/>
          <w:b/>
          <w:bCs/>
          <w:sz w:val="24"/>
          <w:szCs w:val="24"/>
        </w:rPr>
        <w:t xml:space="preserve">Consider structured settlement when:</w:t>
      </w:r>
      <w:r>
        <w:rPr>
          <w:rFonts w:ascii="Times New Roman" w:cs="Times New Roman" w:eastAsia="Times New Roman" w:hAnsi="Times New Roman"/>
          <w:sz w:val="24"/>
          <w:szCs w:val="24"/>
        </w:rPr>
        <w:t xml:space="preserve"> Survivor has significant executive functioning concerns. Survivor is a young adult. Survivor has a history of financial instability or exploitation. Survivor has ongoing therapeutic needs requiring predictable funding.</w:t>
      </w:r>
    </w:p>
    <w:p>
      <w:pPr>
        <w:spacing w:after="0" w:line="480"/>
      </w:pPr>
    </w:p>
    <w:p>
      <w:pPr>
        <w:spacing w:after="0" w:line="480"/>
      </w:pPr>
      <w:r>
        <w:rPr>
          <w:rFonts w:ascii="Times New Roman" w:cs="Times New Roman" w:eastAsia="Times New Roman" w:hAnsi="Times New Roman"/>
          <w:b/>
          <w:bCs/>
          <w:sz w:val="24"/>
          <w:szCs w:val="24"/>
        </w:rPr>
        <w:t xml:space="preserve">Consider lump sum when:</w:t>
      </w:r>
      <w:r>
        <w:rPr>
          <w:rFonts w:ascii="Times New Roman" w:cs="Times New Roman" w:eastAsia="Times New Roman" w:hAnsi="Times New Roman"/>
          <w:sz w:val="24"/>
          <w:szCs w:val="24"/>
        </w:rPr>
        <w:t xml:space="preserve"> Survivor has demonstrated financial management capacity. Survivor has specific immediate needs requiring flexibility. Survivor has a trusted financial advisor in place. Survivor has a strong support network.</w:t>
      </w:r>
    </w:p>
    <w:p>
      <w:pPr>
        <w:spacing w:after="0" w:line="480"/>
      </w:pPr>
    </w:p>
    <w:p>
      <w:pPr>
        <w:spacing w:after="0" w:line="480"/>
      </w:pPr>
      <w:r>
        <w:rPr>
          <w:rFonts w:ascii="Times New Roman" w:cs="Times New Roman" w:eastAsia="Times New Roman" w:hAnsi="Times New Roman"/>
          <w:b/>
          <w:bCs/>
          <w:sz w:val="24"/>
          <w:szCs w:val="24"/>
        </w:rPr>
        <w:t xml:space="preserve">Consider hybrid when:</w:t>
      </w:r>
      <w:r>
        <w:rPr>
          <w:rFonts w:ascii="Times New Roman" w:cs="Times New Roman" w:eastAsia="Times New Roman" w:hAnsi="Times New Roman"/>
          <w:sz w:val="24"/>
          <w:szCs w:val="24"/>
        </w:rPr>
        <w:t xml:space="preserve"> Survivor needs both immediate access and long-term security. Allocate 20–40% as lump sum for immediate needs; structure the remainder as an annuity with periodic distributions.</w:t>
      </w:r>
    </w:p>
    <w:p>
      <w:pPr>
        <w:spacing w:after="0" w:line="480"/>
      </w:pPr>
    </w:p>
    <w:p>
      <w:pPr>
        <w:spacing w:after="0" w:before="240" w:line="480"/>
      </w:pPr>
      <w:r>
        <w:rPr>
          <w:rFonts w:ascii="Times New Roman" w:cs="Times New Roman" w:eastAsia="Times New Roman" w:hAnsi="Times New Roman"/>
          <w:b/>
          <w:bCs/>
          <w:i/>
          <w:iCs/>
          <w:sz w:val="24"/>
          <w:szCs w:val="24"/>
        </w:rPr>
        <w:t xml:space="preserve">Systemic Advocacy Opportunities Checklist</w:t>
      </w:r>
    </w:p>
    <w:p>
      <w:pPr>
        <w:spacing w:after="0" w:line="480"/>
      </w:pPr>
      <w:r>
        <w:rPr>
          <w:rFonts w:ascii="Times New Roman" w:cs="Times New Roman" w:eastAsia="Times New Roman" w:hAnsi="Times New Roman"/>
          <w:sz w:val="24"/>
          <w:szCs w:val="24"/>
        </w:rPr>
        <w:t xml:space="preserve">After each case resolution, assess the following opportunities for systemic impact.</w:t>
      </w:r>
    </w:p>
    <w:p>
      <w:pPr>
        <w:spacing w:after="0" w:line="480"/>
      </w:pPr>
    </w:p>
    <w:p>
      <w:pPr>
        <w:spacing w:after="0" w:line="480"/>
      </w:pPr>
      <w:r>
        <w:rPr>
          <w:rFonts w:ascii="Times New Roman" w:cs="Times New Roman" w:eastAsia="Times New Roman" w:hAnsi="Times New Roman"/>
          <w:sz w:val="24"/>
          <w:szCs w:val="24"/>
        </w:rPr>
        <w:t xml:space="preserve">— Legislative testimony: Is there pending or proposed legislation addressing TTI regulation? Can the case evidence support testimony?</w:t>
      </w:r>
    </w:p>
    <w:p>
      <w:pPr>
        <w:spacing w:after="0" w:line="480"/>
      </w:pPr>
      <w:r>
        <w:rPr>
          <w:rFonts w:ascii="Times New Roman" w:cs="Times New Roman" w:eastAsia="Times New Roman" w:hAnsi="Times New Roman"/>
          <w:sz w:val="24"/>
          <w:szCs w:val="24"/>
        </w:rPr>
        <w:t xml:space="preserve">— Regulatory complaint: Does the case evidence support a complaint to the licensing authority? Can it be filed without violating confidentiality provisions?</w:t>
      </w:r>
    </w:p>
    <w:p>
      <w:pPr>
        <w:spacing w:after="0" w:line="480"/>
      </w:pPr>
      <w:r>
        <w:rPr>
          <w:rFonts w:ascii="Times New Roman" w:cs="Times New Roman" w:eastAsia="Times New Roman" w:hAnsi="Times New Roman"/>
          <w:sz w:val="24"/>
          <w:szCs w:val="24"/>
        </w:rPr>
        <w:t xml:space="preserve">— Media engagement: Is there a public interest angle? Has the survivor consented to public identification? Is there a media professional who can manage the process?</w:t>
      </w:r>
    </w:p>
    <w:p>
      <w:pPr>
        <w:spacing w:after="0" w:line="480"/>
      </w:pPr>
      <w:r>
        <w:rPr>
          <w:rFonts w:ascii="Times New Roman" w:cs="Times New Roman" w:eastAsia="Times New Roman" w:hAnsi="Times New Roman"/>
          <w:sz w:val="24"/>
          <w:szCs w:val="24"/>
        </w:rPr>
        <w:t xml:space="preserve">— Academic publication: Does the case present novel legal theories or frameworks that would benefit the broader legal community?</w:t>
      </w:r>
    </w:p>
    <w:p>
      <w:pPr>
        <w:spacing w:after="0" w:line="480"/>
      </w:pPr>
      <w:r>
        <w:rPr>
          <w:rFonts w:ascii="Times New Roman" w:cs="Times New Roman" w:eastAsia="Times New Roman" w:hAnsi="Times New Roman"/>
          <w:sz w:val="24"/>
          <w:szCs w:val="24"/>
        </w:rPr>
        <w:t xml:space="preserve">— Coalition building: Are there survivor organizations or other plaintiff's firms working on TTI reform? Can you contribute case evidence or referral relationships?</w:t>
      </w:r>
    </w:p>
    <w:p>
      <w:pPr>
        <w:spacing w:after="0" w:line="480"/>
      </w:pPr>
      <w:r>
        <w:rPr>
          <w:rFonts w:ascii="Times New Roman" w:cs="Times New Roman" w:eastAsia="Times New Roman" w:hAnsi="Times New Roman"/>
          <w:sz w:val="24"/>
          <w:szCs w:val="24"/>
        </w:rPr>
        <w:t xml:space="preserve">— Amicus opportunities: Are there pending appellate cases where your experience could support a favorable brief on BITE model admissibility, coercive-system theory, or institutional liability?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After the Verdict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2026-05-13T20:45:14.124Z</dcterms:created>
  <dcterms:modified xsi:type="dcterms:W3CDTF">2026-05-13T20:45:14.124Z</dcterms:modified>
</cp:coreProperties>
</file>

<file path=docProps/custom.xml><?xml version="1.0" encoding="utf-8"?>
<Properties xmlns="http://schemas.openxmlformats.org/officeDocument/2006/custom-properties" xmlns:vt="http://schemas.openxmlformats.org/officeDocument/2006/docPropsVTypes"/>
</file>