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CEB15" w14:textId="4B68D292" w:rsidR="008D4B7A" w:rsidRDefault="0051174B" w:rsidP="008D4B7A">
      <w:pPr>
        <w:spacing w:after="0" w:line="240" w:lineRule="auto"/>
        <w:jc w:val="center"/>
        <w:outlineLvl w:val="0"/>
        <w:rPr>
          <w:rFonts w:eastAsia="Times New Roman" w:cstheme="minorHAnsi"/>
          <w:color w:val="00BCB5"/>
          <w:kern w:val="36"/>
          <w:sz w:val="52"/>
          <w:szCs w:val="52"/>
        </w:rPr>
      </w:pPr>
      <w:r>
        <w:rPr>
          <w:rFonts w:eastAsia="Times New Roman" w:cstheme="minorHAnsi"/>
          <w:noProof/>
          <w:color w:val="00BCB5"/>
          <w:kern w:val="36"/>
          <w:sz w:val="52"/>
          <w:szCs w:val="52"/>
        </w:rPr>
        <w:drawing>
          <wp:inline distT="0" distB="0" distL="0" distR="0" wp14:anchorId="0F6303C2" wp14:editId="6A741440">
            <wp:extent cx="1581150" cy="763840"/>
            <wp:effectExtent l="0" t="0" r="0" b="0"/>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mp;W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5180" cy="789941"/>
                    </a:xfrm>
                    <a:prstGeom prst="rect">
                      <a:avLst/>
                    </a:prstGeom>
                  </pic:spPr>
                </pic:pic>
              </a:graphicData>
            </a:graphic>
          </wp:inline>
        </w:drawing>
      </w:r>
    </w:p>
    <w:p w14:paraId="638B6290" w14:textId="77777777" w:rsidR="008D4B7A" w:rsidRPr="008D4B7A" w:rsidRDefault="008D4B7A" w:rsidP="008D4B7A">
      <w:pPr>
        <w:spacing w:after="0" w:line="240" w:lineRule="auto"/>
        <w:jc w:val="center"/>
        <w:outlineLvl w:val="0"/>
        <w:rPr>
          <w:rFonts w:eastAsia="Times New Roman" w:cstheme="minorHAnsi"/>
          <w:color w:val="00BCB5"/>
          <w:kern w:val="36"/>
          <w:sz w:val="16"/>
          <w:szCs w:val="16"/>
        </w:rPr>
      </w:pPr>
    </w:p>
    <w:p w14:paraId="0F31FD98" w14:textId="77777777" w:rsidR="0051174B" w:rsidRDefault="0051174B" w:rsidP="008D4B7A">
      <w:pPr>
        <w:spacing w:after="0" w:line="240" w:lineRule="auto"/>
        <w:jc w:val="center"/>
        <w:outlineLvl w:val="0"/>
        <w:rPr>
          <w:rFonts w:eastAsia="Times New Roman" w:cstheme="minorHAnsi"/>
          <w:kern w:val="36"/>
          <w:sz w:val="40"/>
          <w:szCs w:val="40"/>
        </w:rPr>
      </w:pPr>
    </w:p>
    <w:p w14:paraId="7A5D2DDD" w14:textId="6E4604C5" w:rsidR="008D4B7A" w:rsidRPr="0051174B" w:rsidRDefault="008D4B7A" w:rsidP="008D4B7A">
      <w:pPr>
        <w:spacing w:after="0" w:line="240" w:lineRule="auto"/>
        <w:jc w:val="center"/>
        <w:outlineLvl w:val="0"/>
        <w:rPr>
          <w:rFonts w:eastAsia="Times New Roman" w:cstheme="minorHAnsi"/>
          <w:kern w:val="36"/>
          <w:sz w:val="40"/>
          <w:szCs w:val="40"/>
        </w:rPr>
      </w:pPr>
      <w:r w:rsidRPr="0051174B">
        <w:rPr>
          <w:rFonts w:eastAsia="Times New Roman" w:cstheme="minorHAnsi"/>
          <w:kern w:val="36"/>
          <w:sz w:val="40"/>
          <w:szCs w:val="40"/>
        </w:rPr>
        <w:t xml:space="preserve">Five Numbers You, Your Boss &amp; Your Board Need to Know </w:t>
      </w:r>
    </w:p>
    <w:p w14:paraId="4193A0BB" w14:textId="148E2B19" w:rsidR="008D4B7A" w:rsidRDefault="008D4B7A" w:rsidP="0051174B">
      <w:pPr>
        <w:spacing w:after="0" w:line="240" w:lineRule="auto"/>
        <w:jc w:val="center"/>
        <w:rPr>
          <w:rFonts w:eastAsia="Times New Roman" w:cstheme="minorHAnsi"/>
          <w:color w:val="333333"/>
          <w:sz w:val="24"/>
          <w:szCs w:val="24"/>
        </w:rPr>
      </w:pPr>
      <w:r w:rsidRPr="00575A94">
        <w:rPr>
          <w:rFonts w:eastAsia="Times New Roman" w:cstheme="minorHAnsi"/>
          <w:color w:val="333333"/>
          <w:sz w:val="24"/>
          <w:szCs w:val="24"/>
        </w:rPr>
        <w:t>by</w:t>
      </w:r>
      <w:r w:rsidR="0051174B">
        <w:rPr>
          <w:rFonts w:eastAsia="Times New Roman" w:cstheme="minorHAnsi"/>
          <w:color w:val="333333"/>
          <w:sz w:val="24"/>
          <w:szCs w:val="24"/>
        </w:rPr>
        <w:t xml:space="preserve"> Cathy R. Sheffield, ThinkGiving and </w:t>
      </w:r>
      <w:hyperlink r:id="rId7" w:history="1">
        <w:r w:rsidRPr="00876B14">
          <w:rPr>
            <w:rFonts w:eastAsia="Times New Roman" w:cstheme="minorHAnsi"/>
            <w:sz w:val="24"/>
            <w:szCs w:val="24"/>
          </w:rPr>
          <w:t>Patrick Schmitt</w:t>
        </w:r>
        <w:r w:rsidR="0051174B">
          <w:rPr>
            <w:rFonts w:eastAsia="Times New Roman" w:cstheme="minorHAnsi"/>
            <w:sz w:val="24"/>
            <w:szCs w:val="24"/>
          </w:rPr>
          <w:t>, FreeWill</w:t>
        </w:r>
        <w:r w:rsidRPr="00876B14">
          <w:rPr>
            <w:rFonts w:eastAsia="Times New Roman" w:cstheme="minorHAnsi"/>
            <w:sz w:val="24"/>
            <w:szCs w:val="24"/>
          </w:rPr>
          <w:t xml:space="preserve"> </w:t>
        </w:r>
      </w:hyperlink>
    </w:p>
    <w:p w14:paraId="386F0D08" w14:textId="528D1A22" w:rsidR="0051174B" w:rsidRDefault="0051174B" w:rsidP="008D4B7A">
      <w:pPr>
        <w:spacing w:after="0" w:line="240" w:lineRule="auto"/>
        <w:rPr>
          <w:rFonts w:eastAsia="Times New Roman" w:cstheme="minorHAnsi"/>
          <w:color w:val="333333"/>
          <w:sz w:val="24"/>
          <w:szCs w:val="24"/>
        </w:rPr>
      </w:pPr>
    </w:p>
    <w:p w14:paraId="0A306A30" w14:textId="77777777" w:rsidR="0051174B" w:rsidRPr="008D4B7A" w:rsidRDefault="0051174B" w:rsidP="008D4B7A">
      <w:pPr>
        <w:spacing w:after="0" w:line="240" w:lineRule="auto"/>
        <w:rPr>
          <w:rFonts w:eastAsia="Times New Roman" w:cstheme="minorHAnsi"/>
          <w:color w:val="333333"/>
          <w:sz w:val="24"/>
          <w:szCs w:val="24"/>
        </w:rPr>
      </w:pPr>
    </w:p>
    <w:p w14:paraId="5789EFA9" w14:textId="77777777" w:rsidR="008D4B7A" w:rsidRPr="00575A94" w:rsidRDefault="008D4B7A" w:rsidP="008D4B7A">
      <w:pPr>
        <w:spacing w:after="100" w:afterAutospacing="1" w:line="240" w:lineRule="auto"/>
        <w:rPr>
          <w:rFonts w:eastAsia="Times New Roman" w:cstheme="minorHAnsi"/>
          <w:color w:val="333333"/>
          <w:sz w:val="24"/>
          <w:szCs w:val="24"/>
        </w:rPr>
      </w:pPr>
      <w:r w:rsidRPr="00575A94">
        <w:rPr>
          <w:rFonts w:eastAsia="Times New Roman" w:cstheme="minorHAnsi"/>
          <w:color w:val="333333"/>
          <w:sz w:val="24"/>
          <w:szCs w:val="24"/>
        </w:rPr>
        <w:t xml:space="preserve">Planned giving professionals tell us that one of the hardest things about their work is winning more resources internally. </w:t>
      </w:r>
      <w:r w:rsidRPr="00876B14">
        <w:rPr>
          <w:rFonts w:eastAsia="Times New Roman" w:cstheme="minorHAnsi"/>
          <w:bCs/>
          <w:color w:val="333333"/>
          <w:sz w:val="24"/>
          <w:szCs w:val="24"/>
        </w:rPr>
        <w:t>Here are some big, powerful stats to share with your boss and board to help you expand your planned giving fundraising.</w:t>
      </w:r>
    </w:p>
    <w:p w14:paraId="61BC1C68" w14:textId="77777777" w:rsidR="008D4B7A" w:rsidRPr="00876B14" w:rsidRDefault="008D4B7A" w:rsidP="008D4B7A">
      <w:pPr>
        <w:spacing w:after="0" w:line="240" w:lineRule="auto"/>
        <w:outlineLvl w:val="0"/>
        <w:rPr>
          <w:rFonts w:eastAsia="Times New Roman" w:cstheme="minorHAnsi"/>
          <w:b/>
          <w:kern w:val="36"/>
          <w:sz w:val="24"/>
          <w:szCs w:val="24"/>
        </w:rPr>
      </w:pPr>
      <w:r w:rsidRPr="00876B14">
        <w:rPr>
          <w:rFonts w:eastAsia="Times New Roman" w:cstheme="minorHAnsi"/>
          <w:b/>
          <w:kern w:val="36"/>
          <w:sz w:val="24"/>
          <w:szCs w:val="24"/>
        </w:rPr>
        <w:t>$30 trillion</w:t>
      </w:r>
    </w:p>
    <w:p w14:paraId="089A9ED9" w14:textId="5F702CA2" w:rsidR="008D4B7A" w:rsidRPr="00876B14" w:rsidRDefault="008D4B7A" w:rsidP="008D4B7A">
      <w:pPr>
        <w:spacing w:after="0" w:line="240" w:lineRule="auto"/>
        <w:rPr>
          <w:rFonts w:eastAsia="Times New Roman" w:cstheme="minorHAnsi"/>
          <w:sz w:val="24"/>
          <w:szCs w:val="24"/>
        </w:rPr>
      </w:pPr>
      <w:r w:rsidRPr="00876B14">
        <w:rPr>
          <w:rFonts w:eastAsia="Times New Roman" w:cstheme="minorHAnsi"/>
          <w:sz w:val="24"/>
          <w:szCs w:val="24"/>
        </w:rPr>
        <w:t xml:space="preserve">In the next 20 years, there will be more than </w:t>
      </w:r>
      <w:r w:rsidRPr="00876B14">
        <w:rPr>
          <w:rFonts w:eastAsia="Times New Roman" w:cstheme="minorHAnsi"/>
          <w:b/>
          <w:bCs/>
          <w:sz w:val="24"/>
          <w:szCs w:val="24"/>
        </w:rPr>
        <w:t>$30 trillion</w:t>
      </w:r>
      <w:r w:rsidRPr="00876B14">
        <w:rPr>
          <w:rFonts w:eastAsia="Times New Roman" w:cstheme="minorHAnsi"/>
          <w:sz w:val="24"/>
          <w:szCs w:val="24"/>
        </w:rPr>
        <w:t xml:space="preserve"> inherited as the large and wealthy Baby Boomer population ages. By some estimates, this generation owns half of all the wealth in the United States. This may be the single biggest opportunity for philanthropy in the history of the world. </w:t>
      </w:r>
    </w:p>
    <w:p w14:paraId="6D6D3317" w14:textId="77777777" w:rsidR="008D4B7A" w:rsidRPr="00876B14" w:rsidRDefault="008D4B7A" w:rsidP="008D4B7A">
      <w:pPr>
        <w:spacing w:after="0" w:line="240" w:lineRule="auto"/>
        <w:rPr>
          <w:rFonts w:eastAsia="Times New Roman" w:cstheme="minorHAnsi"/>
          <w:sz w:val="24"/>
          <w:szCs w:val="24"/>
        </w:rPr>
      </w:pPr>
    </w:p>
    <w:p w14:paraId="2ECC8EE0" w14:textId="77777777" w:rsidR="008D4B7A" w:rsidRPr="00876B14" w:rsidRDefault="008D4B7A" w:rsidP="008D4B7A">
      <w:pPr>
        <w:spacing w:after="0" w:line="240" w:lineRule="auto"/>
        <w:outlineLvl w:val="0"/>
        <w:rPr>
          <w:rFonts w:eastAsia="Times New Roman" w:cstheme="minorHAnsi"/>
          <w:b/>
          <w:kern w:val="36"/>
          <w:sz w:val="24"/>
          <w:szCs w:val="24"/>
        </w:rPr>
      </w:pPr>
      <w:r w:rsidRPr="00876B14">
        <w:rPr>
          <w:rFonts w:eastAsia="Times New Roman" w:cstheme="minorHAnsi"/>
          <w:b/>
          <w:kern w:val="36"/>
          <w:sz w:val="24"/>
          <w:szCs w:val="24"/>
        </w:rPr>
        <w:t>75%</w:t>
      </w:r>
    </w:p>
    <w:p w14:paraId="7891E902" w14:textId="18E8B06B" w:rsidR="008D4B7A" w:rsidRPr="00876B14" w:rsidRDefault="008D4B7A" w:rsidP="008D4B7A">
      <w:pPr>
        <w:spacing w:after="0" w:line="240" w:lineRule="auto"/>
        <w:rPr>
          <w:rFonts w:eastAsia="Times New Roman" w:cstheme="minorHAnsi"/>
          <w:sz w:val="24"/>
          <w:szCs w:val="24"/>
        </w:rPr>
      </w:pPr>
      <w:r w:rsidRPr="00876B14">
        <w:rPr>
          <w:rFonts w:eastAsia="Times New Roman" w:cstheme="minorHAnsi"/>
          <w:sz w:val="24"/>
          <w:szCs w:val="24"/>
        </w:rPr>
        <w:t>Planned giving can help the whole development team hit their goals. According to research by Dr. Russell James, donors who make bequests increase their giving in the subsequent 5 years</w:t>
      </w:r>
      <w:bookmarkStart w:id="0" w:name="_GoBack"/>
      <w:bookmarkEnd w:id="0"/>
      <w:r w:rsidRPr="00876B14">
        <w:rPr>
          <w:rFonts w:eastAsia="Times New Roman" w:cstheme="minorHAnsi"/>
          <w:sz w:val="24"/>
          <w:szCs w:val="24"/>
        </w:rPr>
        <w:t xml:space="preserve"> by </w:t>
      </w:r>
      <w:r w:rsidRPr="00876B14">
        <w:rPr>
          <w:rFonts w:eastAsia="Times New Roman" w:cstheme="minorHAnsi"/>
          <w:b/>
          <w:bCs/>
          <w:sz w:val="24"/>
          <w:szCs w:val="24"/>
        </w:rPr>
        <w:t>75%</w:t>
      </w:r>
      <w:r w:rsidRPr="00876B14">
        <w:rPr>
          <w:rFonts w:eastAsia="Times New Roman" w:cstheme="minorHAnsi"/>
          <w:sz w:val="24"/>
          <w:szCs w:val="24"/>
        </w:rPr>
        <w:t>.</w:t>
      </w:r>
    </w:p>
    <w:p w14:paraId="77FB6E3A" w14:textId="77777777" w:rsidR="008D4B7A" w:rsidRPr="00876B14" w:rsidRDefault="008D4B7A" w:rsidP="008D4B7A">
      <w:pPr>
        <w:spacing w:after="0" w:line="240" w:lineRule="auto"/>
        <w:rPr>
          <w:rFonts w:eastAsia="Times New Roman" w:cstheme="minorHAnsi"/>
          <w:sz w:val="24"/>
          <w:szCs w:val="24"/>
        </w:rPr>
      </w:pPr>
    </w:p>
    <w:p w14:paraId="10A4F66E" w14:textId="77777777" w:rsidR="008D4B7A" w:rsidRPr="00876B14" w:rsidRDefault="008D4B7A" w:rsidP="008D4B7A">
      <w:pPr>
        <w:spacing w:after="0" w:line="240" w:lineRule="auto"/>
        <w:outlineLvl w:val="0"/>
        <w:rPr>
          <w:rFonts w:eastAsia="Times New Roman" w:cstheme="minorHAnsi"/>
          <w:b/>
          <w:kern w:val="36"/>
          <w:sz w:val="24"/>
          <w:szCs w:val="24"/>
        </w:rPr>
      </w:pPr>
      <w:r w:rsidRPr="00876B14">
        <w:rPr>
          <w:rFonts w:eastAsia="Times New Roman" w:cstheme="minorHAnsi"/>
          <w:b/>
          <w:kern w:val="36"/>
          <w:sz w:val="24"/>
          <w:szCs w:val="24"/>
        </w:rPr>
        <w:t>2.74</w:t>
      </w:r>
    </w:p>
    <w:p w14:paraId="238E8173" w14:textId="03C09F8F" w:rsidR="008D4B7A" w:rsidRPr="00876B14" w:rsidRDefault="000C0205" w:rsidP="008D4B7A">
      <w:pPr>
        <w:spacing w:after="0" w:line="240" w:lineRule="auto"/>
        <w:rPr>
          <w:rFonts w:eastAsia="Times New Roman" w:cstheme="minorHAnsi"/>
          <w:sz w:val="24"/>
          <w:szCs w:val="24"/>
        </w:rPr>
      </w:pPr>
      <w:hyperlink r:id="rId8" w:history="1">
        <w:r w:rsidR="008D4B7A" w:rsidRPr="00876B14">
          <w:rPr>
            <w:rFonts w:eastAsia="Times New Roman" w:cstheme="minorHAnsi"/>
            <w:sz w:val="24"/>
            <w:szCs w:val="24"/>
          </w:rPr>
          <w:t>A study on IRS data</w:t>
        </w:r>
      </w:hyperlink>
      <w:r w:rsidR="008D4B7A" w:rsidRPr="00876B14">
        <w:rPr>
          <w:rFonts w:eastAsia="Times New Roman" w:cstheme="minorHAnsi"/>
          <w:sz w:val="24"/>
          <w:szCs w:val="24"/>
        </w:rPr>
        <w:t xml:space="preserve"> found that bequests are by far the largest type of gifts, averaging 2.74 times the </w:t>
      </w:r>
      <w:r w:rsidR="008D4B7A" w:rsidRPr="00876B14">
        <w:rPr>
          <w:rFonts w:eastAsia="Times New Roman" w:cstheme="minorHAnsi"/>
          <w:i/>
          <w:iCs/>
          <w:sz w:val="24"/>
          <w:szCs w:val="24"/>
        </w:rPr>
        <w:t>total lifetime giving of a donor</w:t>
      </w:r>
      <w:r w:rsidR="008D4B7A" w:rsidRPr="00876B14">
        <w:rPr>
          <w:rFonts w:eastAsia="Times New Roman" w:cstheme="minorHAnsi"/>
          <w:sz w:val="24"/>
          <w:szCs w:val="24"/>
        </w:rPr>
        <w:t>.  </w:t>
      </w:r>
    </w:p>
    <w:p w14:paraId="0FB5E76D" w14:textId="77777777" w:rsidR="008D4B7A" w:rsidRPr="00876B14" w:rsidRDefault="008D4B7A" w:rsidP="008D4B7A">
      <w:pPr>
        <w:spacing w:after="0" w:line="240" w:lineRule="auto"/>
        <w:rPr>
          <w:rFonts w:eastAsia="Times New Roman" w:cstheme="minorHAnsi"/>
          <w:sz w:val="24"/>
          <w:szCs w:val="24"/>
        </w:rPr>
      </w:pPr>
    </w:p>
    <w:p w14:paraId="2D08E80E" w14:textId="77777777" w:rsidR="008D4B7A" w:rsidRPr="00876B14" w:rsidRDefault="008D4B7A" w:rsidP="008D4B7A">
      <w:pPr>
        <w:spacing w:after="0" w:line="240" w:lineRule="auto"/>
        <w:outlineLvl w:val="0"/>
        <w:rPr>
          <w:rFonts w:eastAsia="Times New Roman" w:cstheme="minorHAnsi"/>
          <w:b/>
          <w:kern w:val="36"/>
          <w:sz w:val="24"/>
          <w:szCs w:val="24"/>
        </w:rPr>
      </w:pPr>
      <w:r w:rsidRPr="00876B14">
        <w:rPr>
          <w:rFonts w:eastAsia="Times New Roman" w:cstheme="minorHAnsi"/>
          <w:b/>
          <w:kern w:val="36"/>
          <w:sz w:val="24"/>
          <w:szCs w:val="24"/>
        </w:rPr>
        <w:t>56 to 1</w:t>
      </w:r>
    </w:p>
    <w:p w14:paraId="2A135E59" w14:textId="5DE228F5" w:rsidR="008D4B7A" w:rsidRDefault="008D4B7A" w:rsidP="00876B14">
      <w:pPr>
        <w:spacing w:after="0" w:line="240" w:lineRule="auto"/>
        <w:rPr>
          <w:rFonts w:eastAsia="Times New Roman" w:cstheme="minorHAnsi"/>
          <w:sz w:val="24"/>
          <w:szCs w:val="24"/>
        </w:rPr>
      </w:pPr>
      <w:r w:rsidRPr="00876B14">
        <w:rPr>
          <w:rFonts w:eastAsia="Times New Roman" w:cstheme="minorHAnsi"/>
          <w:sz w:val="24"/>
          <w:szCs w:val="24"/>
        </w:rPr>
        <w:t>Planned Giving is widely considered to have the highest ROI of any type of fundraising</w:t>
      </w:r>
      <w:r w:rsidRPr="00876B14">
        <w:rPr>
          <w:rFonts w:eastAsia="Times New Roman" w:cstheme="minorHAnsi"/>
          <w:b/>
          <w:bCs/>
          <w:sz w:val="24"/>
          <w:szCs w:val="24"/>
        </w:rPr>
        <w:t>.</w:t>
      </w:r>
      <w:r w:rsidRPr="00876B14">
        <w:rPr>
          <w:rFonts w:eastAsia="Times New Roman" w:cstheme="minorHAnsi"/>
          <w:sz w:val="24"/>
          <w:szCs w:val="24"/>
        </w:rPr>
        <w:t xml:space="preserve"> </w:t>
      </w:r>
      <w:r w:rsidR="00876B14">
        <w:rPr>
          <w:rFonts w:eastAsia="Times New Roman" w:cstheme="minorHAnsi"/>
          <w:sz w:val="24"/>
          <w:szCs w:val="24"/>
        </w:rPr>
        <w:t xml:space="preserve"> </w:t>
      </w:r>
      <w:hyperlink r:id="rId9" w:history="1">
        <w:r w:rsidRPr="00876B14">
          <w:rPr>
            <w:rFonts w:eastAsia="Times New Roman" w:cstheme="minorHAnsi"/>
            <w:sz w:val="24"/>
            <w:szCs w:val="24"/>
          </w:rPr>
          <w:t xml:space="preserve">A study by </w:t>
        </w:r>
        <w:proofErr w:type="spellStart"/>
        <w:r w:rsidRPr="00876B14">
          <w:rPr>
            <w:rFonts w:eastAsia="Times New Roman" w:cstheme="minorHAnsi"/>
            <w:i/>
            <w:sz w:val="24"/>
            <w:szCs w:val="24"/>
          </w:rPr>
          <w:t>AskRight</w:t>
        </w:r>
        <w:proofErr w:type="spellEnd"/>
      </w:hyperlink>
      <w:r w:rsidRPr="00876B14">
        <w:rPr>
          <w:rFonts w:eastAsia="Times New Roman" w:cstheme="minorHAnsi"/>
          <w:sz w:val="24"/>
          <w:szCs w:val="24"/>
        </w:rPr>
        <w:t xml:space="preserve"> found the average ROI on bequests to be 56.83:1, more than </w:t>
      </w:r>
      <w:r w:rsidRPr="00876B14">
        <w:rPr>
          <w:rFonts w:eastAsia="Times New Roman" w:cstheme="minorHAnsi"/>
          <w:i/>
          <w:iCs/>
          <w:sz w:val="24"/>
          <w:szCs w:val="24"/>
        </w:rPr>
        <w:t>15 times higher</w:t>
      </w:r>
      <w:r w:rsidRPr="00876B14">
        <w:rPr>
          <w:rFonts w:eastAsia="Times New Roman" w:cstheme="minorHAnsi"/>
          <w:sz w:val="24"/>
          <w:szCs w:val="24"/>
        </w:rPr>
        <w:t xml:space="preserve"> than the ROI on direct mail.</w:t>
      </w:r>
      <w:r w:rsidR="00876B14">
        <w:rPr>
          <w:rFonts w:eastAsia="Times New Roman" w:cstheme="minorHAnsi"/>
          <w:sz w:val="24"/>
          <w:szCs w:val="24"/>
        </w:rPr>
        <w:t xml:space="preserve">  </w:t>
      </w:r>
      <w:r w:rsidRPr="00876B14">
        <w:rPr>
          <w:rFonts w:eastAsia="Times New Roman" w:cstheme="minorHAnsi"/>
          <w:sz w:val="24"/>
          <w:szCs w:val="24"/>
        </w:rPr>
        <w:t xml:space="preserve">We’ve seen ROI as high as 100:1 in our work with small donors with </w:t>
      </w:r>
      <w:hyperlink r:id="rId10" w:history="1">
        <w:r w:rsidRPr="00876B14">
          <w:rPr>
            <w:rFonts w:eastAsia="Times New Roman" w:cstheme="minorHAnsi"/>
            <w:sz w:val="24"/>
            <w:szCs w:val="24"/>
          </w:rPr>
          <w:t>FreeWill</w:t>
        </w:r>
      </w:hyperlink>
      <w:r w:rsidRPr="00876B14">
        <w:rPr>
          <w:rFonts w:eastAsia="Times New Roman" w:cstheme="minorHAnsi"/>
          <w:sz w:val="24"/>
          <w:szCs w:val="24"/>
        </w:rPr>
        <w:t xml:space="preserve"> and </w:t>
      </w:r>
      <w:hyperlink r:id="rId11" w:history="1">
        <w:r w:rsidRPr="00876B14">
          <w:rPr>
            <w:rFonts w:eastAsia="Times New Roman" w:cstheme="minorHAnsi"/>
            <w:sz w:val="24"/>
            <w:szCs w:val="24"/>
          </w:rPr>
          <w:t>Thompson &amp; Associates</w:t>
        </w:r>
      </w:hyperlink>
      <w:r w:rsidRPr="00876B14">
        <w:rPr>
          <w:rFonts w:eastAsia="Times New Roman" w:cstheme="minorHAnsi"/>
          <w:sz w:val="24"/>
          <w:szCs w:val="24"/>
        </w:rPr>
        <w:t>’ planning clients, though results certainly vary by organization, campaign, and strategy.</w:t>
      </w:r>
    </w:p>
    <w:p w14:paraId="484A1FBC" w14:textId="77777777" w:rsidR="00876B14" w:rsidRPr="00876B14" w:rsidRDefault="00876B14" w:rsidP="00876B14">
      <w:pPr>
        <w:spacing w:after="0" w:line="240" w:lineRule="auto"/>
        <w:rPr>
          <w:rFonts w:eastAsia="Times New Roman" w:cstheme="minorHAnsi"/>
          <w:sz w:val="24"/>
          <w:szCs w:val="24"/>
        </w:rPr>
      </w:pPr>
    </w:p>
    <w:p w14:paraId="44173C19" w14:textId="77777777" w:rsidR="008D4B7A" w:rsidRPr="00876B14" w:rsidRDefault="008D4B7A" w:rsidP="008D4B7A">
      <w:pPr>
        <w:spacing w:after="0" w:line="240" w:lineRule="auto"/>
        <w:outlineLvl w:val="0"/>
        <w:rPr>
          <w:rFonts w:eastAsia="Times New Roman" w:cstheme="minorHAnsi"/>
          <w:b/>
          <w:kern w:val="36"/>
          <w:sz w:val="24"/>
          <w:szCs w:val="24"/>
        </w:rPr>
      </w:pPr>
      <w:r w:rsidRPr="00876B14">
        <w:rPr>
          <w:rFonts w:eastAsia="Times New Roman" w:cstheme="minorHAnsi"/>
          <w:b/>
          <w:kern w:val="36"/>
          <w:sz w:val="24"/>
          <w:szCs w:val="24"/>
        </w:rPr>
        <w:t>1</w:t>
      </w:r>
    </w:p>
    <w:p w14:paraId="13E89836" w14:textId="45B73E49" w:rsidR="008D4B7A" w:rsidRPr="00876B14" w:rsidRDefault="008D4B7A" w:rsidP="008D4B7A">
      <w:pPr>
        <w:spacing w:after="0" w:line="240" w:lineRule="auto"/>
        <w:rPr>
          <w:rFonts w:cstheme="minorHAnsi"/>
          <w:sz w:val="24"/>
          <w:szCs w:val="24"/>
        </w:rPr>
      </w:pPr>
      <w:r w:rsidRPr="00876B14">
        <w:rPr>
          <w:rFonts w:eastAsia="Times New Roman" w:cstheme="minorHAnsi"/>
          <w:sz w:val="24"/>
          <w:szCs w:val="24"/>
        </w:rPr>
        <w:t>One.  The one is You!  You know how important planned giving is to the mission of your organization. We hope these numbers help you educate the rest of your organization.</w:t>
      </w:r>
    </w:p>
    <w:p w14:paraId="6668BD74" w14:textId="417CF976" w:rsidR="008D4B7A" w:rsidRDefault="008D4B7A"/>
    <w:p w14:paraId="3B5B7B9A" w14:textId="77777777" w:rsidR="0051174B" w:rsidRDefault="0051174B" w:rsidP="0051174B">
      <w:pPr>
        <w:spacing w:after="0" w:line="240" w:lineRule="auto"/>
        <w:rPr>
          <w:rFonts w:eastAsia="Times New Roman" w:cstheme="minorHAnsi"/>
          <w:color w:val="333333"/>
          <w:sz w:val="20"/>
          <w:szCs w:val="20"/>
        </w:rPr>
      </w:pPr>
    </w:p>
    <w:p w14:paraId="330BFF18" w14:textId="77777777" w:rsidR="0051174B" w:rsidRDefault="0051174B" w:rsidP="0051174B">
      <w:pPr>
        <w:spacing w:after="0" w:line="240" w:lineRule="auto"/>
        <w:rPr>
          <w:rFonts w:eastAsia="Times New Roman" w:cstheme="minorHAnsi"/>
          <w:color w:val="333333"/>
          <w:sz w:val="20"/>
          <w:szCs w:val="20"/>
        </w:rPr>
      </w:pPr>
    </w:p>
    <w:p w14:paraId="36F4DEC5" w14:textId="7421AABE" w:rsidR="0051174B" w:rsidRPr="00876B14" w:rsidRDefault="0051174B" w:rsidP="0051174B">
      <w:pPr>
        <w:spacing w:after="0" w:line="240" w:lineRule="auto"/>
      </w:pPr>
      <w:r>
        <w:rPr>
          <w:rFonts w:eastAsia="Times New Roman" w:cstheme="minorHAnsi"/>
          <w:color w:val="333333"/>
          <w:sz w:val="20"/>
          <w:szCs w:val="20"/>
        </w:rPr>
        <w:t xml:space="preserve">This blog can be found at </w:t>
      </w:r>
      <w:r w:rsidRPr="0051174B">
        <w:rPr>
          <w:rFonts w:eastAsia="Times New Roman" w:cstheme="minorHAnsi"/>
          <w:color w:val="333333"/>
          <w:sz w:val="20"/>
          <w:szCs w:val="20"/>
        </w:rPr>
        <w:t>http://blog.charitablegiftplanners.org/five-numbers-you-your-boss-and-your-board-need-to-know</w:t>
      </w:r>
    </w:p>
    <w:sectPr w:rsidR="0051174B" w:rsidRPr="00876B14" w:rsidSect="008D4B7A">
      <w:footerReference w:type="default" r:id="rId12"/>
      <w:pgSz w:w="12240" w:h="15840"/>
      <w:pgMar w:top="990" w:right="1440" w:bottom="144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00999" w14:textId="77777777" w:rsidR="000C0205" w:rsidRDefault="000C0205">
      <w:pPr>
        <w:spacing w:after="0" w:line="240" w:lineRule="auto"/>
      </w:pPr>
      <w:r>
        <w:separator/>
      </w:r>
    </w:p>
  </w:endnote>
  <w:endnote w:type="continuationSeparator" w:id="0">
    <w:p w14:paraId="34EB2807" w14:textId="77777777" w:rsidR="000C0205" w:rsidRDefault="000C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4184C" w14:textId="77777777" w:rsidR="008D4B7A" w:rsidRDefault="008D4B7A">
    <w:pPr>
      <w:pStyle w:val="Footer"/>
    </w:pPr>
    <w:r>
      <w:t>ThinkGiving.com</w:t>
    </w:r>
    <w:r>
      <w:tab/>
      <w:t>435 Fall Cedar Drive, Fort Worth, TX 76108</w:t>
    </w:r>
    <w:r>
      <w:tab/>
      <w:t>817-371-0597</w:t>
    </w:r>
  </w:p>
  <w:p w14:paraId="4CC5084B" w14:textId="77777777" w:rsidR="008D4B7A" w:rsidRDefault="008D4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9C1A3" w14:textId="77777777" w:rsidR="000C0205" w:rsidRDefault="000C0205">
      <w:pPr>
        <w:spacing w:after="0" w:line="240" w:lineRule="auto"/>
      </w:pPr>
      <w:r>
        <w:separator/>
      </w:r>
    </w:p>
  </w:footnote>
  <w:footnote w:type="continuationSeparator" w:id="0">
    <w:p w14:paraId="1EB7A050" w14:textId="77777777" w:rsidR="000C0205" w:rsidRDefault="000C02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7A"/>
    <w:rsid w:val="0005617F"/>
    <w:rsid w:val="00087EE8"/>
    <w:rsid w:val="000C0205"/>
    <w:rsid w:val="0051174B"/>
    <w:rsid w:val="0070660D"/>
    <w:rsid w:val="007563F1"/>
    <w:rsid w:val="00876B14"/>
    <w:rsid w:val="008D4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B99EF"/>
  <w15:chartTrackingRefBased/>
  <w15:docId w15:val="{2D1FAEDF-658D-4BE9-9698-13DF2BCC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4B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B7A"/>
    <w:pPr>
      <w:ind w:left="720"/>
      <w:contextualSpacing/>
    </w:pPr>
  </w:style>
  <w:style w:type="paragraph" w:styleId="Footer">
    <w:name w:val="footer"/>
    <w:basedOn w:val="Normal"/>
    <w:link w:val="FooterChar"/>
    <w:uiPriority w:val="99"/>
    <w:unhideWhenUsed/>
    <w:rsid w:val="008D4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B7A"/>
  </w:style>
  <w:style w:type="character" w:styleId="Hyperlink">
    <w:name w:val="Hyperlink"/>
    <w:basedOn w:val="DefaultParagraphFont"/>
    <w:uiPriority w:val="99"/>
    <w:unhideWhenUsed/>
    <w:rsid w:val="008D4B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plannedgivingblog.files.wordpress.com/2012/04/treasury-bequest-analysis.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charitablegiftplanners.org/author/patrick-schmitt-cathy-r-sheffield"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ceplan.com/" TargetMode="External"/><Relationship Id="rId5" Type="http://schemas.openxmlformats.org/officeDocument/2006/relationships/endnotes" Target="endnotes.xml"/><Relationship Id="rId10" Type="http://schemas.openxmlformats.org/officeDocument/2006/relationships/hyperlink" Target="http://freewill.com/" TargetMode="External"/><Relationship Id="rId4" Type="http://schemas.openxmlformats.org/officeDocument/2006/relationships/footnotes" Target="footnotes.xml"/><Relationship Id="rId9" Type="http://schemas.openxmlformats.org/officeDocument/2006/relationships/hyperlink" Target="http://www.fpmagazine.com.au/which-activities-have-the-best-roi-3425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1786</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vt:lpstr>
      <vt:lpstr/>
      <vt:lpstr>Five Numbers You, Your Boss &amp; Your Board Need to Know in 2018</vt:lpstr>
      <vt:lpstr>$30 trillion</vt:lpstr>
      <vt:lpstr>75%</vt:lpstr>
      <vt:lpstr>2.74</vt:lpstr>
      <vt:lpstr>56 to 1</vt:lpstr>
      <vt:lpstr>1</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sheffield</dc:creator>
  <cp:keywords/>
  <dc:description/>
  <cp:lastModifiedBy>Claire Meyerhoff</cp:lastModifiedBy>
  <cp:revision>2</cp:revision>
  <cp:lastPrinted>2019-01-09T14:14:00Z</cp:lastPrinted>
  <dcterms:created xsi:type="dcterms:W3CDTF">2020-06-25T18:36:00Z</dcterms:created>
  <dcterms:modified xsi:type="dcterms:W3CDTF">2020-06-25T18:36:00Z</dcterms:modified>
</cp:coreProperties>
</file>