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F62D" w14:textId="395125F7" w:rsidR="00C112B4" w:rsidRPr="007215AC" w:rsidRDefault="00C112B4" w:rsidP="009F081E">
      <w:pPr>
        <w:pStyle w:val="NormalWeb"/>
        <w:spacing w:before="0" w:beforeAutospacing="0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D7517A5" wp14:editId="2018FF91">
                <wp:extent cx="5943600" cy="1270"/>
                <wp:effectExtent l="0" t="31750" r="0" b="36830"/>
                <wp:docPr id="9606396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FA158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p w14:paraId="26A00C71" w14:textId="3AC6EB14" w:rsidR="00C112B4" w:rsidRDefault="00C112B4" w:rsidP="009F081E">
      <w:pPr>
        <w:pStyle w:val="NormalWeb"/>
        <w:jc w:val="center"/>
      </w:pPr>
      <w:r>
        <w:rPr>
          <w:rStyle w:val="Strong"/>
        </w:rPr>
        <w:t>Understanding Jurisdiction, Equity, and Lawful Adjudication Across All Courts</w:t>
      </w:r>
    </w:p>
    <w:p w14:paraId="650A1AB3" w14:textId="5D7B7AE9" w:rsidR="00C112B4" w:rsidRDefault="00C034D7">
      <w:pPr>
        <w:pStyle w:val="NormalWeb"/>
      </w:pPr>
      <w:r>
        <w:t>`</w:t>
      </w:r>
      <w:r w:rsidR="00C112B4">
        <w:t xml:space="preserve">To all concerned parties—whether in </w:t>
      </w:r>
      <w:r w:rsidR="00C112B4">
        <w:rPr>
          <w:rStyle w:val="Strong"/>
        </w:rPr>
        <w:t>probate, civil, criminal, administrative, or claims court</w:t>
      </w:r>
      <w:r w:rsidR="00C112B4">
        <w:t>—this notice is provided for clarity, equity, and lawful orientation.</w:t>
      </w:r>
    </w:p>
    <w:p w14:paraId="4FAF2216" w14:textId="77777777" w:rsidR="00C112B4" w:rsidRDefault="00C112B4" w:rsidP="009F081E">
      <w:pPr>
        <w:pStyle w:val="NormalWeb"/>
        <w:ind w:firstLine="720"/>
      </w:pPr>
      <w:r>
        <w:t xml:space="preserve">All courts operating within the United States or its political subdivisions (municipal, county, state, or federal) now function under a </w:t>
      </w:r>
      <w:r>
        <w:rPr>
          <w:rStyle w:val="Strong"/>
        </w:rPr>
        <w:t>fusion of law and equity</w:t>
      </w:r>
      <w:r>
        <w:t xml:space="preserve">, meaning </w:t>
      </w:r>
      <w:r>
        <w:rPr>
          <w:rStyle w:val="Strong"/>
        </w:rPr>
        <w:t>common law</w:t>
      </w:r>
      <w:r>
        <w:t xml:space="preserve"> principles (rooted in property, contracts, and injury) have been blended with </w:t>
      </w:r>
      <w:r>
        <w:rPr>
          <w:rStyle w:val="Strong"/>
        </w:rPr>
        <w:t>equitable doctrines</w:t>
      </w:r>
      <w:r>
        <w:t xml:space="preserve"> (based on fairness, remedies, and fiduciary duties). This fusion is codified and enforced across judicial, executive, and legislative tribunals, including </w:t>
      </w:r>
      <w:r>
        <w:rPr>
          <w:rStyle w:val="Strong"/>
        </w:rPr>
        <w:t>Article I (legislative), Article III (judicial), and administrative bodies</w:t>
      </w:r>
      <w:r>
        <w:t>.</w:t>
      </w:r>
    </w:p>
    <w:p w14:paraId="0CBB96C3" w14:textId="77777777" w:rsidR="00C112B4" w:rsidRDefault="00C112B4" w:rsidP="00F633AB">
      <w:pPr>
        <w:pStyle w:val="NormalWeb"/>
        <w:ind w:firstLine="720"/>
      </w:pPr>
      <w:r>
        <w:t xml:space="preserve">Additionally, </w:t>
      </w:r>
      <w:r>
        <w:rPr>
          <w:rStyle w:val="Strong"/>
        </w:rPr>
        <w:t>cash and credit are not on par</w:t>
      </w:r>
      <w:r>
        <w:t xml:space="preserve">. This distinction is vital: </w:t>
      </w:r>
      <w:r>
        <w:rPr>
          <w:rStyle w:val="Strong"/>
        </w:rPr>
        <w:t>Federal Reserve Notes (FRNs)</w:t>
      </w:r>
      <w:r>
        <w:t xml:space="preserve"> are obligations of the United States under </w:t>
      </w:r>
      <w:r>
        <w:rPr>
          <w:rStyle w:val="Strong"/>
        </w:rPr>
        <w:t>Title 31 U.S.C. § 5103</w:t>
      </w:r>
      <w:r>
        <w:t xml:space="preserve"> and </w:t>
      </w:r>
      <w:r>
        <w:rPr>
          <w:rStyle w:val="Strong"/>
        </w:rPr>
        <w:t>Title 18 U.S.C. § 8</w:t>
      </w:r>
      <w:r>
        <w:t xml:space="preserve">. Any court or agency that adjudicates or demands compensation, restitution, or performance in FRNs or similar securities is engaging in a </w:t>
      </w:r>
      <w:r>
        <w:rPr>
          <w:rStyle w:val="Strong"/>
        </w:rPr>
        <w:t>financial transaction</w:t>
      </w:r>
      <w:r>
        <w:t xml:space="preserve">. Therefore, </w:t>
      </w:r>
      <w:r>
        <w:rPr>
          <w:rStyle w:val="Strong"/>
        </w:rPr>
        <w:t>jurisdiction over money and finance must be traceable to delegated authority from the Secretary of the Treasury</w:t>
      </w:r>
      <w:r>
        <w:t>, as the Treasury governs the lawful issuance and discharge of obligations, including FRNs, bonds, and other financial instruments.</w:t>
      </w:r>
    </w:p>
    <w:p w14:paraId="1393787B" w14:textId="77777777" w:rsidR="00C112B4" w:rsidRDefault="00C112B4" w:rsidP="00F633AB">
      <w:pPr>
        <w:pStyle w:val="NormalWeb"/>
        <w:ind w:firstLine="360"/>
      </w:pPr>
      <w:r>
        <w:t>Whether civil, criminal, or probate in nature, all proceedings must meet constitutional minimums:</w:t>
      </w:r>
    </w:p>
    <w:p w14:paraId="1B81BEA8" w14:textId="77777777" w:rsidR="00C112B4" w:rsidRDefault="00C112B4" w:rsidP="00C11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Injury-in-fact</w:t>
      </w:r>
      <w:r>
        <w:rPr>
          <w:rFonts w:eastAsia="Times New Roman"/>
        </w:rPr>
        <w:t xml:space="preserve"> (a legally cognizable harm);</w:t>
      </w:r>
    </w:p>
    <w:p w14:paraId="5B7C00CE" w14:textId="77777777" w:rsidR="00C112B4" w:rsidRDefault="00C112B4" w:rsidP="00C11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Causation</w:t>
      </w:r>
      <w:r>
        <w:rPr>
          <w:rFonts w:eastAsia="Times New Roman"/>
        </w:rPr>
        <w:t xml:space="preserve"> (a direct connection between the accused and the injury);</w:t>
      </w:r>
    </w:p>
    <w:p w14:paraId="3F37CD81" w14:textId="77777777" w:rsidR="00C112B4" w:rsidRDefault="00C112B4" w:rsidP="00C11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Redressability</w:t>
      </w:r>
      <w:r>
        <w:rPr>
          <w:rFonts w:eastAsia="Times New Roman"/>
        </w:rPr>
        <w:t xml:space="preserve"> (a remedy the court can lawfully offer);</w:t>
      </w:r>
    </w:p>
    <w:p w14:paraId="5AD3B291" w14:textId="77777777" w:rsidR="00C112B4" w:rsidRDefault="00C112B4" w:rsidP="00C112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and a </w:t>
      </w:r>
      <w:r>
        <w:rPr>
          <w:rStyle w:val="Strong"/>
          <w:rFonts w:eastAsia="Times New Roman"/>
        </w:rPr>
        <w:t>real claimant or injured party</w:t>
      </w:r>
      <w:r>
        <w:rPr>
          <w:rFonts w:eastAsia="Times New Roman"/>
        </w:rPr>
        <w:t xml:space="preserve"> with standing to sue or complain.</w:t>
      </w:r>
      <w:r>
        <w:rPr>
          <w:rFonts w:eastAsia="Times New Roman"/>
        </w:rPr>
        <w:br/>
        <w:t>(</w:t>
      </w:r>
      <w:r>
        <w:rPr>
          <w:rStyle w:val="Emphasis"/>
          <w:rFonts w:eastAsia="Times New Roman"/>
        </w:rPr>
        <w:t>See Lujan v. Defenders of Wildlife</w:t>
      </w:r>
      <w:r>
        <w:rPr>
          <w:rFonts w:eastAsia="Times New Roman"/>
        </w:rPr>
        <w:t>, 504 U.S. 555 (1992)).</w:t>
      </w:r>
    </w:p>
    <w:p w14:paraId="06764350" w14:textId="77777777" w:rsidR="00C112B4" w:rsidRDefault="00C112B4" w:rsidP="00F633AB">
      <w:pPr>
        <w:pStyle w:val="NormalWeb"/>
        <w:ind w:firstLine="360"/>
      </w:pPr>
      <w:r>
        <w:t xml:space="preserve">In the absence of any of the above, the proceeding may fall under the definition of a </w:t>
      </w:r>
      <w:r>
        <w:rPr>
          <w:rStyle w:val="Strong"/>
        </w:rPr>
        <w:t>manifest injustice</w:t>
      </w:r>
      <w:r>
        <w:t>—a scenario where adjudication occurs without a valid cause of action, lawful jurisdiction, or injured party, resulting in harm, prejudice, or abuse of process.</w:t>
      </w:r>
    </w:p>
    <w:p w14:paraId="0201175A" w14:textId="77777777" w:rsidR="00C112B4" w:rsidRDefault="00C112B4" w:rsidP="00F633AB">
      <w:pPr>
        <w:pStyle w:val="NormalWeb"/>
        <w:ind w:firstLine="360"/>
      </w:pPr>
      <w:r>
        <w:t xml:space="preserve">Thus, any </w:t>
      </w:r>
      <w:r>
        <w:rPr>
          <w:rStyle w:val="Strong"/>
        </w:rPr>
        <w:t>court, agency, or institution</w:t>
      </w:r>
      <w:r>
        <w:t xml:space="preserve"> that presumes authority to compel performance, impose penalties, or issue judgments tied to financial value—without proving scope of jurisdiction under </w:t>
      </w:r>
      <w:r>
        <w:rPr>
          <w:rStyle w:val="Strong"/>
        </w:rPr>
        <w:t>money and finance law</w:t>
      </w:r>
      <w:r>
        <w:t xml:space="preserve"> and without a verified claim—</w:t>
      </w:r>
      <w:r>
        <w:rPr>
          <w:rStyle w:val="Strong"/>
        </w:rPr>
        <w:t>may be exceeding its lawful boundaries</w:t>
      </w:r>
      <w:r>
        <w:t xml:space="preserve">. In such cases, the accused or respondent has the right to challenge the court’s jurisdiction, demand proof of authority, and seek remedy or dismissal under both </w:t>
      </w:r>
      <w:r>
        <w:rPr>
          <w:rStyle w:val="Strong"/>
        </w:rPr>
        <w:t>common law and equity principles</w:t>
      </w:r>
      <w:r>
        <w:t>.</w:t>
      </w:r>
    </w:p>
    <w:p w14:paraId="7EE98F83" w14:textId="77777777" w:rsidR="00C112B4" w:rsidRDefault="00C112B4" w:rsidP="00F633AB">
      <w:pPr>
        <w:pStyle w:val="NormalWeb"/>
        <w:ind w:firstLine="360"/>
      </w:pPr>
      <w:r>
        <w:t>This explanation stands as a notice of law and equity to all courts, officers, agents, or legal actors, public or private.</w:t>
      </w:r>
    </w:p>
    <w:p w14:paraId="1CF438C7" w14:textId="3B399A1E" w:rsidR="00C112B4" w:rsidRPr="002F6048" w:rsidRDefault="00C112B4" w:rsidP="002F604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11235B" wp14:editId="7E865769">
                <wp:extent cx="5943600" cy="1270"/>
                <wp:effectExtent l="0" t="31750" r="0" b="36830"/>
                <wp:docPr id="451833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D23A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" filled="f">
                <w10:anchorlock/>
              </v:rect>
            </w:pict>
          </mc:Fallback>
        </mc:AlternateContent>
      </w:r>
    </w:p>
    <w:sectPr w:rsidR="00C112B4" w:rsidRPr="002F6048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5DCD" w14:textId="77777777" w:rsidR="000C7628" w:rsidRDefault="000C7628" w:rsidP="002F6048">
      <w:pPr>
        <w:spacing w:after="0" w:line="240" w:lineRule="auto"/>
      </w:pPr>
      <w:r>
        <w:separator/>
      </w:r>
    </w:p>
  </w:endnote>
  <w:endnote w:type="continuationSeparator" w:id="0">
    <w:p w14:paraId="37AB9E66" w14:textId="77777777" w:rsidR="000C7628" w:rsidRDefault="000C7628" w:rsidP="002F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65883713"/>
      <w:docPartObj>
        <w:docPartGallery w:val="Page Numbers (Bottom of Page)"/>
        <w:docPartUnique/>
      </w:docPartObj>
    </w:sdtPr>
    <w:sdtContent>
      <w:p w14:paraId="29347C8D" w14:textId="1CAA822C" w:rsidR="002F6048" w:rsidRDefault="002F6048" w:rsidP="00A16A78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3A23F9E2" w14:textId="77777777" w:rsidR="002F6048" w:rsidRDefault="002F6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2002401"/>
      <w:docPartObj>
        <w:docPartGallery w:val="Page Numbers (Bottom of Page)"/>
        <w:docPartUnique/>
      </w:docPartObj>
    </w:sdtPr>
    <w:sdtContent>
      <w:p w14:paraId="7DCE655A" w14:textId="4661A343" w:rsidR="002F6048" w:rsidRDefault="002F6048" w:rsidP="00A16A78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78ACFA" w14:textId="77777777" w:rsidR="002F6048" w:rsidRDefault="002F6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29387" w14:textId="77777777" w:rsidR="000C7628" w:rsidRDefault="000C7628" w:rsidP="002F6048">
      <w:pPr>
        <w:spacing w:after="0" w:line="240" w:lineRule="auto"/>
      </w:pPr>
      <w:r>
        <w:separator/>
      </w:r>
    </w:p>
  </w:footnote>
  <w:footnote w:type="continuationSeparator" w:id="0">
    <w:p w14:paraId="5D9697AD" w14:textId="77777777" w:rsidR="000C7628" w:rsidRDefault="000C7628" w:rsidP="002F6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40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02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B4"/>
    <w:rsid w:val="000C7628"/>
    <w:rsid w:val="002F6048"/>
    <w:rsid w:val="003D0EA8"/>
    <w:rsid w:val="006C1F10"/>
    <w:rsid w:val="007215AC"/>
    <w:rsid w:val="00792707"/>
    <w:rsid w:val="00854712"/>
    <w:rsid w:val="009F081E"/>
    <w:rsid w:val="00B108FD"/>
    <w:rsid w:val="00C034D7"/>
    <w:rsid w:val="00C112B4"/>
    <w:rsid w:val="00F3682A"/>
    <w:rsid w:val="00F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59FF"/>
  <w15:chartTrackingRefBased/>
  <w15:docId w15:val="{65B23790-8FCF-8440-A38D-81FC3CF3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B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12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12B4"/>
    <w:rPr>
      <w:b/>
      <w:bCs/>
    </w:rPr>
  </w:style>
  <w:style w:type="character" w:styleId="Emphasis">
    <w:name w:val="Emphasis"/>
    <w:basedOn w:val="DefaultParagraphFont"/>
    <w:uiPriority w:val="20"/>
    <w:qFormat/>
    <w:rsid w:val="00C112B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6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48"/>
  </w:style>
  <w:style w:type="paragraph" w:styleId="Footer">
    <w:name w:val="footer"/>
    <w:basedOn w:val="Normal"/>
    <w:link w:val="FooterChar"/>
    <w:uiPriority w:val="99"/>
    <w:unhideWhenUsed/>
    <w:rsid w:val="002F6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048"/>
  </w:style>
  <w:style w:type="character" w:styleId="PageNumber">
    <w:name w:val="page number"/>
    <w:basedOn w:val="DefaultParagraphFont"/>
    <w:uiPriority w:val="99"/>
    <w:semiHidden/>
    <w:unhideWhenUsed/>
    <w:rsid w:val="002F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aaron Kaltved, executor</dc:creator>
  <cp:keywords/>
  <dc:description/>
  <cp:lastModifiedBy>Joshua aaron Kaltved, executor</cp:lastModifiedBy>
  <cp:revision>9</cp:revision>
  <dcterms:created xsi:type="dcterms:W3CDTF">2025-05-19T18:08:00Z</dcterms:created>
  <dcterms:modified xsi:type="dcterms:W3CDTF">2025-09-10T07:45:00Z</dcterms:modified>
</cp:coreProperties>
</file>